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大足农委发〔2023〕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41号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pacing w:val="96"/>
          <w:sz w:val="44"/>
          <w:szCs w:val="44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大足区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中央成品油价格调整对渔业补助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资金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各镇街人民政府（办事处）：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突出绿色发展理念，完善基础设施和健康养殖模式，依法规范管理，全面推进水产绿色健康养殖，有效推动全区渔业高质量发展。根据《重庆市财政局关于下达2023年中央成品油价格调整对渔业补助资金预算的通知》（渝财农〔2023〕2号）、《重庆市农业农村委员会 重庆市财政局关于做好2023年中央成品油价格调整对渔业补助资金管理工作的通知》（渝农发〔2023〕31号）精神，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结合我区实际，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中央成品油价格调整对渔业补助资金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、申报对象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农业龙头企业、村（社区）集体经济组织、家庭农场、农民合作社等新型农业经营主体。在《大足区养殖水域滩涂规划》划定的养殖区、限养区内从事水产养殖的养殖企业、专业合作社等新型经营主体和养殖户、社会化服务组织、农村集体经济组织，并在市场监管部门办理市场主体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、申报条件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（一）在国家注册登记机关依法注册登记并运行。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（附营业执照和企业法人身份证复印件并加盖鲜章）</w:t>
      </w:r>
    </w:p>
    <w:p>
      <w:pPr>
        <w:pStyle w:val="2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）养殖用地权属。（附流转合同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剩余有效期不少于5年）</w:t>
      </w:r>
    </w:p>
    <w:p>
      <w:pPr>
        <w:pStyle w:val="2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（三）养殖用地符合国家耕地管理相关要求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项目自筹配套资金比例不低于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总投资额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0%。（附承诺函）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有规范的财务管理制度。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）三年内无不良信用记录和涉税违法行为。（附承诺函或查询记录）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）近两年内未出现水产品安全事故。（附承诺函或查询记录）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三、项目内容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（一）建设内容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稻渔综合种养技术规范重庆市地方标准DB50/T225—2018要求开展标准化稻渔综合种养基地建设。结合高标准农田建设，重点支持完善基础设施、集中连片开发、良种配套、研发推广、品牌打造等。①完善基础设施。包括完善防逃防害防病设施、视频监控、水质监测系统等内容。②良种配套，支持建立水产良种场和繁育基地。③品牌打造。支持创建稻渔区域公用品牌和乡土渔米产品品牌。④技术指标。沟坑面积不得超过总种养面积的10%。水稻单产不低于当地水稻单作平均单产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淡水养殖鱼类原、良种场建设要点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》,支持开展水产种业建设，推进水产苗种生产设施升级改造，包括苗种池、后备亲鱼池、亲鱼池建设。支持种业企业开展原良种保种，良种选育和新品种开发等。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（二）建设期限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（三）项目补助资金及用途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稻渔基地提档升级项目。重点支持完善基础设施、集中连片开发、良种配套、研发推广、品牌打造等。该项目结合高标准农田改造提升的范围集中打造，不重复用于稻渔综合种养工程建设。支持项目1个，补助标准：30万元，申报要求：集中连片稻渔综合种养面积不低于1000亩（含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2.大足冬虾育种基地建设项目。重点支持大足冬虾的保种、育种、扩繁等能力建设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支持项目1个，补助标准：40万元/个。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3.鳜鱼原良种场改扩建项目。重点支持水产种业的保种、育种、扩繁等能力建设。支持项目1个，补助标准：50万元/个。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（一）业主申报。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各镇街按照业主自愿申报的原则，组织辖区内符合项目申报条件的业主进行申报，做好建设内容的规划和投资金额的预算。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（二）镇街初审。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各镇街组织对业主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编报的《实施方案》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进行初步审核，符合申报条件的业主由镇街填写汇总表，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签字盖章后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报送区农业农村委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（三）项目评审公示。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区农业农村委按照项目管理程序组织专家组对项目进行评审、公示及上报备案。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五、申报要求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（一）符合项目实施条件的经营主体等单位结合发展实际，科学拟建项目，形成实施方案，自愿申报，不得代编代报和重复申报。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（二）建设地址、产业发展必须符合大足区养殖水域滩涂规划，同一项目的建设内容不能重复享受其它财政补助资金。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（三）按照“原建不补、不建不补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、先建后补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”原则，严禁虚报建设内容，骗取、套取财政资金，项目审批后严禁擅自更改建设业主、建设地点和建设内容等项目内容。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）取得项目补助的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经营主体，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必须按照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内容，加快建设进度，保证建设质量并在规定时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间（202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日前）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完成项目建设。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（五）项目建设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完成后，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11月15日前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相关镇街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要组织工作人员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开展自查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验收，填写《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自查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验收表》，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将验收表报区农业农村委渔业科，11月20日前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区农业农村委会同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区财政局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镇街进行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验收合格后由区财政局将资金拨付至各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。未通过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验收的，在整改合格后再据实拨付资金。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（六）申报对象纳入党员干部亲属涉权事项公开制度监管，严格按要求提供相关信息。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六、报送要求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（一）需提交的申报材料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项目实施方案。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纸质件（一式五份）和电子件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必须一致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（否则不予受理），申报对象对项目的真实性、合规性、准确性负责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镇街负连带监管责任。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2.相关资质证明材料：营业执照、法人身份证、银行账号、用地协议等证明符合申报条件的材料（复印件加盖鲜章）各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3.《项目备案汇总表》1份。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（二）报送时间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日下午18：00前，逾期视为自动放弃、不再受理，责任自负。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区农业农村委渔业科，棠香街道二环南路897号，邮政编码：402360；联系人：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，联系电话：43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785369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1278" w:leftChars="304" w:hanging="640" w:hanging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实施方案（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格式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年项目备案汇总表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（此件主动公开）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247" w:gutter="0"/>
          <w:cols w:space="720" w:num="1"/>
          <w:docGrid w:linePitch="579" w:charSpace="0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附件1</w:t>
      </w:r>
    </w:p>
    <w:p>
      <w:pPr>
        <w:spacing w:line="580" w:lineRule="exact"/>
        <w:ind w:firstLine="5440" w:firstLineChars="1700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32"/>
        </w:rPr>
        <w:t>行（产）业分类：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水产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2023年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大足区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中央成品油价格调整对渔业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补助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资金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项目</w:t>
      </w:r>
    </w:p>
    <w:p>
      <w:pPr>
        <w:tabs>
          <w:tab w:val="left" w:pos="3990"/>
        </w:tabs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tabs>
          <w:tab w:val="left" w:pos="3990"/>
        </w:tabs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项目实施单位：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项目主管部门：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</w:p>
    <w:p>
      <w:pPr>
        <w:spacing w:line="7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重庆市大足区农业农村委员会 制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一、项目所涉产业发展现状（或工作开展情况）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（上年度实施此项目单位应简单总结项目实施情况）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二、项目任务计划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（一）项目任务来由（背景）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（二）建设地点及规模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（三）项目内容（分项具体说明，既要有定性表述，又要有定量数据）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（四）建设进度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（五）项目推进及管理措施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（六）项目绩效目标（含项目带动能力，直接经济、社会、生态效益等）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（七）其它</w:t>
      </w:r>
    </w:p>
    <w:p>
      <w:pPr>
        <w:spacing w:line="580" w:lineRule="exact"/>
        <w:ind w:firstLine="57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三、资金投入概算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（一）项目总投资及资金来源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（二）资金具体用途和投资标准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（三）市级项目资金及资金使用环节（要具体说明财政资金使用支持环节、补助标准和额度等）</w:t>
      </w:r>
    </w:p>
    <w:p>
      <w:pPr>
        <w:spacing w:line="580" w:lineRule="exact"/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（四）其它</w:t>
      </w:r>
    </w:p>
    <w:p>
      <w:pPr>
        <w:spacing w:line="580" w:lineRule="exact"/>
        <w:ind w:firstLine="57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（一）单位性质、隶属关系、职能（业务）范围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（二）财务收支和资产状况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（三）有无不良记录（财政部门及审计机关处理处罚决定、行业通报批评、媒体曝光等）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（四）实施该项目现有条件（包括自筹资金的筹措方案）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黑体" w:cs="Times New Roman"/>
          <w:sz w:val="32"/>
        </w:rPr>
        <w:t>六、相关单位情况及参与事项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footerReference r:id="rId6" w:type="default"/>
          <w:pgSz w:w="11906" w:h="16838"/>
          <w:pgMar w:top="2098" w:right="1531" w:bottom="1984" w:left="1531" w:header="851" w:footer="1247" w:gutter="0"/>
          <w:cols w:space="720" w:num="1"/>
        </w:sect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sz w:val="28"/>
        </w:rPr>
      </w:pPr>
      <w:r>
        <w:rPr>
          <w:rFonts w:hint="eastAsia" w:ascii="方正黑体_GBK" w:hAnsi="方正黑体_GBK" w:eastAsia="方正黑体_GBK" w:cs="方正黑体_GBK"/>
          <w:sz w:val="28"/>
        </w:rPr>
        <w:t>表一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项目主要人员与任务分工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2098" w:right="1531" w:bottom="1984" w:left="1531" w:header="851" w:footer="1247" w:gutter="0"/>
          <w:cols w:space="720" w:num="1"/>
        </w:sect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表二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项目评审表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68"/>
        <w:gridCol w:w="5098"/>
        <w:gridCol w:w="100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评审类别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评审标准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评审结果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现有条件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是否符合项目申报的前提条件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业务目标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是否能实现预期目标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建设内容是否符合建设规范，规模是否符合要求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项目单位财务能力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1、财务状况是否良好；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财政支持环节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1、是否有明确的支持环节；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2、确定的环节是否符合财政资金管理要求；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3、是否有明确的补助（补贴）标准；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4、补助（补贴）标准确定是否合理。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资金筹措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1、项目建设资金测算是否合理；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2、资金来源是否有保障；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3、申请市级资金是否在控制额度内。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评审结论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（写明是否通过评审的评审结论）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评审组长（签字）： </w:t>
            </w:r>
          </w:p>
          <w:p>
            <w:pPr>
              <w:spacing w:line="4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年   月    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评审人员签字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说明: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580" w:lineRule="exact"/>
        <w:rPr>
          <w:rFonts w:hint="eastAsia" w:ascii="方正黑体_GBK" w:hAnsi="方正黑体_GBK" w:eastAsia="方正黑体_GBK" w:cs="方正黑体_GBK"/>
          <w:sz w:val="28"/>
        </w:rPr>
      </w:pPr>
      <w:r>
        <w:rPr>
          <w:rFonts w:hint="eastAsia" w:ascii="方正黑体_GBK" w:hAnsi="方正黑体_GBK" w:eastAsia="方正黑体_GBK" w:cs="方正黑体_GBK"/>
          <w:sz w:val="28"/>
        </w:rPr>
        <w:t>表三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项目评审专家情况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11"/>
        <w:gridCol w:w="711"/>
        <w:gridCol w:w="1479"/>
        <w:gridCol w:w="1916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default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表四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28"/>
        </w:rPr>
        <w:t>项目申报意见表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项目单位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　　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eastAsia="zh-CN"/>
              </w:rPr>
              <w:t>镇街人民政府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区县农业行政主管部门意见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市级复核评审意见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1650" w:firstLineChars="5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评审负责人签名：</w:t>
            </w:r>
          </w:p>
          <w:p>
            <w:pPr>
              <w:spacing w:line="580" w:lineRule="exact"/>
              <w:ind w:firstLine="4800" w:firstLineChars="1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备　　注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margin" w:tblpY="1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550"/>
        <w:gridCol w:w="1075"/>
        <w:gridCol w:w="892"/>
        <w:gridCol w:w="1110"/>
        <w:gridCol w:w="1215"/>
        <w:gridCol w:w="1185"/>
        <w:gridCol w:w="825"/>
        <w:gridCol w:w="855"/>
        <w:gridCol w:w="1920"/>
        <w:gridCol w:w="1215"/>
        <w:gridCol w:w="1170"/>
        <w:gridCol w:w="133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</w:rPr>
              <w:t>附件2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6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  <w:t>年项目备案汇总表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汇总单位（盖章）：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项目实施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投资总额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补助金额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财政支持环节和补助标准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行（产）业分类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对应市级项目名称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大足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区农业农村委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610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说明：1、本表所有内容按照实施方案过录，填报内容需与实施方案主要内容一致。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区农业农村委：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我单位在申报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大足区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  <w:t>中央成品油价格调整对渔业补助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中，郑重承诺，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项目自筹配套资金比例不低于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</w:rPr>
        <w:t>总投资额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有规范的财务管理制度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三年内无不良信用记录和涉税违法行为，未列入信用中国网站（www.creditchina.gov.cn）“失信被执行人”、“重大税收违法案件当事人名单”中；近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年内未出现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产品质量安全事件；对提交各项材料的真实性、有效性负责；按照方案时间节点完成建设内容。我方对以上承诺负全部法律责任。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                        申报单位名称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法定代表人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                          年   月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94" w:lineRule="exact"/>
        <w:rPr>
          <w:rFonts w:hint="default" w:ascii="Times New Roman" w:hAnsi="Times New Roman" w:cs="Times New Roman"/>
          <w:lang w:val="en-US" w:eastAsia="zh-CN"/>
        </w:rPr>
        <w:sectPr>
          <w:headerReference r:id="rId7" w:type="default"/>
          <w:footerReference r:id="rId8" w:type="default"/>
          <w:pgSz w:w="11907" w:h="16840"/>
          <w:pgMar w:top="1134" w:right="1417" w:bottom="1134" w:left="1417" w:header="851" w:footer="1361" w:gutter="0"/>
          <w:pgNumType w:fmt="decimal"/>
          <w:cols w:space="720" w:num="1"/>
          <w:rtlGutter w:val="0"/>
          <w:docGrid w:type="linesAndChars" w:linePitch="604" w:charSpace="826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Hlk31707971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大足区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中央成品油价格调整对渔业补助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资金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自查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验收表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填报单位（盖章）：</w:t>
      </w:r>
    </w:p>
    <w:tbl>
      <w:tblPr>
        <w:tblStyle w:val="11"/>
        <w:tblW w:w="14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23"/>
        <w:gridCol w:w="820"/>
        <w:gridCol w:w="2512"/>
        <w:gridCol w:w="957"/>
        <w:gridCol w:w="2151"/>
        <w:gridCol w:w="1979"/>
        <w:gridCol w:w="1555"/>
        <w:gridCol w:w="2264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镇街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  <w:t>村社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养殖场名称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业主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自查验收情况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项目建设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镇街自查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验收意见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镇街验收人员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（是否达到要求标准）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（是否验收合格）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验收人员签字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sectPr>
          <w:pgSz w:w="16840" w:h="11907" w:orient="landscape"/>
          <w:pgMar w:top="1417" w:right="1134" w:bottom="1417" w:left="1134" w:header="851" w:footer="1361" w:gutter="0"/>
          <w:pgNumType w:fmt="decimal"/>
          <w:cols w:space="720" w:num="1"/>
          <w:rtlGutter w:val="0"/>
          <w:docGrid w:type="linesAndChars" w:linePitch="604" w:charSpace="826"/>
        </w:sect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联系人：            联系电话：               审核人：             时间：    年   月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日</w:t>
      </w: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（此页无正文）</w:t>
      </w: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（此页无正文）</w:t>
      </w: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pBdr>
          <w:top w:val="single" w:color="auto" w:sz="4" w:space="0"/>
          <w:bottom w:val="single" w:color="auto" w:sz="4" w:space="0"/>
        </w:pBdr>
        <w:ind w:left="0" w:leftChars="0" w:firstLine="0" w:firstLineChars="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重庆市大足区农业农村委员会办公室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2023年4月19日印发</w:t>
      </w: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028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025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right="360" w:firstLine="360"/>
      <w:rPr>
        <w:sz w:val="28"/>
        <w:szCs w:val="28"/>
      </w:rPr>
    </w:pPr>
    <w:r>
      <w:pict>
        <v:rect id="文本框3" o:spid="_x0000_s4099" o:spt="1" style="position:absolute;left:0pt;height:18.15pt;width:63.05pt;mso-position-horizontal:outside;mso-position-horizontal-relative:margin;mso-position-vertical:top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tabs>
                    <w:tab w:val="clear" w:pos="4153"/>
                    <w:tab w:val="clear" w:pos="8306"/>
                  </w:tabs>
                  <w:ind w:firstLine="140" w:firstLineChars="50"/>
                  <w:rPr>
                    <w:rFonts w:hint="eastAsia" w:ascii="宋体"/>
                    <w:sz w:val="28"/>
                    <w:szCs w:val="28"/>
                  </w:rPr>
                </w:pPr>
                <w:r>
                  <w:rPr>
                    <w:rFonts w:hint="eastAsia" w:ascii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/>
                    <w:sz w:val="28"/>
                    <w:szCs w:val="28"/>
                  </w:rPr>
                  <w:t>23</w:t>
                </w:r>
                <w:r>
                  <w:rPr>
                    <w:rFonts w:hint="eastAsia" w:asci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E0NTFjODAzOWJkYjJiNDk0YTY5NTI4MjJhNWVmNWUifQ=="/>
    <w:docVar w:name="KSO_WPS_MARK_KEY" w:val="fe76cd86-f8bb-4e49-8988-09611fd286c9"/>
  </w:docVars>
  <w:rsids>
    <w:rsidRoot w:val="001541A6"/>
    <w:rsid w:val="00000E6A"/>
    <w:rsid w:val="00000F62"/>
    <w:rsid w:val="000071EB"/>
    <w:rsid w:val="00023ED5"/>
    <w:rsid w:val="00062020"/>
    <w:rsid w:val="000856AA"/>
    <w:rsid w:val="000C11E9"/>
    <w:rsid w:val="000F1AF3"/>
    <w:rsid w:val="00104693"/>
    <w:rsid w:val="00120E74"/>
    <w:rsid w:val="001541A6"/>
    <w:rsid w:val="001A091D"/>
    <w:rsid w:val="001C19FA"/>
    <w:rsid w:val="00267C7A"/>
    <w:rsid w:val="00277D70"/>
    <w:rsid w:val="00336BDE"/>
    <w:rsid w:val="00363FEC"/>
    <w:rsid w:val="003E6F29"/>
    <w:rsid w:val="004519BE"/>
    <w:rsid w:val="004920E8"/>
    <w:rsid w:val="006A1218"/>
    <w:rsid w:val="007024AF"/>
    <w:rsid w:val="00722879"/>
    <w:rsid w:val="00726BD2"/>
    <w:rsid w:val="0074717A"/>
    <w:rsid w:val="00747394"/>
    <w:rsid w:val="007B6973"/>
    <w:rsid w:val="007E6EB6"/>
    <w:rsid w:val="00873CAF"/>
    <w:rsid w:val="00877635"/>
    <w:rsid w:val="008C0F6D"/>
    <w:rsid w:val="008E345E"/>
    <w:rsid w:val="00905986"/>
    <w:rsid w:val="00981686"/>
    <w:rsid w:val="009A6078"/>
    <w:rsid w:val="009F52D7"/>
    <w:rsid w:val="00A51A9E"/>
    <w:rsid w:val="00AB5858"/>
    <w:rsid w:val="00AE566F"/>
    <w:rsid w:val="00B03D7A"/>
    <w:rsid w:val="00BD46B0"/>
    <w:rsid w:val="00BE14CF"/>
    <w:rsid w:val="00D85D0C"/>
    <w:rsid w:val="00E07EAF"/>
    <w:rsid w:val="00E136B0"/>
    <w:rsid w:val="00E32313"/>
    <w:rsid w:val="00F45CC2"/>
    <w:rsid w:val="00FB5F5E"/>
    <w:rsid w:val="00FD129F"/>
    <w:rsid w:val="061C38A9"/>
    <w:rsid w:val="073F6A92"/>
    <w:rsid w:val="0BD40EEF"/>
    <w:rsid w:val="110F2900"/>
    <w:rsid w:val="17343EB7"/>
    <w:rsid w:val="17CA6E51"/>
    <w:rsid w:val="196937CE"/>
    <w:rsid w:val="19BD0194"/>
    <w:rsid w:val="1A2E0F73"/>
    <w:rsid w:val="1BB111B1"/>
    <w:rsid w:val="1CFE08AE"/>
    <w:rsid w:val="24617981"/>
    <w:rsid w:val="28F24D0A"/>
    <w:rsid w:val="2AAE6DCE"/>
    <w:rsid w:val="2C2F4DD8"/>
    <w:rsid w:val="2E6921D3"/>
    <w:rsid w:val="31CB37AE"/>
    <w:rsid w:val="32D4240F"/>
    <w:rsid w:val="34E539D5"/>
    <w:rsid w:val="36B75E5E"/>
    <w:rsid w:val="386F4162"/>
    <w:rsid w:val="389C175F"/>
    <w:rsid w:val="3B07350D"/>
    <w:rsid w:val="3B5F0D80"/>
    <w:rsid w:val="3D2D2784"/>
    <w:rsid w:val="416241F1"/>
    <w:rsid w:val="44712CA2"/>
    <w:rsid w:val="4BDA33C0"/>
    <w:rsid w:val="4F555524"/>
    <w:rsid w:val="4F892E78"/>
    <w:rsid w:val="547277F2"/>
    <w:rsid w:val="5580384E"/>
    <w:rsid w:val="559E356B"/>
    <w:rsid w:val="56064F88"/>
    <w:rsid w:val="57AC6B77"/>
    <w:rsid w:val="57B70819"/>
    <w:rsid w:val="5BF553B2"/>
    <w:rsid w:val="5D6713CD"/>
    <w:rsid w:val="5EAB5E54"/>
    <w:rsid w:val="61B72821"/>
    <w:rsid w:val="644A1D91"/>
    <w:rsid w:val="67704E54"/>
    <w:rsid w:val="68054AEB"/>
    <w:rsid w:val="682C2649"/>
    <w:rsid w:val="74930B07"/>
    <w:rsid w:val="75147E2B"/>
    <w:rsid w:val="75CC07FD"/>
    <w:rsid w:val="784D5EAE"/>
    <w:rsid w:val="7CDF5938"/>
    <w:rsid w:val="7E222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3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6">
    <w:name w:val="Body Text Indent"/>
    <w:basedOn w:val="1"/>
    <w:qFormat/>
    <w:uiPriority w:val="0"/>
    <w:pPr>
      <w:spacing w:line="500" w:lineRule="exact"/>
      <w:ind w:firstLine="420"/>
    </w:pPr>
    <w:rPr>
      <w:sz w:val="32"/>
    </w:r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"/>
    <w:basedOn w:val="4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  <w:rPr>
      <w:b/>
      <w:bCs/>
    </w:rPr>
  </w:style>
  <w:style w:type="character" w:styleId="17">
    <w:name w:val="HTML Definition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333333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1">
    <w:name w:val="HTML Cite"/>
    <w:basedOn w:val="12"/>
    <w:semiHidden/>
    <w:unhideWhenUsed/>
    <w:qFormat/>
    <w:uiPriority w:val="99"/>
  </w:style>
  <w:style w:type="character" w:styleId="22">
    <w:name w:val="HTML Keyboard"/>
    <w:basedOn w:val="12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2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脚 Char"/>
    <w:basedOn w:val="12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7">
    <w:name w:val="页眉 Char"/>
    <w:basedOn w:val="12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8">
    <w:name w:val="标题 4 Char"/>
    <w:basedOn w:val="12"/>
    <w:link w:val="3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9">
    <w:name w:val="font"/>
    <w:basedOn w:val="12"/>
    <w:qFormat/>
    <w:uiPriority w:val="0"/>
  </w:style>
  <w:style w:type="character" w:customStyle="1" w:styleId="30">
    <w:name w:val="font1"/>
    <w:basedOn w:val="12"/>
    <w:qFormat/>
    <w:uiPriority w:val="0"/>
  </w:style>
  <w:style w:type="character" w:customStyle="1" w:styleId="31">
    <w:name w:val="hover6"/>
    <w:basedOn w:val="12"/>
    <w:qFormat/>
    <w:uiPriority w:val="0"/>
    <w:rPr>
      <w:shd w:val="clear" w:color="auto" w:fill="F5F5F5"/>
    </w:rPr>
  </w:style>
  <w:style w:type="character" w:customStyle="1" w:styleId="32">
    <w:name w:val="waptab-fwzh"/>
    <w:basedOn w:val="12"/>
    <w:qFormat/>
    <w:uiPriority w:val="0"/>
  </w:style>
  <w:style w:type="character" w:customStyle="1" w:styleId="33">
    <w:name w:val="waptab-name"/>
    <w:basedOn w:val="12"/>
    <w:qFormat/>
    <w:uiPriority w:val="0"/>
    <w:rPr>
      <w:color w:val="00469C"/>
      <w:sz w:val="21"/>
      <w:szCs w:val="21"/>
    </w:rPr>
  </w:style>
  <w:style w:type="character" w:customStyle="1" w:styleId="34">
    <w:name w:val="waptab-con"/>
    <w:basedOn w:val="12"/>
    <w:qFormat/>
    <w:uiPriority w:val="0"/>
    <w:rPr>
      <w:bdr w:val="single" w:color="E5E5E5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3521</Words>
  <Characters>3643</Characters>
  <Lines>30</Lines>
  <Paragraphs>8</Paragraphs>
  <TotalTime>2</TotalTime>
  <ScaleCrop>false</ScaleCrop>
  <LinksUpToDate>false</LinksUpToDate>
  <CharactersWithSpaces>3970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2021-07-27T01:42:00Z</dcterms:created>
  <dc:creator>Administrator</dc:creator>
  <cp:lastModifiedBy>清亲思思</cp:lastModifiedBy>
  <cp:lastPrinted>2023-04-19T06:36:00Z</cp:lastPrinted>
  <dcterms:modified xsi:type="dcterms:W3CDTF">2023-04-20T07:48:13Z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4BE1732DEB0647E18DECC963F4B4F2ED</vt:lpwstr>
  </property>
  <property fmtid="{D5CDD505-2E9C-101B-9397-08002B2CF9AE}" pid="4" name="KSOSaveFontToCloudKey">
    <vt:lpwstr>0_btnclosed</vt:lpwstr>
  </property>
</Properties>
</file>