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37" w:rsidRDefault="00101237">
      <w:pPr>
        <w:snapToGrid w:val="0"/>
        <w:spacing w:line="600" w:lineRule="exact"/>
        <w:jc w:val="center"/>
        <w:rPr>
          <w:rFonts w:eastAsia="仿宋_GB2312"/>
          <w:sz w:val="28"/>
          <w:szCs w:val="28"/>
        </w:rPr>
      </w:pPr>
    </w:p>
    <w:p w:rsidR="00101237" w:rsidRDefault="00101237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101237" w:rsidRDefault="00101237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101237" w:rsidRDefault="00101237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101237" w:rsidRDefault="00101237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101237" w:rsidRDefault="00101237">
      <w:pPr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101237" w:rsidRDefault="00101237">
      <w:pPr>
        <w:snapToGrid w:val="0"/>
        <w:spacing w:line="600" w:lineRule="exact"/>
        <w:rPr>
          <w:rFonts w:eastAsia="方正仿宋_GBK"/>
          <w:sz w:val="32"/>
          <w:szCs w:val="32"/>
        </w:rPr>
      </w:pPr>
    </w:p>
    <w:p w:rsidR="00101237" w:rsidRDefault="00F8664D">
      <w:pPr>
        <w:snapToGrid w:val="0"/>
        <w:spacing w:line="578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101237" w:rsidRDefault="00101237">
      <w:pPr>
        <w:snapToGrid w:val="0"/>
        <w:spacing w:line="578" w:lineRule="exact"/>
        <w:jc w:val="center"/>
        <w:rPr>
          <w:rFonts w:eastAsia="仿宋_GB2312"/>
          <w:sz w:val="44"/>
          <w:szCs w:val="44"/>
        </w:rPr>
      </w:pPr>
    </w:p>
    <w:p w:rsidR="00101237" w:rsidRDefault="00F8664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重庆市大足区民政局</w:t>
      </w:r>
    </w:p>
    <w:p w:rsidR="00101237" w:rsidRDefault="00F8664D">
      <w:pPr>
        <w:pStyle w:val="a5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大足区民政服务机构安全生产分类分级管理办法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》的通知</w:t>
      </w:r>
    </w:p>
    <w:p w:rsidR="00101237" w:rsidRDefault="00101237">
      <w:pPr>
        <w:overflowPunct w:val="0"/>
        <w:spacing w:line="579" w:lineRule="exact"/>
        <w:contextualSpacing/>
        <w:rPr>
          <w:rFonts w:ascii="方正仿宋_GBK" w:eastAsia="方正仿宋_GBK" w:hAnsi="方正仿宋_GBK" w:cs="方正仿宋_GBK"/>
          <w:spacing w:val="-11"/>
          <w:sz w:val="32"/>
          <w:szCs w:val="32"/>
        </w:rPr>
      </w:pPr>
    </w:p>
    <w:p w:rsidR="00101237" w:rsidRDefault="00F8664D">
      <w:pPr>
        <w:overflowPunct w:val="0"/>
        <w:spacing w:line="600" w:lineRule="exact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各镇街民政和社会（区）事务办，局机关各科室、站所、中心，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民政服务机构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101237" w:rsidRDefault="00F8664D">
      <w:pPr>
        <w:overflowPunct w:val="0"/>
        <w:spacing w:line="60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大足区民政服务机构安全生产分类分级管理办法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》已经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民政局党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次会议审议通过，现印发你们，请遵照执行。</w:t>
      </w:r>
    </w:p>
    <w:p w:rsidR="00101237" w:rsidRDefault="00101237">
      <w:pPr>
        <w:overflowPunct w:val="0"/>
        <w:spacing w:line="600" w:lineRule="exact"/>
        <w:contextualSpacing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overflowPunct w:val="0"/>
        <w:spacing w:line="600" w:lineRule="exact"/>
        <w:ind w:firstLineChars="1750" w:firstLine="5600"/>
        <w:contextualSpacing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F8664D">
      <w:pPr>
        <w:overflowPunct w:val="0"/>
        <w:spacing w:line="600" w:lineRule="exact"/>
        <w:ind w:firstLineChars="1400" w:firstLine="448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民政局</w:t>
      </w:r>
    </w:p>
    <w:p w:rsidR="00101237" w:rsidRDefault="00F8664D">
      <w:pPr>
        <w:overflowPunct w:val="0"/>
        <w:spacing w:line="600" w:lineRule="exact"/>
        <w:ind w:firstLineChars="1400" w:firstLine="4480"/>
        <w:contextualSpacing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25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101237" w:rsidRDefault="00F8664D">
      <w:pPr>
        <w:pStyle w:val="a5"/>
        <w:widowControl/>
        <w:spacing w:beforeAutospacing="0" w:afterAutospacing="0"/>
        <w:jc w:val="both"/>
        <w:rPr>
          <w:rFonts w:ascii="方正仿宋_GBK" w:eastAsia="方正仿宋_GBK" w:hAnsi="方正仿宋_GBK" w:cs="方正仿宋_GBK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lastRenderedPageBreak/>
        <w:t>大足区民政服务机构安全生产分类分级管理办法</w:t>
      </w:r>
    </w:p>
    <w:p w:rsidR="00101237" w:rsidRDefault="00F8664D">
      <w:pPr>
        <w:pStyle w:val="a5"/>
        <w:widowControl/>
        <w:spacing w:beforeAutospacing="0" w:afterAutospacing="0"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第一章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 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总则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第一条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为切实加强全区各级民政服务机构的安全生产管理工作，构建安全风险分级管控和隐患排查治理双重预防机制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化和落实各机构的安全生产主体责任，有效防范重特大生产安全事故发生，促进全区民政系统安全生产形势持续稳定好转，根据《中华人民共和国安全生产法》、《重庆市安全生产条例》、《重庆市消防条例》等法律、法规及有关规定，结合我区实际，制定本办法。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第二条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在我区行政区域范围内各级民政服务机构（具有独立办公场所或服务场所的养老服务、救助管理、未成年人救助保护、殡葬服务等机构）的安全生产分类分级管理，适用本办法。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第三条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各级民政服务机构安全生产管理坚持“管行业必须管安全、管业务必须管安全、管生产经营必须管安全”的原则，坚持“谁主管谁负责，属地管理”原则，坚持源头防范、全员参与、分级管控、动态管理原则。区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负责统筹协调、组织实施、监督指导民政服务机构的安全风险管控工作。</w:t>
      </w:r>
    </w:p>
    <w:p w:rsidR="00101237" w:rsidRDefault="00F8664D">
      <w:pPr>
        <w:pStyle w:val="a5"/>
        <w:widowControl/>
        <w:spacing w:beforeAutospacing="0" w:afterAutospacing="0"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第二章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 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民政服务机构分类分级标准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第四条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安全生产分类分级管理是指将全区各级民政服务机构，根据安全生产管理水平评定为红黄绿三级，分别表示“不合格”“一般”“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”。</w:t>
      </w:r>
    </w:p>
    <w:p w:rsidR="00101237" w:rsidRDefault="00F8664D">
      <w:pPr>
        <w:widowControl/>
        <w:spacing w:line="600" w:lineRule="exact"/>
        <w:ind w:firstLine="4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第五条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在安全等级评定中，民政及行业职能监管部门专业人员组成评定小组，运用科学方式方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法进行辨识、评估和分级。评估适用《大足区民政服务机构等级划分与评定标准（试行）》（附表），分值在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以上为绿灯机构；分值在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80-90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为黄灯机构；分值在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以下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或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被市里督查暗访挂牌、区委区政府及消防单位通报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为红灯机构。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第六条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分级管理实行不定期评议制度。</w:t>
      </w:r>
    </w:p>
    <w:p w:rsidR="00101237" w:rsidRDefault="00F8664D">
      <w:pPr>
        <w:pStyle w:val="a5"/>
        <w:widowControl/>
        <w:spacing w:beforeAutospacing="0" w:afterAutospacing="0"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第三章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 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分类分级管理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第七条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部门对辖区民政服务机构采取差异化管理。按照“巩固绿灯、提高黄灯、重点整治红灯”原则，对各级民政服务机构实施不同方式和频次强度的针对性监管、检查。对安全管理好的绿灯单位，减少一般性检查；对基本规范的黄灯单位，定期组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督导检查；对存在隐患和问题的红灯单位，重点检查监督，实施重点跟踪监管。</w:t>
      </w:r>
    </w:p>
    <w:p w:rsidR="00101237" w:rsidRDefault="00F8664D">
      <w:pPr>
        <w:pStyle w:val="a5"/>
        <w:overflowPunct w:val="0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第八条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在日常管理中，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民政部门要根据民政服务机构的不同等级进行监督检查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红灯为被市里督查暗访挂牌、区委区政府通报、消防单位通报及主管部门认为存在突出问题或严重安全隐患的，针对红灯机构，实行挂牌整治，联合执法，逐一销号。黄灯为一般性安全问题，主要是日常管理不到位等一般性问题，针对黄灯机构，督促其落实主体责任，及时完成整改，形成常态化制度。绿灯为安全达标，只进行例行检查。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第九条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对因重大隐患评为红灯的民政服务机构由区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民政部门提请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区级人民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政府进行挂牌督办。经停产、停业整顿仍不具备安全生产条件的，依法予以关闭。</w:t>
      </w:r>
    </w:p>
    <w:p w:rsidR="00101237" w:rsidRDefault="00F8664D">
      <w:pPr>
        <w:pStyle w:val="a5"/>
        <w:widowControl/>
        <w:spacing w:beforeAutospacing="0" w:afterAutospacing="0"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第四章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  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附则</w:t>
      </w:r>
    </w:p>
    <w:p w:rsidR="00101237" w:rsidRDefault="00F8664D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第十条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本办法自印发之日起施行。</w:t>
      </w:r>
    </w:p>
    <w:p w:rsidR="00101237" w:rsidRDefault="00101237">
      <w:pPr>
        <w:pStyle w:val="a5"/>
        <w:widowControl/>
        <w:spacing w:beforeAutospacing="0" w:afterAutospacing="0"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pStyle w:val="a5"/>
        <w:widowControl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pStyle w:val="a5"/>
        <w:widowControl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pStyle w:val="a5"/>
        <w:widowControl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pStyle w:val="a5"/>
        <w:widowControl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01237" w:rsidRDefault="00101237">
      <w:pPr>
        <w:pStyle w:val="a5"/>
        <w:widowControl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  <w:sectPr w:rsidR="00101237">
          <w:footerReference w:type="default" r:id="rId7"/>
          <w:pgSz w:w="11906" w:h="16838"/>
          <w:pgMar w:top="1984" w:right="1446" w:bottom="1644" w:left="1446" w:header="851" w:footer="992" w:gutter="0"/>
          <w:pgNumType w:fmt="numberInDash"/>
          <w:cols w:space="0"/>
          <w:docGrid w:type="lines" w:linePitch="319"/>
        </w:sectPr>
      </w:pPr>
    </w:p>
    <w:p w:rsidR="00101237" w:rsidRDefault="00F8664D">
      <w:pPr>
        <w:pStyle w:val="a5"/>
        <w:widowControl/>
        <w:spacing w:beforeAutospacing="0" w:afterAutospacing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大足区民政服务机构安全生产等级评分标准（试行）</w:t>
      </w:r>
    </w:p>
    <w:tbl>
      <w:tblPr>
        <w:tblW w:w="12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7553"/>
        <w:gridCol w:w="874"/>
        <w:gridCol w:w="870"/>
        <w:gridCol w:w="2264"/>
      </w:tblGrid>
      <w:tr w:rsidR="00101237">
        <w:trPr>
          <w:trHeight w:val="690"/>
          <w:jc w:val="center"/>
        </w:trPr>
        <w:tc>
          <w:tcPr>
            <w:tcW w:w="9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7553" w:type="dxa"/>
            <w:tcBorders>
              <w:top w:val="single" w:sz="6" w:space="0" w:color="2B2B2B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评定项目</w:t>
            </w:r>
          </w:p>
        </w:tc>
        <w:tc>
          <w:tcPr>
            <w:tcW w:w="874" w:type="dxa"/>
            <w:tcBorders>
              <w:top w:val="single" w:sz="6" w:space="0" w:color="2B2B2B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值</w:t>
            </w:r>
          </w:p>
        </w:tc>
        <w:tc>
          <w:tcPr>
            <w:tcW w:w="870" w:type="dxa"/>
            <w:tcBorders>
              <w:top w:val="single" w:sz="6" w:space="0" w:color="2B2B2B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得分</w:t>
            </w:r>
          </w:p>
        </w:tc>
        <w:tc>
          <w:tcPr>
            <w:tcW w:w="2264" w:type="dxa"/>
            <w:tcBorders>
              <w:top w:val="single" w:sz="6" w:space="0" w:color="2B2B2B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备注</w:t>
            </w:r>
          </w:p>
        </w:tc>
      </w:tr>
      <w:tr w:rsidR="00101237">
        <w:trPr>
          <w:trHeight w:val="37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安全发展理念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237">
        <w:trPr>
          <w:trHeight w:val="54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1.1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及时学习国家和市、区安委会重要会议及文件精神，召开会议专题研究安全生产工作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40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1.2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在元旦、春节、全国和全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市、全区“党代会”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“两会”、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五一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、国庆等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重要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间节点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安排安全工作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43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1.3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开展安全生产培训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37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建筑安全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当机构内不存在此类不安全因素时自动得分。</w:t>
            </w:r>
          </w:p>
        </w:tc>
      </w:tr>
      <w:tr w:rsidR="00101237">
        <w:trPr>
          <w:trHeight w:val="49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2.1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房屋结构安全，无年久失修、改变承重结构装修现象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43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2.2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机构场所周边环境安全，无自然灾害隐患风险点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3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2.3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对建筑物进行日常巡查，发现隐患及时处理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对建筑物进行日常维护，有记录。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36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2.4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无使用彩钢夹芯板和彩钢板复合保温材料搭建的建（构）筑物情况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42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2.5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无农村房屋违法改造用作民政服务机构场所情况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无加建改建扩建和改变用途行为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消防安全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237">
        <w:trPr>
          <w:trHeight w:val="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3.1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严格落实消防安全主体责任，明确消防安全责任人、管理人，配备专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兼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职安全管理人员（包括但不限于消防安全管理人员）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3.2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开展突发事件应急知识的宣传普及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制定、发布消防应急预案、组织应急演练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42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3.3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按照消防技术标准配置灭火器、火灾自动报警系统、自动喷水灭火系统、应急照明等消防设施设备，定期进行维护保养并完好有效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现场查看能否正常使用</w:t>
            </w:r>
          </w:p>
        </w:tc>
      </w:tr>
      <w:tr w:rsidR="00101237">
        <w:trPr>
          <w:trHeight w:val="43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3.4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疏散通道、安全出口保持畅通，在疏散通道、安全出口等重点位置设置消防安全警示、提示标识等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70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3.5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用火、用电、用油、用气制度健全；无私拉乱接电线，超负荷用电现象；在起居室、疗养室、病房内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无吸烟、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无使用明火、使用大功率电器设备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现象。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</w:t>
            </w:r>
          </w:p>
        </w:tc>
      </w:tr>
      <w:tr w:rsidR="00101237">
        <w:trPr>
          <w:trHeight w:val="6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食品安全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237">
        <w:trPr>
          <w:trHeight w:val="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4.1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严格执行民政服务机构食品安全操作规范和标准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3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4.2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食堂严格执行原料控制、餐具饮具清洗消毒等制度，定期开展食品安全自查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54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4.3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建立食品留样备查制度。每个品种留样量不少于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100g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，留样容器外应记录食品名称、时间、餐别、采样人，且储存时间不少于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48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小时。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查看制度、记录，现场查看</w:t>
            </w:r>
          </w:p>
        </w:tc>
      </w:tr>
      <w:tr w:rsidR="00101237">
        <w:trPr>
          <w:trHeight w:val="675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服务安全（专项）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237">
        <w:trPr>
          <w:trHeight w:val="9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5.1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养老机构服务安全。老年人综合评估、常见疾病护理、院内感染控制等工作制度健全；配备专职或兼职维修人员，定期对水、电、消防、通信、特种设备及取暖、降温、排污等设施设备进行维护和保养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96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5.2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救助管理机构服务安全。服务流程和工作规范等制度健全，接待、入站、离站等服务规范，对于机构内的传染病人、疑似传染病人和精神病人，临时安排其单独食宿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  <w:tr w:rsidR="00101237">
        <w:trPr>
          <w:trHeight w:val="810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5.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殡葬机构服务安全。规范业务档案的归档、保管、移交和销毁等，骨灰盒有序存放，无丢失情况发生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101237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1237" w:rsidRDefault="00F8664D">
            <w:pPr>
              <w:pStyle w:val="a5"/>
              <w:widowControl/>
              <w:spacing w:beforeAutospacing="0" w:afterAutospacing="0" w:line="400" w:lineRule="exact"/>
              <w:ind w:firstLine="42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现场查看相关印证资料</w:t>
            </w:r>
          </w:p>
        </w:tc>
      </w:tr>
    </w:tbl>
    <w:p w:rsidR="00101237" w:rsidRDefault="00101237">
      <w:pPr>
        <w:pStyle w:val="a5"/>
        <w:widowControl/>
        <w:spacing w:beforeAutospacing="0" w:afterAutospacing="0"/>
        <w:rPr>
          <w:rFonts w:ascii="方正仿宋_GBK" w:eastAsia="方正仿宋_GBK" w:hAnsi="方正仿宋_GBK" w:cs="方正仿宋_GBK"/>
          <w:sz w:val="32"/>
          <w:szCs w:val="32"/>
        </w:rPr>
        <w:sectPr w:rsidR="00101237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101237" w:rsidRDefault="00101237">
      <w:pPr>
        <w:pStyle w:val="a5"/>
        <w:widowControl/>
        <w:spacing w:beforeAutospacing="0" w:afterAutospacing="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Style w:val="a6"/>
        <w:tblpPr w:leftFromText="180" w:rightFromText="180" w:vertAnchor="text" w:horzAnchor="page" w:tblpX="1457" w:tblpY="11200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30"/>
      </w:tblGrid>
      <w:tr w:rsidR="00101237">
        <w:tc>
          <w:tcPr>
            <w:tcW w:w="9230" w:type="dxa"/>
            <w:tcBorders>
              <w:tl2br w:val="nil"/>
              <w:tr2bl w:val="nil"/>
            </w:tcBorders>
            <w:noWrap/>
          </w:tcPr>
          <w:p w:rsidR="00101237" w:rsidRDefault="00F8664D">
            <w:pPr>
              <w:overflowPunct w:val="0"/>
              <w:snapToGrid w:val="0"/>
              <w:spacing w:line="579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抄送：区住房城乡建委，区应急局，区市场监管局，区消防救援支队。</w:t>
            </w:r>
          </w:p>
        </w:tc>
      </w:tr>
      <w:tr w:rsidR="00101237">
        <w:tc>
          <w:tcPr>
            <w:tcW w:w="9230" w:type="dxa"/>
            <w:tcBorders>
              <w:tl2br w:val="nil"/>
              <w:tr2bl w:val="nil"/>
            </w:tcBorders>
            <w:noWrap/>
          </w:tcPr>
          <w:p w:rsidR="00101237" w:rsidRDefault="00F8664D">
            <w:pPr>
              <w:overflowPunct w:val="0"/>
              <w:snapToGrid w:val="0"/>
              <w:spacing w:line="579" w:lineRule="exact"/>
              <w:rPr>
                <w:rFonts w:ascii="Times New Roman" w:eastAsia="方正仿宋_GBK" w:hAnsi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重庆市大足区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民政局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办公室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日印发</w:t>
            </w:r>
          </w:p>
        </w:tc>
      </w:tr>
    </w:tbl>
    <w:p w:rsidR="00101237" w:rsidRDefault="00101237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101237" w:rsidSect="00101237">
      <w:pgSz w:w="11906" w:h="16838"/>
      <w:pgMar w:top="1984" w:right="1446" w:bottom="1644" w:left="1446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4D" w:rsidRDefault="00F8664D" w:rsidP="00101237">
      <w:r>
        <w:separator/>
      </w:r>
    </w:p>
  </w:endnote>
  <w:endnote w:type="continuationSeparator" w:id="1">
    <w:p w:rsidR="00F8664D" w:rsidRDefault="00F8664D" w:rsidP="0010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7" w:rsidRDefault="001012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101237" w:rsidRDefault="00101237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8664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87134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4D" w:rsidRDefault="00F8664D" w:rsidP="00101237">
      <w:r>
        <w:separator/>
      </w:r>
    </w:p>
  </w:footnote>
  <w:footnote w:type="continuationSeparator" w:id="1">
    <w:p w:rsidR="00F8664D" w:rsidRDefault="00F8664D" w:rsidP="00101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132F9D"/>
    <w:rsid w:val="BAB5F3FC"/>
    <w:rsid w:val="BFE7AC4D"/>
    <w:rsid w:val="FEFFC35C"/>
    <w:rsid w:val="00101237"/>
    <w:rsid w:val="00267F14"/>
    <w:rsid w:val="002A10C9"/>
    <w:rsid w:val="002B09EF"/>
    <w:rsid w:val="0030169F"/>
    <w:rsid w:val="00C87134"/>
    <w:rsid w:val="00F8664D"/>
    <w:rsid w:val="13253B59"/>
    <w:rsid w:val="1C3E53B5"/>
    <w:rsid w:val="220570D7"/>
    <w:rsid w:val="25F5D5FF"/>
    <w:rsid w:val="26362091"/>
    <w:rsid w:val="27132F9D"/>
    <w:rsid w:val="29131E05"/>
    <w:rsid w:val="2CA81A06"/>
    <w:rsid w:val="32861F79"/>
    <w:rsid w:val="55778BAC"/>
    <w:rsid w:val="6BA76F92"/>
    <w:rsid w:val="73FD4904"/>
    <w:rsid w:val="7AEF41C0"/>
    <w:rsid w:val="7AFDB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2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0123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101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012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123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51">
    <w:name w:val="索引 51"/>
    <w:basedOn w:val="a"/>
    <w:next w:val="a"/>
    <w:qFormat/>
    <w:rsid w:val="00101237"/>
    <w:pPr>
      <w:ind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cp:lastPrinted>2022-01-26T01:04:00Z</cp:lastPrinted>
  <dcterms:created xsi:type="dcterms:W3CDTF">2022-01-30T01:46:00Z</dcterms:created>
  <dcterms:modified xsi:type="dcterms:W3CDTF">2022-01-30T01:46:00Z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