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方正小标宋_GBK" w:hAnsi="楷体" w:eastAsia="方正小标宋_GBK" w:cs="Times New Roman"/>
          <w:color w:val="000000" w:themeColor="text1"/>
          <w:kern w:val="0"/>
          <w:sz w:val="44"/>
          <w:szCs w:val="44"/>
          <w:lang w:val="en-US" w:eastAsia="zh-CN"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重庆市大足区儿童福利</w:t>
      </w:r>
      <w:r>
        <w:rPr>
          <w:rFonts w:hint="eastAsia" w:ascii="方正小标宋_GBK" w:hAnsi="楷体" w:eastAsia="方正小标宋_GBK" w:cs="Times New Roman"/>
          <w:color w:val="000000" w:themeColor="text1"/>
          <w:kern w:val="0"/>
          <w:sz w:val="44"/>
          <w:szCs w:val="44"/>
          <w:lang w:val="en-US" w:eastAsia="zh-CN" w:bidi="ar-SA"/>
          <w14:textFill>
            <w14:solidFill>
              <w14:schemeClr w14:val="tx1"/>
            </w14:solidFill>
          </w14:textFill>
        </w:rPr>
        <w:t>与未成年人</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firstLineChars="0"/>
        <w:jc w:val="center"/>
        <w:textAlignment w:val="auto"/>
        <w:rPr>
          <w:rFonts w:ascii="方正小标宋_GBK" w:hAnsi="楷体" w:eastAsia="方正小标宋_GBK" w:cs="Times New Roman"/>
          <w:color w:val="000000" w:themeColor="text1"/>
          <w:kern w:val="0"/>
          <w:sz w:val="44"/>
          <w:szCs w:val="44"/>
          <w:lang w:val="en-US"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eastAsia="zh-CN" w:bidi="ar-SA"/>
          <w14:textFill>
            <w14:solidFill>
              <w14:schemeClr w14:val="tx1"/>
            </w14:solidFill>
          </w14:textFill>
        </w:rPr>
        <w:t>保护</w:t>
      </w: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事业发展“十四五”规划</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firstLineChars="0"/>
        <w:jc w:val="center"/>
        <w:textAlignment w:val="auto"/>
        <w:rPr>
          <w:rFonts w:ascii="方正小标宋_GBK" w:hAnsi="楷体" w:eastAsia="方正小标宋_GBK" w:cs="Times New Roman"/>
          <w:color w:val="000000" w:themeColor="text1"/>
          <w:kern w:val="0"/>
          <w:sz w:val="44"/>
          <w:szCs w:val="44"/>
          <w:lang w:val="en-US"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（征求意见稿）</w:t>
      </w: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Style w:val="2"/>
        <w:rPr>
          <w:kern w:val="2"/>
          <w:sz w:val="32"/>
          <w:szCs w:val="24"/>
          <w:lang w:val="en-US" w:bidi="ar-SA"/>
        </w:rPr>
      </w:pPr>
    </w:p>
    <w:p>
      <w:pPr>
        <w:rPr>
          <w:lang w:val="en-US"/>
        </w:rPr>
      </w:pPr>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p>
    <w:p>
      <w:pPr>
        <w:pageBreakBefore w:val="0"/>
        <w:kinsoku/>
        <w:wordWrap/>
        <w:overflowPunct/>
        <w:topLinePunct w:val="0"/>
        <w:autoSpaceDE/>
        <w:autoSpaceDN/>
        <w:bidi w:val="0"/>
        <w:snapToGrid/>
        <w:spacing w:before="0" w:after="0" w:line="240" w:lineRule="auto"/>
        <w:ind w:left="0" w:leftChars="0" w:right="0" w:firstLine="0" w:firstLineChars="0"/>
        <w:jc w:val="center"/>
        <w:rPr>
          <w:rFonts w:hint="eastAsia" w:ascii="方正楷体_GBK" w:hAnsi="等线" w:eastAsia="方正楷体_GBK" w:cs="Times New Roman"/>
          <w:color w:val="000000"/>
          <w:kern w:val="0"/>
          <w:sz w:val="32"/>
          <w:szCs w:val="32"/>
          <w:lang w:val="en-US" w:bidi="ar-SA"/>
        </w:rPr>
      </w:pPr>
      <w:r>
        <w:rPr>
          <w:rFonts w:hint="eastAsia" w:ascii="方正楷体_GBK" w:hAnsi="等线" w:eastAsia="方正楷体_GBK" w:cs="Times New Roman"/>
          <w:color w:val="000000"/>
          <w:kern w:val="0"/>
          <w:sz w:val="32"/>
          <w:szCs w:val="32"/>
          <w:lang w:val="en-US" w:bidi="ar-SA"/>
        </w:rPr>
        <w:t>202</w:t>
      </w:r>
      <w:r>
        <w:rPr>
          <w:rFonts w:hint="eastAsia" w:ascii="方正楷体_GBK" w:hAnsi="等线" w:eastAsia="方正楷体_GBK" w:cs="Times New Roman"/>
          <w:color w:val="000000"/>
          <w:kern w:val="0"/>
          <w:sz w:val="32"/>
          <w:szCs w:val="32"/>
          <w:lang w:val="en-US" w:eastAsia="zh-CN" w:bidi="ar-SA"/>
        </w:rPr>
        <w:t>2</w:t>
      </w:r>
      <w:r>
        <w:rPr>
          <w:rFonts w:hint="eastAsia" w:ascii="方正楷体_GBK" w:hAnsi="等线" w:eastAsia="方正楷体_GBK" w:cs="Times New Roman"/>
          <w:color w:val="000000"/>
          <w:kern w:val="0"/>
          <w:sz w:val="32"/>
          <w:szCs w:val="32"/>
          <w:lang w:val="en-US" w:bidi="ar-SA"/>
        </w:rPr>
        <w:t>年</w:t>
      </w:r>
      <w:r>
        <w:rPr>
          <w:rFonts w:hint="eastAsia" w:ascii="方正楷体_GBK" w:hAnsi="等线" w:eastAsia="方正楷体_GBK" w:cs="Times New Roman"/>
          <w:color w:val="000000"/>
          <w:kern w:val="0"/>
          <w:sz w:val="32"/>
          <w:szCs w:val="32"/>
          <w:lang w:val="en-US" w:eastAsia="zh-CN" w:bidi="ar-SA"/>
        </w:rPr>
        <w:t>5</w:t>
      </w:r>
      <w:r>
        <w:rPr>
          <w:rFonts w:hint="eastAsia" w:ascii="方正楷体_GBK" w:hAnsi="等线" w:eastAsia="方正楷体_GBK" w:cs="Times New Roman"/>
          <w:color w:val="000000"/>
          <w:kern w:val="0"/>
          <w:sz w:val="32"/>
          <w:szCs w:val="32"/>
          <w:lang w:val="en-US" w:bidi="ar-SA"/>
        </w:rPr>
        <w:t>月</w:t>
      </w:r>
    </w:p>
    <w:p>
      <w:pPr>
        <w:pStyle w:val="2"/>
        <w:rPr>
          <w:rFonts w:hint="eastAsia" w:ascii="方正楷体_GBK" w:hAnsi="等线" w:eastAsia="方正楷体_GBK" w:cs="Times New Roman"/>
          <w:color w:val="000000"/>
          <w:kern w:val="0"/>
          <w:sz w:val="32"/>
          <w:szCs w:val="32"/>
          <w:lang w:val="en-US" w:bidi="ar-SA"/>
        </w:rPr>
      </w:pPr>
    </w:p>
    <w:p>
      <w:pPr>
        <w:rPr>
          <w:rFonts w:hint="eastAsia" w:ascii="方正楷体_GBK" w:hAnsi="等线" w:eastAsia="方正楷体_GBK" w:cs="Times New Roman"/>
          <w:color w:val="000000"/>
          <w:kern w:val="0"/>
          <w:sz w:val="32"/>
          <w:szCs w:val="32"/>
          <w:lang w:val="en-US" w:bidi="ar-SA"/>
        </w:rPr>
      </w:pPr>
    </w:p>
    <w:p>
      <w:pPr>
        <w:pStyle w:val="2"/>
        <w:rPr>
          <w:rFonts w:hint="eastAsia"/>
          <w:lang w:val="en-US"/>
        </w:rPr>
      </w:pPr>
    </w:p>
    <w:sdt>
      <w:sdtPr>
        <w:rPr>
          <w:rFonts w:ascii="方正仿宋_GBK" w:hAnsi="方正仿宋_GBK" w:eastAsia="方正仿宋_GBK" w:cs="方正仿宋_GBK"/>
          <w:b/>
          <w:color w:val="auto"/>
          <w:kern w:val="2"/>
          <w:sz w:val="24"/>
          <w:szCs w:val="24"/>
          <w:lang w:val="zh-CN" w:eastAsia="zh-CN" w:bidi="ar-SA"/>
        </w:rPr>
        <w:id w:val="-2059700813"/>
        <w:docPartObj>
          <w:docPartGallery w:val="Table of Contents"/>
          <w:docPartUnique/>
        </w:docPartObj>
      </w:sdtPr>
      <w:sdtEndPr>
        <w:rPr>
          <w:rStyle w:val="6"/>
          <w:rFonts w:hint="eastAsia" w:ascii="黑体" w:hAnsi="黑体" w:eastAsia="黑体" w:cs="黑体"/>
          <w:b w:val="0"/>
          <w:color w:val="auto"/>
          <w:kern w:val="0"/>
          <w:sz w:val="24"/>
          <w:szCs w:val="24"/>
          <w:u w:val="single"/>
          <w:lang w:val="zh-CN" w:eastAsia="zh-CN" w:bidi="ar-SA"/>
        </w:rPr>
      </w:sdtEndPr>
      <w:sdtContent>
        <w:p>
          <w:pPr>
            <w:widowControl w:val="0"/>
            <w:tabs>
              <w:tab w:val="right" w:leader="dot" w:pos="9070"/>
            </w:tabs>
            <w:spacing w:line="580" w:lineRule="exact"/>
            <w:ind w:firstLine="482" w:firstLineChars="200"/>
            <w:jc w:val="both"/>
            <w:rPr>
              <w:rFonts w:ascii="方正仿宋_GBK" w:hAnsi="方正仿宋_GBK" w:eastAsia="方正仿宋_GBK" w:cs="方正仿宋_GBK"/>
              <w:b/>
              <w:color w:val="auto"/>
              <w:kern w:val="2"/>
              <w:sz w:val="24"/>
              <w:szCs w:val="24"/>
              <w:lang w:val="zh-CN" w:eastAsia="zh-CN" w:bidi="ar-SA"/>
            </w:rPr>
          </w:pPr>
        </w:p>
        <w:p>
          <w:pPr>
            <w:keepNext/>
            <w:keepLines/>
            <w:pageBreakBefore w:val="0"/>
            <w:widowControl/>
            <w:kinsoku/>
            <w:wordWrap/>
            <w:overflowPunct/>
            <w:topLinePunct w:val="0"/>
            <w:bidi w:val="0"/>
            <w:snapToGrid/>
            <w:spacing w:before="0" w:beforeLines="0" w:after="0" w:afterLines="0" w:line="240" w:lineRule="auto"/>
            <w:ind w:firstLine="643" w:firstLineChars="200"/>
            <w:jc w:val="center"/>
            <w:outlineLvl w:val="9"/>
            <w:rPr>
              <w:rFonts w:hint="eastAsia" w:ascii="黑体" w:hAnsi="黑体" w:eastAsia="黑体" w:cs="Times New Roman"/>
              <w:b/>
              <w:color w:val="000000" w:themeColor="text1"/>
              <w:kern w:val="0"/>
              <w:sz w:val="32"/>
              <w:szCs w:val="28"/>
              <w:lang w:val="zh-CN" w:eastAsia="zh-CN" w:bidi="ar-SA"/>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985" w:right="1418" w:bottom="1644" w:left="1418" w:header="851" w:footer="992" w:gutter="0"/>
              <w:pgNumType w:fmt="decimal"/>
              <w:cols w:space="0" w:num="1"/>
              <w:docGrid w:type="lines" w:linePitch="600" w:charSpace="0"/>
            </w:sectPr>
          </w:pPr>
        </w:p>
        <w:p>
          <w:pPr>
            <w:keepNext/>
            <w:keepLines/>
            <w:pageBreakBefore w:val="0"/>
            <w:widowControl/>
            <w:kinsoku/>
            <w:wordWrap/>
            <w:overflowPunct/>
            <w:topLinePunct w:val="0"/>
            <w:bidi w:val="0"/>
            <w:snapToGrid/>
            <w:spacing w:before="0" w:beforeLines="0" w:after="0" w:afterLines="0" w:line="240" w:lineRule="auto"/>
            <w:ind w:firstLine="643" w:firstLineChars="200"/>
            <w:jc w:val="center"/>
            <w:outlineLvl w:val="9"/>
            <w:rPr>
              <w:rFonts w:asciiTheme="majorHAnsi" w:hAnsiTheme="majorHAnsi" w:eastAsiaTheme="majorEastAsia" w:cstheme="majorBidi"/>
              <w:color w:val="2E75B6" w:themeColor="accent1" w:themeShade="BF"/>
              <w:kern w:val="0"/>
              <w:sz w:val="32"/>
              <w:szCs w:val="32"/>
              <w:lang w:val="en-US" w:eastAsia="zh-CN" w:bidi="ar-SA"/>
            </w:rPr>
          </w:pPr>
          <w:r>
            <w:rPr>
              <w:rFonts w:hint="eastAsia" w:ascii="黑体" w:hAnsi="黑体" w:eastAsia="黑体" w:cs="Times New Roman"/>
              <w:b/>
              <w:color w:val="000000" w:themeColor="text1"/>
              <w:kern w:val="0"/>
              <w:sz w:val="32"/>
              <w:szCs w:val="28"/>
              <w:lang w:val="zh-CN" w:eastAsia="zh-CN" w:bidi="ar-SA"/>
              <w14:textFill>
                <w14:solidFill>
                  <w14:schemeClr w14:val="tx1"/>
                </w14:solidFill>
              </w14:textFill>
            </w:rPr>
            <w:t>目</w:t>
          </w:r>
          <w:r>
            <w:rPr>
              <w:rFonts w:hint="eastAsia" w:ascii="黑体" w:hAnsi="黑体" w:eastAsia="黑体" w:cs="Times New Roman"/>
              <w:b/>
              <w:color w:val="000000" w:themeColor="text1"/>
              <w:kern w:val="0"/>
              <w:sz w:val="32"/>
              <w:szCs w:val="28"/>
              <w:lang w:val="en-US" w:eastAsia="zh-CN" w:bidi="ar-SA"/>
              <w14:textFill>
                <w14:solidFill>
                  <w14:schemeClr w14:val="tx1"/>
                </w14:solidFill>
              </w14:textFill>
            </w:rPr>
            <w:t xml:space="preserve"> </w:t>
          </w:r>
          <w:r>
            <w:rPr>
              <w:rFonts w:hint="eastAsia" w:ascii="黑体" w:hAnsi="黑体" w:eastAsia="黑体" w:cs="Times New Roman"/>
              <w:b/>
              <w:color w:val="000000" w:themeColor="text1"/>
              <w:kern w:val="0"/>
              <w:sz w:val="32"/>
              <w:szCs w:val="28"/>
              <w:lang w:val="zh-CN" w:eastAsia="zh-CN" w:bidi="ar-SA"/>
              <w14:textFill>
                <w14:solidFill>
                  <w14:schemeClr w14:val="tx1"/>
                </w14:solidFill>
              </w14:textFill>
            </w:rPr>
            <w:t>录</w:t>
          </w:r>
        </w:p>
        <w:p>
          <w:pPr>
            <w:widowControl w:val="0"/>
            <w:tabs>
              <w:tab w:val="right" w:leader="dot" w:pos="9070"/>
            </w:tabs>
            <w:spacing w:line="580" w:lineRule="exact"/>
            <w:ind w:firstLine="480" w:firstLineChars="200"/>
            <w:jc w:val="both"/>
            <w:rPr>
              <w:rFonts w:hint="eastAsia" w:ascii="黑体" w:hAnsi="黑体" w:eastAsia="黑体" w:cs="黑体"/>
              <w:b/>
              <w:kern w:val="2"/>
              <w:sz w:val="28"/>
              <w:szCs w:val="28"/>
              <w:lang w:val="en-US" w:eastAsia="zh-CN" w:bidi="ar-SA"/>
            </w:rPr>
          </w:pPr>
          <w:r>
            <w:rPr>
              <w:rStyle w:val="6"/>
              <w:rFonts w:hint="eastAsia" w:ascii="黑体" w:hAnsi="黑体" w:eastAsia="黑体" w:cs="黑体"/>
              <w:b w:val="0"/>
              <w:kern w:val="0"/>
              <w:sz w:val="24"/>
              <w:szCs w:val="24"/>
              <w:lang w:val="en-US" w:eastAsia="zh-CN" w:bidi="ar-SA"/>
            </w:rPr>
            <w:fldChar w:fldCharType="begin"/>
          </w:r>
          <w:r>
            <w:rPr>
              <w:rStyle w:val="6"/>
              <w:rFonts w:hint="eastAsia" w:ascii="黑体" w:hAnsi="黑体" w:eastAsia="黑体" w:cs="黑体"/>
              <w:b w:val="0"/>
              <w:kern w:val="0"/>
              <w:sz w:val="24"/>
              <w:szCs w:val="24"/>
              <w:lang w:val="en-US" w:eastAsia="zh-CN" w:bidi="ar-SA"/>
            </w:rPr>
            <w:instrText xml:space="preserve"> TOC \o "1-3" \h \z \u </w:instrText>
          </w:r>
          <w:r>
            <w:rPr>
              <w:rStyle w:val="6"/>
              <w:rFonts w:hint="eastAsia" w:ascii="黑体" w:hAnsi="黑体" w:eastAsia="黑体" w:cs="黑体"/>
              <w:b w:val="0"/>
              <w:kern w:val="0"/>
              <w:sz w:val="24"/>
              <w:szCs w:val="24"/>
              <w:lang w:val="en-US" w:eastAsia="zh-CN" w:bidi="ar-SA"/>
            </w:rPr>
            <w:fldChar w:fldCharType="separate"/>
          </w:r>
          <w:r>
            <w:rPr>
              <w:rFonts w:hint="eastAsia" w:ascii="黑体" w:hAnsi="黑体" w:eastAsia="黑体" w:cs="黑体"/>
              <w:b/>
              <w:kern w:val="0"/>
              <w:sz w:val="28"/>
              <w:szCs w:val="28"/>
              <w:lang w:val="en-US" w:eastAsia="zh-CN" w:bidi="ar-SA"/>
            </w:rPr>
            <w:fldChar w:fldCharType="begin"/>
          </w:r>
          <w:r>
            <w:rPr>
              <w:rFonts w:hint="eastAsia" w:ascii="黑体" w:hAnsi="黑体" w:eastAsia="黑体" w:cs="黑体"/>
              <w:b/>
              <w:kern w:val="0"/>
              <w:sz w:val="28"/>
              <w:szCs w:val="28"/>
              <w:lang w:val="en-US" w:eastAsia="zh-CN" w:bidi="ar-SA"/>
            </w:rPr>
            <w:instrText xml:space="preserve"> HYPERLINK \l _Toc32367 </w:instrText>
          </w:r>
          <w:r>
            <w:rPr>
              <w:rFonts w:hint="eastAsia" w:ascii="黑体" w:hAnsi="黑体" w:eastAsia="黑体" w:cs="黑体"/>
              <w:b/>
              <w:kern w:val="0"/>
              <w:sz w:val="28"/>
              <w:szCs w:val="28"/>
              <w:lang w:val="en-US" w:eastAsia="zh-CN" w:bidi="ar-SA"/>
            </w:rPr>
            <w:fldChar w:fldCharType="separate"/>
          </w:r>
          <w:r>
            <w:rPr>
              <w:rFonts w:hint="eastAsia" w:ascii="黑体" w:hAnsi="黑体" w:eastAsia="黑体" w:cs="黑体"/>
              <w:b/>
              <w:kern w:val="2"/>
              <w:sz w:val="28"/>
              <w:szCs w:val="28"/>
              <w:lang w:val="en-US" w:eastAsia="zh-CN" w:bidi="ar-SA"/>
            </w:rPr>
            <w:t>一、“十四五”儿童福利与未成年人保护事业发展思路和目标</w:t>
          </w:r>
          <w:r>
            <w:rPr>
              <w:rFonts w:hint="eastAsia" w:ascii="黑体" w:hAnsi="黑体" w:eastAsia="黑体" w:cs="黑体"/>
              <w:b/>
              <w:kern w:val="2"/>
              <w:sz w:val="28"/>
              <w:szCs w:val="28"/>
              <w:lang w:val="en-US" w:eastAsia="zh-CN" w:bidi="ar-SA"/>
            </w:rPr>
            <w:tab/>
          </w:r>
          <w:r>
            <w:rPr>
              <w:rFonts w:hint="eastAsia" w:ascii="黑体" w:hAnsi="黑体" w:eastAsia="黑体" w:cs="黑体"/>
              <w:b/>
              <w:kern w:val="2"/>
              <w:sz w:val="28"/>
              <w:szCs w:val="28"/>
              <w:lang w:val="en-US" w:eastAsia="zh-CN" w:bidi="ar-SA"/>
            </w:rPr>
            <w:fldChar w:fldCharType="begin"/>
          </w:r>
          <w:r>
            <w:rPr>
              <w:rFonts w:hint="eastAsia" w:ascii="黑体" w:hAnsi="黑体" w:eastAsia="黑体" w:cs="黑体"/>
              <w:b/>
              <w:kern w:val="2"/>
              <w:sz w:val="28"/>
              <w:szCs w:val="28"/>
              <w:lang w:val="en-US" w:eastAsia="zh-CN" w:bidi="ar-SA"/>
            </w:rPr>
            <w:instrText xml:space="preserve"> PAGEREF _Toc32367 \h </w:instrText>
          </w:r>
          <w:r>
            <w:rPr>
              <w:rFonts w:hint="eastAsia" w:ascii="黑体" w:hAnsi="黑体" w:eastAsia="黑体" w:cs="黑体"/>
              <w:b/>
              <w:kern w:val="2"/>
              <w:sz w:val="28"/>
              <w:szCs w:val="28"/>
              <w:lang w:val="en-US" w:eastAsia="zh-CN" w:bidi="ar-SA"/>
            </w:rPr>
            <w:fldChar w:fldCharType="separate"/>
          </w:r>
          <w:r>
            <w:rPr>
              <w:rFonts w:hint="eastAsia" w:ascii="黑体" w:hAnsi="黑体" w:eastAsia="黑体" w:cs="黑体"/>
              <w:b/>
              <w:kern w:val="2"/>
              <w:sz w:val="28"/>
              <w:szCs w:val="28"/>
              <w:lang w:val="en-US" w:eastAsia="zh-CN" w:bidi="ar-SA"/>
            </w:rPr>
            <w:t>3</w:t>
          </w:r>
          <w:r>
            <w:rPr>
              <w:rFonts w:hint="eastAsia" w:ascii="黑体" w:hAnsi="黑体" w:eastAsia="黑体" w:cs="黑体"/>
              <w:b/>
              <w:kern w:val="2"/>
              <w:sz w:val="28"/>
              <w:szCs w:val="28"/>
              <w:lang w:val="en-US" w:eastAsia="zh-CN" w:bidi="ar-SA"/>
            </w:rPr>
            <w:fldChar w:fldCharType="end"/>
          </w:r>
          <w:r>
            <w:rPr>
              <w:rFonts w:hint="eastAsia" w:ascii="黑体" w:hAnsi="黑体" w:eastAsia="黑体" w:cs="黑体"/>
              <w:b/>
              <w:kern w:val="0"/>
              <w:sz w:val="28"/>
              <w:szCs w:val="28"/>
              <w:lang w:val="en-US"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_Toc21969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（一）“十三五”儿童福利与未成年人保护事业发展取得显著成绩</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_Toc21969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3</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_Toc7309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（二）当前儿童福利与未成年人保护事业发展面临的机遇和挑战</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_Toc7309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5</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_Toc17055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（三）“十四五”时期儿童福利与未成年人保护事业发展的指导思想</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_Toc17055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7</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2"/>
              <w:sz w:val="24"/>
              <w:szCs w:val="24"/>
              <w:lang w:val="en-US"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_Toc32456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（四） “十四五”时期儿童福利与未成年人保护事业的发展目标</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_Toc32456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9</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firstLine="562" w:firstLineChars="200"/>
            <w:jc w:val="both"/>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HYPERLINK \l _Toc10142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en-US" w:eastAsia="zh-CN" w:bidi="ar-SA"/>
            </w:rPr>
            <w:t>二、健全孤儿和事实无人抚养儿童保障体系</w:t>
          </w:r>
          <w:r>
            <w:rPr>
              <w:rFonts w:hint="eastAsia" w:ascii="黑体" w:hAnsi="黑体" w:eastAsia="黑体" w:cs="黑体"/>
              <w:b/>
              <w:kern w:val="2"/>
              <w:sz w:val="28"/>
              <w:szCs w:val="28"/>
              <w:lang w:val="en-US" w:eastAsia="zh-CN" w:bidi="ar-SA"/>
            </w:rPr>
            <w:tab/>
          </w:r>
          <w:r>
            <w:rPr>
              <w:rFonts w:hint="eastAsia" w:ascii="黑体" w:hAnsi="黑体" w:eastAsia="黑体" w:cs="黑体"/>
              <w:b/>
              <w:kern w:val="2"/>
              <w:sz w:val="28"/>
              <w:szCs w:val="28"/>
              <w:lang w:val="en-US" w:eastAsia="zh-CN" w:bidi="ar-SA"/>
            </w:rPr>
            <w:fldChar w:fldCharType="begin"/>
          </w:r>
          <w:r>
            <w:rPr>
              <w:rFonts w:hint="eastAsia" w:ascii="黑体" w:hAnsi="黑体" w:eastAsia="黑体" w:cs="黑体"/>
              <w:b/>
              <w:kern w:val="2"/>
              <w:sz w:val="28"/>
              <w:szCs w:val="28"/>
              <w:lang w:val="en-US" w:eastAsia="zh-CN" w:bidi="ar-SA"/>
            </w:rPr>
            <w:instrText xml:space="preserve"> PAGEREF _Toc10142 \h </w:instrText>
          </w:r>
          <w:r>
            <w:rPr>
              <w:rFonts w:hint="eastAsia" w:ascii="黑体" w:hAnsi="黑体" w:eastAsia="黑体" w:cs="黑体"/>
              <w:b/>
              <w:kern w:val="2"/>
              <w:sz w:val="28"/>
              <w:szCs w:val="28"/>
              <w:lang w:val="en-US" w:eastAsia="zh-CN" w:bidi="ar-SA"/>
            </w:rPr>
            <w:fldChar w:fldCharType="separate"/>
          </w:r>
          <w:r>
            <w:rPr>
              <w:rFonts w:hint="eastAsia" w:ascii="黑体" w:hAnsi="黑体" w:eastAsia="黑体" w:cs="黑体"/>
              <w:b/>
              <w:kern w:val="2"/>
              <w:sz w:val="28"/>
              <w:szCs w:val="28"/>
              <w:lang w:val="en-US" w:eastAsia="zh-CN" w:bidi="ar-SA"/>
            </w:rPr>
            <w:t>12</w:t>
          </w:r>
          <w:r>
            <w:rPr>
              <w:rFonts w:hint="eastAsia" w:ascii="黑体" w:hAnsi="黑体" w:eastAsia="黑体" w:cs="黑体"/>
              <w:b/>
              <w:kern w:val="2"/>
              <w:sz w:val="28"/>
              <w:szCs w:val="28"/>
              <w:lang w:val="en-US" w:eastAsia="zh-CN" w:bidi="ar-SA"/>
            </w:rPr>
            <w:fldChar w:fldCharType="end"/>
          </w:r>
          <w:r>
            <w:rPr>
              <w:rFonts w:hint="eastAsia" w:ascii="黑体" w:hAnsi="黑体" w:eastAsia="黑体" w:cs="黑体"/>
              <w:b/>
              <w:kern w:val="2"/>
              <w:sz w:val="28"/>
              <w:szCs w:val="28"/>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_Toc7128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（一）提高孤儿和事实无人抚养儿童保障水平</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_Toc7128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12</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_Toc7916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（二）优化孤儿养育模式</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_Toc7916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13</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_Toc11324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（三）强化机构孤儿成年后安置工作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_Toc11324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14</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firstLine="562" w:firstLineChars="200"/>
            <w:jc w:val="both"/>
            <w:rPr>
              <w:rFonts w:hint="eastAsia" w:ascii="黑体" w:hAnsi="黑体" w:eastAsia="黑体" w:cs="黑体"/>
              <w:b/>
              <w:kern w:val="2"/>
              <w:sz w:val="28"/>
              <w:szCs w:val="28"/>
              <w:lang w:val="zh-CN" w:eastAsia="zh-CN" w:bidi="ar-SA"/>
            </w:rPr>
          </w:pP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HYPERLINK \l _Toc16132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en-US" w:eastAsia="zh-CN" w:bidi="ar-SA"/>
            </w:rPr>
            <w:t>三、</w:t>
          </w:r>
          <w:r>
            <w:rPr>
              <w:rFonts w:hint="eastAsia" w:ascii="黑体" w:hAnsi="黑体" w:eastAsia="黑体" w:cs="黑体"/>
              <w:b/>
              <w:kern w:val="2"/>
              <w:sz w:val="28"/>
              <w:szCs w:val="28"/>
              <w:lang w:val="zh-CN" w:eastAsia="zh-CN" w:bidi="ar-SA"/>
            </w:rPr>
            <w:t>构建未成年人保护体系</w:t>
          </w:r>
          <w:r>
            <w:rPr>
              <w:rFonts w:hint="eastAsia" w:ascii="黑体" w:hAnsi="黑体" w:eastAsia="黑体" w:cs="黑体"/>
              <w:b/>
              <w:kern w:val="2"/>
              <w:sz w:val="28"/>
              <w:szCs w:val="28"/>
              <w:lang w:val="zh-CN" w:eastAsia="zh-CN" w:bidi="ar-SA"/>
            </w:rPr>
            <w:tab/>
          </w: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PAGEREF _Toc16132 \h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zh-CN" w:eastAsia="zh-CN" w:bidi="ar-SA"/>
            </w:rPr>
            <w:t>15</w:t>
          </w:r>
          <w:r>
            <w:rPr>
              <w:rFonts w:hint="eastAsia" w:ascii="黑体" w:hAnsi="黑体" w:eastAsia="黑体" w:cs="黑体"/>
              <w:b/>
              <w:kern w:val="2"/>
              <w:sz w:val="28"/>
              <w:szCs w:val="28"/>
              <w:lang w:val="zh-CN" w:eastAsia="zh-CN" w:bidi="ar-SA"/>
            </w:rPr>
            <w:fldChar w:fldCharType="end"/>
          </w:r>
          <w:r>
            <w:rPr>
              <w:rFonts w:hint="eastAsia" w:ascii="黑体" w:hAnsi="黑体" w:eastAsia="黑体" w:cs="黑体"/>
              <w:b/>
              <w:kern w:val="2"/>
              <w:sz w:val="28"/>
              <w:szCs w:val="28"/>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2"/>
              <w:sz w:val="24"/>
              <w:szCs w:val="24"/>
              <w:lang w:val="en-US"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_Toc28309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2"/>
              <w:sz w:val="24"/>
              <w:szCs w:val="24"/>
              <w:lang w:val="en-US" w:eastAsia="zh-CN" w:bidi="ar-SA"/>
            </w:rPr>
            <w:t>（一）建立未成年人保护体系</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PAGEREF _Toc28309 \h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15</w:t>
          </w:r>
          <w:r>
            <w:rPr>
              <w:rFonts w:hint="eastAsia" w:ascii="黑体" w:hAnsi="黑体" w:eastAsia="黑体" w:cs="黑体"/>
              <w:kern w:val="2"/>
              <w:sz w:val="24"/>
              <w:szCs w:val="24"/>
              <w:lang w:val="en-US"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2"/>
              <w:sz w:val="24"/>
              <w:szCs w:val="24"/>
              <w:lang w:val="en-US"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_Toc13142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2"/>
              <w:sz w:val="24"/>
              <w:szCs w:val="24"/>
              <w:lang w:val="en-US" w:eastAsia="zh-CN" w:bidi="ar-SA"/>
            </w:rPr>
            <w:t>（二）加强未成年人监护能力建设</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PAGEREF _Toc13142 \h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16</w:t>
          </w:r>
          <w:r>
            <w:rPr>
              <w:rFonts w:hint="eastAsia" w:ascii="黑体" w:hAnsi="黑体" w:eastAsia="黑体" w:cs="黑体"/>
              <w:kern w:val="2"/>
              <w:sz w:val="24"/>
              <w:szCs w:val="24"/>
              <w:lang w:val="en-US"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firstLine="562" w:firstLineChars="200"/>
            <w:jc w:val="both"/>
            <w:rPr>
              <w:rFonts w:hint="eastAsia" w:ascii="黑体" w:hAnsi="黑体" w:eastAsia="黑体" w:cs="黑体"/>
              <w:b/>
              <w:kern w:val="2"/>
              <w:sz w:val="28"/>
              <w:szCs w:val="28"/>
              <w:lang w:val="zh-CN" w:eastAsia="zh-CN" w:bidi="ar-SA"/>
            </w:rPr>
          </w:pP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HYPERLINK \l _Toc2340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zh-CN" w:eastAsia="zh-CN" w:bidi="ar-SA"/>
            </w:rPr>
            <w:t>四、强化农村留守儿童关爱保护和困境儿童保障</w:t>
          </w:r>
          <w:r>
            <w:rPr>
              <w:rFonts w:hint="eastAsia" w:ascii="黑体" w:hAnsi="黑体" w:eastAsia="黑体" w:cs="黑体"/>
              <w:b/>
              <w:kern w:val="2"/>
              <w:sz w:val="28"/>
              <w:szCs w:val="28"/>
              <w:lang w:val="zh-CN" w:eastAsia="zh-CN" w:bidi="ar-SA"/>
            </w:rPr>
            <w:tab/>
          </w: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PAGEREF _Toc2340 \h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zh-CN" w:eastAsia="zh-CN" w:bidi="ar-SA"/>
            </w:rPr>
            <w:t>18</w:t>
          </w:r>
          <w:r>
            <w:rPr>
              <w:rFonts w:hint="eastAsia" w:ascii="黑体" w:hAnsi="黑体" w:eastAsia="黑体" w:cs="黑体"/>
              <w:b/>
              <w:kern w:val="2"/>
              <w:sz w:val="28"/>
              <w:szCs w:val="28"/>
              <w:lang w:val="zh-CN" w:eastAsia="zh-CN" w:bidi="ar-SA"/>
            </w:rPr>
            <w:fldChar w:fldCharType="end"/>
          </w:r>
          <w:r>
            <w:rPr>
              <w:rFonts w:hint="eastAsia" w:ascii="黑体" w:hAnsi="黑体" w:eastAsia="黑体" w:cs="黑体"/>
              <w:b/>
              <w:kern w:val="2"/>
              <w:sz w:val="28"/>
              <w:szCs w:val="28"/>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_Toc54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（一）加强困境儿童分类保障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_Toc54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18</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ascii="方正仿宋_GBK" w:hAnsi="方正仿宋_GBK" w:eastAsia="方正仿宋_GBK" w:cs="方正仿宋_GBK"/>
              <w:kern w:val="2"/>
              <w:sz w:val="32"/>
              <w:szCs w:val="24"/>
              <w:lang w:val="en-US"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_Toc17278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（二）强化农村留守儿童关爱保护工作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_Toc17278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19</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560" w:firstLineChars="200"/>
            <w:jc w:val="both"/>
            <w:rPr>
              <w:rFonts w:hint="eastAsia" w:ascii="黑体" w:hAnsi="黑体" w:eastAsia="黑体" w:cs="黑体"/>
              <w:kern w:val="2"/>
              <w:sz w:val="28"/>
              <w:szCs w:val="28"/>
              <w:lang w:val="zh-CN" w:eastAsia="zh-CN" w:bidi="ar-SA"/>
            </w:rPr>
          </w:pPr>
          <w:r>
            <w:rPr>
              <w:rFonts w:hint="eastAsia" w:ascii="黑体" w:hAnsi="黑体" w:eastAsia="黑体" w:cs="黑体"/>
              <w:kern w:val="2"/>
              <w:sz w:val="28"/>
              <w:szCs w:val="28"/>
              <w:lang w:val="zh-CN" w:eastAsia="zh-CN" w:bidi="ar-SA"/>
            </w:rPr>
            <w:fldChar w:fldCharType="begin"/>
          </w:r>
          <w:r>
            <w:rPr>
              <w:rFonts w:hint="eastAsia" w:ascii="黑体" w:hAnsi="黑体" w:eastAsia="黑体" w:cs="黑体"/>
              <w:kern w:val="2"/>
              <w:sz w:val="28"/>
              <w:szCs w:val="28"/>
              <w:lang w:val="zh-CN" w:eastAsia="zh-CN" w:bidi="ar-SA"/>
            </w:rPr>
            <w:instrText xml:space="preserve"> HYPERLINK \l _Toc2655 </w:instrText>
          </w:r>
          <w:r>
            <w:rPr>
              <w:rFonts w:hint="eastAsia" w:ascii="黑体" w:hAnsi="黑体" w:eastAsia="黑体" w:cs="黑体"/>
              <w:kern w:val="2"/>
              <w:sz w:val="28"/>
              <w:szCs w:val="28"/>
              <w:lang w:val="zh-CN" w:eastAsia="zh-CN" w:bidi="ar-SA"/>
            </w:rPr>
            <w:fldChar w:fldCharType="separate"/>
          </w:r>
          <w:r>
            <w:rPr>
              <w:rFonts w:hint="eastAsia" w:ascii="黑体" w:hAnsi="黑体" w:eastAsia="黑体" w:cs="黑体"/>
              <w:kern w:val="2"/>
              <w:sz w:val="28"/>
              <w:szCs w:val="28"/>
              <w:lang w:val="zh-CN" w:eastAsia="zh-CN" w:bidi="ar-SA"/>
            </w:rPr>
            <w:t>五、提高儿童收养工作规范化水平</w:t>
          </w:r>
          <w:r>
            <w:rPr>
              <w:rFonts w:hint="eastAsia" w:ascii="黑体" w:hAnsi="黑体" w:eastAsia="黑体" w:cs="黑体"/>
              <w:kern w:val="2"/>
              <w:sz w:val="28"/>
              <w:szCs w:val="28"/>
              <w:lang w:val="zh-CN" w:eastAsia="zh-CN" w:bidi="ar-SA"/>
            </w:rPr>
            <w:tab/>
          </w:r>
          <w:r>
            <w:rPr>
              <w:rFonts w:hint="eastAsia" w:ascii="黑体" w:hAnsi="黑体" w:eastAsia="黑体" w:cs="黑体"/>
              <w:kern w:val="2"/>
              <w:sz w:val="28"/>
              <w:szCs w:val="28"/>
              <w:lang w:val="zh-CN" w:eastAsia="zh-CN" w:bidi="ar-SA"/>
            </w:rPr>
            <w:fldChar w:fldCharType="begin"/>
          </w:r>
          <w:r>
            <w:rPr>
              <w:rFonts w:hint="eastAsia" w:ascii="黑体" w:hAnsi="黑体" w:eastAsia="黑体" w:cs="黑体"/>
              <w:kern w:val="2"/>
              <w:sz w:val="28"/>
              <w:szCs w:val="28"/>
              <w:lang w:val="zh-CN" w:eastAsia="zh-CN" w:bidi="ar-SA"/>
            </w:rPr>
            <w:instrText xml:space="preserve"> PAGEREF _Toc2655 \h </w:instrText>
          </w:r>
          <w:r>
            <w:rPr>
              <w:rFonts w:hint="eastAsia" w:ascii="黑体" w:hAnsi="黑体" w:eastAsia="黑体" w:cs="黑体"/>
              <w:kern w:val="2"/>
              <w:sz w:val="28"/>
              <w:szCs w:val="28"/>
              <w:lang w:val="zh-CN" w:eastAsia="zh-CN" w:bidi="ar-SA"/>
            </w:rPr>
            <w:fldChar w:fldCharType="separate"/>
          </w:r>
          <w:r>
            <w:rPr>
              <w:rFonts w:hint="eastAsia" w:ascii="黑体" w:hAnsi="黑体" w:eastAsia="黑体" w:cs="黑体"/>
              <w:kern w:val="2"/>
              <w:sz w:val="28"/>
              <w:szCs w:val="28"/>
              <w:lang w:val="zh-CN" w:eastAsia="zh-CN" w:bidi="ar-SA"/>
            </w:rPr>
            <w:t>22</w:t>
          </w:r>
          <w:r>
            <w:rPr>
              <w:rFonts w:hint="eastAsia" w:ascii="黑体" w:hAnsi="黑体" w:eastAsia="黑体" w:cs="黑体"/>
              <w:kern w:val="2"/>
              <w:sz w:val="28"/>
              <w:szCs w:val="28"/>
              <w:lang w:val="zh-CN" w:eastAsia="zh-CN" w:bidi="ar-SA"/>
            </w:rPr>
            <w:fldChar w:fldCharType="end"/>
          </w:r>
          <w:r>
            <w:rPr>
              <w:rFonts w:hint="eastAsia" w:ascii="黑体" w:hAnsi="黑体" w:eastAsia="黑体" w:cs="黑体"/>
              <w:kern w:val="2"/>
              <w:sz w:val="28"/>
              <w:szCs w:val="28"/>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_Toc9472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（一）完善儿童收养管理制度体系</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_Toc9472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22</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_Toc25347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（二）提升儿童收养管理工作水平</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_Toc25347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22</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firstLine="562" w:firstLineChars="200"/>
            <w:jc w:val="both"/>
            <w:rPr>
              <w:rFonts w:hint="eastAsia" w:ascii="黑体" w:hAnsi="黑体" w:eastAsia="黑体" w:cs="黑体"/>
              <w:b/>
              <w:kern w:val="2"/>
              <w:sz w:val="28"/>
              <w:szCs w:val="28"/>
              <w:lang w:val="zh-CN" w:eastAsia="zh-CN" w:bidi="ar-SA"/>
            </w:rPr>
          </w:pP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HYPERLINK \l _Toc11317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zh-CN" w:eastAsia="zh-CN" w:bidi="ar-SA"/>
            </w:rPr>
            <w:t>六、保障措施</w:t>
          </w:r>
          <w:r>
            <w:rPr>
              <w:rFonts w:hint="eastAsia" w:ascii="黑体" w:hAnsi="黑体" w:eastAsia="黑体" w:cs="黑体"/>
              <w:b/>
              <w:kern w:val="2"/>
              <w:sz w:val="28"/>
              <w:szCs w:val="28"/>
              <w:lang w:val="zh-CN" w:eastAsia="zh-CN" w:bidi="ar-SA"/>
            </w:rPr>
            <w:tab/>
          </w:r>
          <w:r>
            <w:rPr>
              <w:rFonts w:hint="eastAsia" w:ascii="黑体" w:hAnsi="黑体" w:eastAsia="黑体" w:cs="黑体"/>
              <w:b/>
              <w:kern w:val="2"/>
              <w:sz w:val="28"/>
              <w:szCs w:val="28"/>
              <w:lang w:val="zh-CN" w:eastAsia="zh-CN" w:bidi="ar-SA"/>
            </w:rPr>
            <w:fldChar w:fldCharType="begin"/>
          </w:r>
          <w:r>
            <w:rPr>
              <w:rFonts w:hint="eastAsia" w:ascii="黑体" w:hAnsi="黑体" w:eastAsia="黑体" w:cs="黑体"/>
              <w:b/>
              <w:kern w:val="2"/>
              <w:sz w:val="28"/>
              <w:szCs w:val="28"/>
              <w:lang w:val="zh-CN" w:eastAsia="zh-CN" w:bidi="ar-SA"/>
            </w:rPr>
            <w:instrText xml:space="preserve"> PAGEREF _Toc11317 \h </w:instrText>
          </w:r>
          <w:r>
            <w:rPr>
              <w:rFonts w:hint="eastAsia" w:ascii="黑体" w:hAnsi="黑体" w:eastAsia="黑体" w:cs="黑体"/>
              <w:b/>
              <w:kern w:val="2"/>
              <w:sz w:val="28"/>
              <w:szCs w:val="28"/>
              <w:lang w:val="zh-CN" w:eastAsia="zh-CN" w:bidi="ar-SA"/>
            </w:rPr>
            <w:fldChar w:fldCharType="separate"/>
          </w:r>
          <w:r>
            <w:rPr>
              <w:rFonts w:hint="eastAsia" w:ascii="黑体" w:hAnsi="黑体" w:eastAsia="黑体" w:cs="黑体"/>
              <w:b/>
              <w:kern w:val="2"/>
              <w:sz w:val="28"/>
              <w:szCs w:val="28"/>
              <w:lang w:val="zh-CN" w:eastAsia="zh-CN" w:bidi="ar-SA"/>
            </w:rPr>
            <w:t>24</w:t>
          </w:r>
          <w:r>
            <w:rPr>
              <w:rFonts w:hint="eastAsia" w:ascii="黑体" w:hAnsi="黑体" w:eastAsia="黑体" w:cs="黑体"/>
              <w:b/>
              <w:kern w:val="2"/>
              <w:sz w:val="28"/>
              <w:szCs w:val="28"/>
              <w:lang w:val="zh-CN" w:eastAsia="zh-CN" w:bidi="ar-SA"/>
            </w:rPr>
            <w:fldChar w:fldCharType="end"/>
          </w:r>
          <w:r>
            <w:rPr>
              <w:rFonts w:hint="eastAsia" w:ascii="黑体" w:hAnsi="黑体" w:eastAsia="黑体" w:cs="黑体"/>
              <w:b/>
              <w:kern w:val="2"/>
              <w:sz w:val="28"/>
              <w:szCs w:val="28"/>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_Toc27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（一）加强党的领导</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_Toc27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24</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_Toc2666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（二）加强资金保障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_Toc2666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24</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_Toc23593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（三）加强人才保障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_Toc23593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25</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_Toc19669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（四）加强风险防范保障</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_Toc19669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25</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widowControl w:val="0"/>
            <w:tabs>
              <w:tab w:val="right" w:leader="dot" w:pos="9070"/>
            </w:tabs>
            <w:spacing w:line="580" w:lineRule="exact"/>
            <w:ind w:left="440" w:leftChars="200" w:firstLine="480" w:firstLineChars="200"/>
            <w:jc w:val="both"/>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HYPERLINK \l _Toc24905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（五）加强实施监测</w:t>
          </w:r>
          <w:r>
            <w:rPr>
              <w:rFonts w:hint="eastAsia" w:ascii="黑体" w:hAnsi="黑体" w:eastAsia="黑体" w:cs="黑体"/>
              <w:kern w:val="0"/>
              <w:sz w:val="24"/>
              <w:szCs w:val="24"/>
              <w:lang w:val="zh-CN" w:eastAsia="zh-CN" w:bidi="ar-SA"/>
            </w:rPr>
            <w:tab/>
          </w:r>
          <w:r>
            <w:rPr>
              <w:rFonts w:hint="eastAsia" w:ascii="黑体" w:hAnsi="黑体" w:eastAsia="黑体" w:cs="黑体"/>
              <w:kern w:val="0"/>
              <w:sz w:val="24"/>
              <w:szCs w:val="24"/>
              <w:lang w:val="zh-CN" w:eastAsia="zh-CN" w:bidi="ar-SA"/>
            </w:rPr>
            <w:fldChar w:fldCharType="begin"/>
          </w:r>
          <w:r>
            <w:rPr>
              <w:rFonts w:hint="eastAsia" w:ascii="黑体" w:hAnsi="黑体" w:eastAsia="黑体" w:cs="黑体"/>
              <w:kern w:val="0"/>
              <w:sz w:val="24"/>
              <w:szCs w:val="24"/>
              <w:lang w:val="zh-CN" w:eastAsia="zh-CN" w:bidi="ar-SA"/>
            </w:rPr>
            <w:instrText xml:space="preserve"> PAGEREF _Toc24905 \h </w:instrText>
          </w:r>
          <w:r>
            <w:rPr>
              <w:rFonts w:hint="eastAsia" w:ascii="黑体" w:hAnsi="黑体" w:eastAsia="黑体" w:cs="黑体"/>
              <w:kern w:val="0"/>
              <w:sz w:val="24"/>
              <w:szCs w:val="24"/>
              <w:lang w:val="zh-CN" w:eastAsia="zh-CN" w:bidi="ar-SA"/>
            </w:rPr>
            <w:fldChar w:fldCharType="separate"/>
          </w:r>
          <w:r>
            <w:rPr>
              <w:rFonts w:hint="eastAsia" w:ascii="黑体" w:hAnsi="黑体" w:eastAsia="黑体" w:cs="黑体"/>
              <w:kern w:val="0"/>
              <w:sz w:val="24"/>
              <w:szCs w:val="24"/>
              <w:lang w:val="zh-CN" w:eastAsia="zh-CN" w:bidi="ar-SA"/>
            </w:rPr>
            <w:t>25</w:t>
          </w:r>
          <w:r>
            <w:rPr>
              <w:rFonts w:hint="eastAsia" w:ascii="黑体" w:hAnsi="黑体" w:eastAsia="黑体" w:cs="黑体"/>
              <w:kern w:val="0"/>
              <w:sz w:val="24"/>
              <w:szCs w:val="24"/>
              <w:lang w:val="zh-CN" w:eastAsia="zh-CN" w:bidi="ar-SA"/>
            </w:rPr>
            <w:fldChar w:fldCharType="end"/>
          </w:r>
          <w:r>
            <w:rPr>
              <w:rFonts w:hint="eastAsia" w:ascii="黑体" w:hAnsi="黑体" w:eastAsia="黑体" w:cs="黑体"/>
              <w:kern w:val="0"/>
              <w:sz w:val="24"/>
              <w:szCs w:val="24"/>
              <w:lang w:val="zh-CN" w:eastAsia="zh-CN" w:bidi="ar-SA"/>
            </w:rPr>
            <w:fldChar w:fldCharType="end"/>
          </w:r>
        </w:p>
        <w:p>
          <w:pPr>
            <w:pageBreakBefore w:val="0"/>
            <w:widowControl/>
            <w:tabs>
              <w:tab w:val="right" w:leader="dot" w:pos="8296"/>
            </w:tabs>
            <w:kinsoku/>
            <w:wordWrap/>
            <w:overflowPunct/>
            <w:topLinePunct w:val="0"/>
            <w:bidi w:val="0"/>
            <w:snapToGrid/>
            <w:spacing w:line="240" w:lineRule="auto"/>
            <w:ind w:firstLine="482" w:firstLineChars="200"/>
            <w:jc w:val="both"/>
            <w:rPr>
              <w:rStyle w:val="6"/>
              <w:rFonts w:ascii="黑体" w:hAnsi="黑体" w:eastAsia="黑体" w:cs="黑体"/>
              <w:b w:val="0"/>
              <w:kern w:val="0"/>
              <w:sz w:val="24"/>
              <w:szCs w:val="24"/>
              <w:lang w:val="en-US" w:eastAsia="zh-CN" w:bidi="ar-SA"/>
            </w:rPr>
          </w:pPr>
          <w:r>
            <w:rPr>
              <w:rFonts w:hint="eastAsia" w:ascii="黑体" w:hAnsi="黑体" w:eastAsia="黑体" w:cs="黑体"/>
              <w:b/>
              <w:kern w:val="0"/>
              <w:sz w:val="24"/>
              <w:szCs w:val="24"/>
              <w:lang w:val="zh-CN" w:eastAsia="zh-CN" w:bidi="ar-SA"/>
            </w:rPr>
            <w:fldChar w:fldCharType="end"/>
          </w:r>
        </w:p>
      </w:sdtContent>
    </w:sdt>
    <w:p>
      <w:pPr>
        <w:pageBreakBefore w:val="0"/>
        <w:widowControl/>
        <w:tabs>
          <w:tab w:val="right" w:leader="dot" w:pos="8296"/>
        </w:tabs>
        <w:kinsoku/>
        <w:wordWrap/>
        <w:overflowPunct/>
        <w:topLinePunct w:val="0"/>
        <w:bidi w:val="0"/>
        <w:snapToGrid/>
        <w:spacing w:line="240" w:lineRule="auto"/>
        <w:ind w:firstLine="440" w:firstLineChars="200"/>
        <w:rPr>
          <w:rStyle w:val="6"/>
          <w:rFonts w:ascii="黑体" w:hAnsi="黑体" w:eastAsia="黑体" w:cs="黑体"/>
          <w:b w:val="0"/>
          <w:kern w:val="0"/>
        </w:rPr>
        <w:sectPr>
          <w:footerReference r:id="rId9" w:type="default"/>
          <w:pgSz w:w="11906" w:h="16838"/>
          <w:pgMar w:top="1985" w:right="1418" w:bottom="1644" w:left="1418" w:header="851" w:footer="992" w:gutter="0"/>
          <w:pgNumType w:fmt="decimal" w:start="1"/>
          <w:cols w:space="0" w:num="1"/>
          <w:docGrid w:type="lines" w:linePitch="600" w:charSpace="0"/>
        </w:sectPr>
      </w:pPr>
      <w:bookmarkStart w:id="0" w:name="_Toc73982158"/>
      <w:bookmarkStart w:id="1" w:name="_Toc74144930"/>
    </w:p>
    <w:p>
      <w:pPr>
        <w:keepNext w:val="0"/>
        <w:keepLines w:val="0"/>
        <w:pageBreakBefore w:val="0"/>
        <w:widowControl w:val="0"/>
        <w:tabs>
          <w:tab w:val="right" w:leader="dot" w:pos="9070"/>
        </w:tabs>
        <w:kinsoku/>
        <w:wordWrap/>
        <w:overflowPunct/>
        <w:topLinePunct w:val="0"/>
        <w:autoSpaceDE w:val="0"/>
        <w:autoSpaceDN w:val="0"/>
        <w:bidi w:val="0"/>
        <w:adjustRightInd/>
        <w:snapToGrid/>
        <w:spacing w:line="580" w:lineRule="exact"/>
        <w:ind w:left="0" w:leftChars="0" w:firstLine="640" w:firstLineChars="200"/>
        <w:jc w:val="both"/>
        <w:textAlignment w:val="auto"/>
        <w:rPr>
          <w:rFonts w:ascii="仿宋" w:hAnsi="仿宋" w:eastAsia="仿宋" w:cs="方正仿宋_GBK"/>
          <w:color w:val="000000" w:themeColor="text1"/>
          <w:kern w:val="0"/>
          <w:sz w:val="32"/>
          <w:szCs w:val="22"/>
          <w:lang w:val="en-US" w:eastAsia="zh-CN" w:bidi="ar-SA"/>
          <w14:textFill>
            <w14:solidFill>
              <w14:schemeClr w14:val="tx1"/>
            </w14:solidFill>
          </w14:textFill>
        </w:rPr>
      </w:pPr>
      <w:bookmarkStart w:id="73" w:name="_GoBack"/>
      <w:bookmarkEnd w:id="73"/>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为</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提高</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儿童福利保障和服务水平，进一步满足儿童生存发展需要，切实维护好儿童的合法权益，根据《中华人民共和国未成年人保护法》《重庆市国民经济和社会发展第十四个五年规划和二〇三五年远景目标纲要》《重庆市民政事业发展“十四五”规划》《重庆市儿童福利和未成年人保护事业发展“十四五”规划》，结合重庆市大足区儿童福利与未成年人保护事业发展实际，制定本规划。</w:t>
      </w:r>
    </w:p>
    <w:p>
      <w:pPr>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0"/>
        <w:rPr>
          <w:rFonts w:ascii="方正小标宋_GBK" w:hAnsi="方正小标宋_GBK" w:eastAsia="黑体" w:cs="Times New Roman"/>
          <w:b/>
          <w:color w:val="000000"/>
          <w:kern w:val="0"/>
          <w:sz w:val="32"/>
          <w:szCs w:val="28"/>
          <w:lang w:val="zh-CN" w:eastAsia="zh-CN" w:bidi="ar-SA"/>
        </w:rPr>
      </w:pPr>
      <w:bookmarkStart w:id="2" w:name="_Toc32367"/>
      <w:r>
        <w:rPr>
          <w:rFonts w:hint="eastAsia" w:ascii="方正小标宋_GBK" w:hAnsi="方正小标宋_GBK" w:eastAsia="黑体" w:cs="Times New Roman"/>
          <w:b/>
          <w:color w:val="000000"/>
          <w:kern w:val="0"/>
          <w:sz w:val="32"/>
          <w:szCs w:val="28"/>
          <w:lang w:val="en-US" w:eastAsia="zh-CN" w:bidi="ar-SA"/>
        </w:rPr>
        <w:t>一、</w:t>
      </w:r>
      <w:r>
        <w:rPr>
          <w:rFonts w:hint="eastAsia" w:ascii="方正小标宋_GBK" w:hAnsi="方正小标宋_GBK" w:eastAsia="黑体" w:cs="Times New Roman"/>
          <w:b/>
          <w:color w:val="000000"/>
          <w:kern w:val="0"/>
          <w:sz w:val="32"/>
          <w:szCs w:val="28"/>
          <w:lang w:val="zh-CN" w:eastAsia="zh-CN" w:bidi="ar-SA"/>
        </w:rPr>
        <w:t>“十四五”儿童福利与未成年人保护事业发展思路</w:t>
      </w:r>
      <w:bookmarkEnd w:id="0"/>
      <w:r>
        <w:rPr>
          <w:rFonts w:hint="eastAsia" w:ascii="方正小标宋_GBK" w:hAnsi="方正小标宋_GBK" w:eastAsia="黑体" w:cs="Times New Roman"/>
          <w:b/>
          <w:color w:val="000000"/>
          <w:kern w:val="0"/>
          <w:sz w:val="32"/>
          <w:szCs w:val="28"/>
          <w:lang w:val="zh-CN" w:eastAsia="zh-CN" w:bidi="ar-SA"/>
        </w:rPr>
        <w:t>和目标</w:t>
      </w:r>
      <w:bookmarkEnd w:id="1"/>
      <w:bookmarkEnd w:id="2"/>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3" w:name="_Toc73982159"/>
      <w:bookmarkStart w:id="4" w:name="_Toc74144931"/>
      <w:bookmarkStart w:id="5" w:name="_Toc21969"/>
      <w:r>
        <w:rPr>
          <w:rFonts w:hint="eastAsia" w:eastAsia="楷体" w:asciiTheme="majorHAnsi" w:hAnsiTheme="majorHAnsi" w:cstheme="majorBidi"/>
          <w:bCs/>
          <w:kern w:val="2"/>
          <w:sz w:val="32"/>
          <w:szCs w:val="32"/>
          <w:lang w:val="en-US" w:eastAsia="zh-CN" w:bidi="ar-SA"/>
        </w:rPr>
        <w:t>（一）“十三五”儿童福利与未成年人保护事业发展取得显著成绩</w:t>
      </w:r>
      <w:bookmarkEnd w:id="3"/>
      <w:bookmarkEnd w:id="4"/>
      <w:bookmarkEnd w:id="5"/>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bookmarkStart w:id="6" w:name="_Toc74144932"/>
      <w:bookmarkStart w:id="7" w:name="_Toc73982160"/>
      <w:r>
        <w:rPr>
          <w:rFonts w:hint="eastAsia" w:ascii="仿宋" w:hAnsi="仿宋" w:eastAsia="仿宋"/>
          <w:b/>
          <w:bCs/>
          <w:color w:val="000000" w:themeColor="text1"/>
          <w:kern w:val="0"/>
          <w:sz w:val="32"/>
          <w:szCs w:val="22"/>
          <w:lang w:val="en-US" w:bidi="ar-SA"/>
          <w14:textFill>
            <w14:solidFill>
              <w14:schemeClr w14:val="tx1"/>
            </w14:solidFill>
          </w14:textFill>
        </w:rPr>
        <w:t>儿童保障体系改革不断深化。</w:t>
      </w:r>
      <w:r>
        <w:rPr>
          <w:rFonts w:hint="eastAsia" w:ascii="仿宋" w:hAnsi="仿宋" w:eastAsia="仿宋"/>
          <w:color w:val="000000" w:themeColor="text1"/>
          <w:kern w:val="0"/>
          <w:sz w:val="32"/>
          <w:szCs w:val="22"/>
          <w:lang w:val="en-US" w:bidi="ar-SA"/>
          <w14:textFill>
            <w14:solidFill>
              <w14:schemeClr w14:val="tx1"/>
            </w14:solidFill>
          </w14:textFill>
        </w:rPr>
        <w:t>在儿童基本保障方面，“十三五”期间大足区坚持适度普惠、分类保障理念，落实困境儿童、留守儿童优先原则，全面提升儿童福利服务水平。2019年累计发放“孤、艾”儿童生活补贴197万元。2019年度社会救助流浪乞讨人员220人次，其中未成年人32人次，托养在市儿童福利院女婴1名；全面落实农村留守儿童关爱保护政策，认真开展“合力监护、相伴成长”专项行动，3800余名留守儿童基本消除无人监护现象。儿童福利服务制度逐步健全完善，儿童福利由补缺型向适度普惠性转变，儿童生存发展环境进一步优化，</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呈现良好发展态势。</w:t>
      </w:r>
    </w:p>
    <w:p>
      <w:pPr>
        <w:pageBreakBefore w:val="0"/>
        <w:kinsoku/>
        <w:wordWrap/>
        <w:overflowPunct/>
        <w:topLinePunct w:val="0"/>
        <w:autoSpaceDE/>
        <w:autoSpaceDN/>
        <w:bidi w:val="0"/>
        <w:snapToGrid/>
        <w:spacing w:before="0" w:after="0" w:line="240" w:lineRule="auto"/>
        <w:ind w:left="0" w:right="0" w:firstLine="643" w:firstLineChars="200"/>
        <w:jc w:val="both"/>
        <w:rPr>
          <w:bCs/>
          <w:color w:val="000000" w:themeColor="text1"/>
          <w:kern w:val="2"/>
          <w:sz w:val="32"/>
          <w:szCs w:val="24"/>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儿童福利设施优化升级。</w:t>
      </w:r>
      <w:r>
        <w:rPr>
          <w:rFonts w:hint="eastAsia" w:ascii="仿宋" w:hAnsi="仿宋" w:eastAsia="仿宋"/>
          <w:color w:val="000000" w:themeColor="text1"/>
          <w:kern w:val="0"/>
          <w:sz w:val="32"/>
          <w:szCs w:val="22"/>
          <w:lang w:val="en-US" w:bidi="ar-SA"/>
          <w14:textFill>
            <w14:solidFill>
              <w14:schemeClr w14:val="tx1"/>
            </w14:solidFill>
          </w14:textFill>
        </w:rPr>
        <w:t>“十三五”期间儿童福利机构运行管理和服务保障水平大幅提高，对大足区儿童福利机构设施升级改造优化美化院内环境，安装音乐广播电视设备，添置儿童图书和儿童玩具，招聘一线工作人员，加大对护理人员的培训力度。提高规范化、正规化建设水平，组织了儿童福利机构全系统排查整改工作，从入院程序、院内照料、家庭寄养等方面深入排查，从排查情况看，各个儿童福利院能够做齐入院儿童手续，及时为他们办理集体户口，建立独立档案；能够做好收留抚养儿童的院内照料工作，积极创造条件为院内儿童提供婴幼儿抚育、基本医疗、康复训练、特殊教育、学前教育等服务。</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困境儿童分类保障有效推进。</w:t>
      </w:r>
      <w:r>
        <w:rPr>
          <w:rFonts w:hint="eastAsia" w:ascii="仿宋" w:hAnsi="仿宋" w:eastAsia="仿宋"/>
          <w:color w:val="000000" w:themeColor="text1"/>
          <w:kern w:val="0"/>
          <w:sz w:val="32"/>
          <w:szCs w:val="22"/>
          <w:lang w:val="en-US" w:bidi="ar-SA"/>
          <w14:textFill>
            <w14:solidFill>
              <w14:schemeClr w14:val="tx1"/>
            </w14:solidFill>
          </w14:textFill>
        </w:rPr>
        <w:t>推进困境儿童分类保障，完善帮扶救助政策，推进孤弃儿童养育情况大排查后续整改。落实孤儿保障标准自然增长机制，实施孤残儿童助学助医工程。全面落实困难残疾人生活补贴和重度残疾人护理补贴制度。完善孤儿基本生活保障标准自然增长机制，开展孤儿助学工作，持续实施“孤儿医疗康复明天计划”“福彩圆梦·孤儿助学工程”和散居孤残儿童“养治教康”助学助医项目。落实事实无人抚养儿童保障制度，完善困境儿童教育、康复和成年后安置、就业等保障措施，鼓励支持社会力量提供心理疏导、精神关爱、家庭教育指导、权益维护等服务。完善农村留守儿童关爱服务体系，健全救助保护机制，依法打击遗弃行为。规范收养登记，保障被收养人权益。</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关爱儿童工作合力有效聚集。</w:t>
      </w:r>
      <w:r>
        <w:rPr>
          <w:rFonts w:hint="eastAsia" w:ascii="仿宋" w:hAnsi="仿宋" w:eastAsia="仿宋"/>
          <w:color w:val="000000" w:themeColor="text1"/>
          <w:kern w:val="0"/>
          <w:sz w:val="32"/>
          <w:szCs w:val="22"/>
          <w:lang w:val="en-US" w:bidi="ar-SA"/>
          <w14:textFill>
            <w14:solidFill>
              <w14:schemeClr w14:val="tx1"/>
            </w14:solidFill>
          </w14:textFill>
        </w:rPr>
        <w:t>发挥农村留守儿童和困境儿童保障工作领导协调机制作用，健全基层儿童关爱保护体系。强化监护人对农村留守儿童的监护主体责任，支持专业组织提供关爱服务，动员社会力量参与儿童权益保障，基本消除农村留守儿童无人监护现象。强化儿童关爱保护措施的落实，健全政府主导、民政牵头、家庭履责、社会参与的儿童福利工作机制，强化政府主导责任，督促家庭履行法定监护责任，积极引导群团单位、社会组织、专业社工、志愿者参与，形成关爱儿童成长的工作合力。</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8" w:name="_Toc7309"/>
      <w:r>
        <w:rPr>
          <w:rFonts w:hint="eastAsia" w:eastAsia="楷体" w:asciiTheme="majorHAnsi" w:hAnsiTheme="majorHAnsi" w:cstheme="majorBidi"/>
          <w:bCs/>
          <w:kern w:val="2"/>
          <w:sz w:val="32"/>
          <w:szCs w:val="32"/>
          <w:lang w:val="en-US" w:eastAsia="zh-CN" w:bidi="ar-SA"/>
        </w:rPr>
        <w:t>（二）当前儿童福利与未成年人保护事业发展面临的机遇和挑战</w:t>
      </w:r>
      <w:bookmarkEnd w:id="6"/>
      <w:bookmarkEnd w:id="7"/>
      <w:bookmarkEnd w:id="8"/>
    </w:p>
    <w:p>
      <w:pPr>
        <w:pageBreakBefore w:val="0"/>
        <w:widowControl/>
        <w:kinsoku/>
        <w:wordWrap/>
        <w:overflowPunct/>
        <w:topLinePunct w:val="0"/>
        <w:bidi w:val="0"/>
        <w:snapToGrid/>
        <w:spacing w:line="240" w:lineRule="auto"/>
        <w:ind w:firstLine="640" w:firstLineChars="200"/>
        <w:jc w:val="both"/>
        <w:rPr>
          <w:rFonts w:ascii="方正黑体_GBK" w:hAnsi="仿宋" w:eastAsia="楷体" w:cs="Times New Roman"/>
          <w:color w:val="000000"/>
          <w:kern w:val="0"/>
          <w:sz w:val="32"/>
          <w:szCs w:val="30"/>
          <w:lang w:val="en-US" w:eastAsia="zh-CN" w:bidi="ar-SA"/>
        </w:rPr>
      </w:pPr>
      <w:r>
        <w:rPr>
          <w:rFonts w:hint="eastAsia" w:ascii="楷体" w:hAnsi="楷体" w:eastAsia="楷体" w:cs="楷体"/>
          <w:color w:val="000000"/>
          <w:kern w:val="0"/>
          <w:sz w:val="32"/>
          <w:szCs w:val="30"/>
          <w:lang w:val="en-US" w:eastAsia="zh-CN" w:bidi="ar-SA"/>
        </w:rPr>
        <w:t>1.</w:t>
      </w:r>
      <w:r>
        <w:rPr>
          <w:rFonts w:hint="eastAsia" w:ascii="楷体" w:hAnsi="楷体" w:eastAsia="楷体" w:cs="楷体"/>
          <w:color w:val="000000"/>
          <w:kern w:val="0"/>
          <w:sz w:val="32"/>
          <w:szCs w:val="30"/>
          <w:lang w:val="zh-CN" w:eastAsia="zh-CN" w:bidi="ar-SA"/>
        </w:rPr>
        <w:t>发展机遇</w:t>
      </w:r>
      <w:r>
        <w:rPr>
          <w:rFonts w:hint="eastAsia" w:ascii="楷体" w:hAnsi="楷体" w:eastAsia="楷体" w:cs="楷体"/>
          <w:color w:val="000000"/>
          <w:kern w:val="0"/>
          <w:sz w:val="32"/>
          <w:szCs w:val="30"/>
          <w:lang w:val="en-US" w:eastAsia="zh-CN" w:bidi="ar-SA"/>
        </w:rPr>
        <w:t xml:space="preserve"> </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一是党委政府的高度重视提高战略地位。</w:t>
      </w:r>
      <w:r>
        <w:rPr>
          <w:rFonts w:hint="eastAsia" w:ascii="仿宋" w:hAnsi="仿宋" w:eastAsia="仿宋"/>
          <w:color w:val="000000" w:themeColor="text1"/>
          <w:kern w:val="0"/>
          <w:sz w:val="32"/>
          <w:szCs w:val="22"/>
          <w:lang w:val="en-US" w:bidi="ar-SA"/>
          <w14:textFill>
            <w14:solidFill>
              <w14:schemeClr w14:val="tx1"/>
            </w14:solidFill>
          </w14:textFill>
        </w:rPr>
        <w:t>十九大以来，党中央高度重视</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习近平总书记作出一系列重要指示批示，为儿童福利工作指明前进方向、提供根本遵循。同时，《中华人民共和国民法典》和《中华人民共和国未成年人保护法》等法律明确提出保障各类儿童合法权益，促进未成年人保护工作，为大足区进一步推进</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发展提供了强有力支持。</w:t>
      </w:r>
      <w:r>
        <w:rPr>
          <w:rFonts w:hint="eastAsia" w:ascii="仿宋" w:hAnsi="仿宋" w:eastAsia="仿宋"/>
          <w:b/>
          <w:bCs/>
          <w:color w:val="000000" w:themeColor="text1"/>
          <w:kern w:val="0"/>
          <w:sz w:val="32"/>
          <w:szCs w:val="22"/>
          <w:lang w:val="en-US" w:bidi="ar-SA"/>
          <w14:textFill>
            <w14:solidFill>
              <w14:schemeClr w14:val="tx1"/>
            </w14:solidFill>
          </w14:textFill>
        </w:rPr>
        <w:t>二是</w:t>
      </w:r>
      <w:r>
        <w:rPr>
          <w:rFonts w:hint="eastAsia" w:ascii="仿宋" w:hAnsi="仿宋" w:eastAsia="仿宋"/>
          <w:b/>
          <w:bCs/>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b/>
          <w:bCs/>
          <w:color w:val="000000" w:themeColor="text1"/>
          <w:kern w:val="0"/>
          <w:sz w:val="32"/>
          <w:szCs w:val="22"/>
          <w:lang w:val="en-US" w:bidi="ar-SA"/>
          <w14:textFill>
            <w14:solidFill>
              <w14:schemeClr w14:val="tx1"/>
            </w14:solidFill>
          </w14:textFill>
        </w:rPr>
        <w:t>发展经济基础更加巩固。</w:t>
      </w:r>
      <w:r>
        <w:rPr>
          <w:rFonts w:hint="eastAsia" w:ascii="仿宋" w:hAnsi="仿宋" w:eastAsia="仿宋"/>
          <w:color w:val="000000" w:themeColor="text1"/>
          <w:kern w:val="0"/>
          <w:sz w:val="32"/>
          <w:szCs w:val="22"/>
          <w:lang w:val="en-US" w:bidi="ar-SA"/>
          <w14:textFill>
            <w14:solidFill>
              <w14:schemeClr w14:val="tx1"/>
            </w14:solidFill>
          </w14:textFill>
        </w:rPr>
        <w:t>大足区</w:t>
      </w:r>
      <w:r>
        <w:rPr>
          <w:rFonts w:hint="eastAsia" w:ascii="仿宋" w:hAnsi="仿宋" w:eastAsia="仿宋"/>
          <w:color w:val="auto"/>
          <w:kern w:val="0"/>
          <w:sz w:val="32"/>
          <w:szCs w:val="22"/>
          <w:highlight w:val="none"/>
          <w:lang w:val="en-US" w:eastAsia="zh-CN" w:bidi="ar-SA"/>
        </w:rPr>
        <w:t>将</w:t>
      </w:r>
      <w:r>
        <w:rPr>
          <w:rFonts w:hint="eastAsia" w:ascii="方正仿宋_GBK" w:hAnsi="方正仿宋_GBK" w:eastAsia="方正仿宋_GBK" w:cs="方正仿宋_GBK"/>
          <w:color w:val="auto"/>
          <w:spacing w:val="-6"/>
          <w:kern w:val="2"/>
          <w:sz w:val="32"/>
          <w:szCs w:val="32"/>
          <w:highlight w:val="none"/>
          <w:u w:val="none" w:color="auto"/>
          <w:lang w:val="en-US" w:eastAsia="zh-CN" w:bidi="ar-SA"/>
        </w:rPr>
        <w:t>深度融入成渝地区双城经济圈建设和全市“一区两群”协调发展，</w:t>
      </w:r>
      <w:r>
        <w:rPr>
          <w:rFonts w:hint="eastAsia" w:ascii="方正仿宋_GBK" w:hAnsi="方正仿宋_GBK" w:eastAsia="方正仿宋_GBK" w:cs="方正仿宋_GBK"/>
          <w:color w:val="auto"/>
          <w:spacing w:val="-6"/>
          <w:kern w:val="2"/>
          <w:sz w:val="32"/>
          <w:szCs w:val="32"/>
          <w:highlight w:val="none"/>
          <w:u w:val="none" w:color="auto"/>
          <w:lang w:val="en-US" w:bidi="ar-SA"/>
        </w:rPr>
        <w:t>做靓文化会客厅</w:t>
      </w:r>
      <w:r>
        <w:rPr>
          <w:rFonts w:hint="eastAsia" w:ascii="方正仿宋_GBK" w:hAnsi="方正仿宋_GBK" w:eastAsia="方正仿宋_GBK" w:cs="方正仿宋_GBK"/>
          <w:color w:val="auto"/>
          <w:spacing w:val="-6"/>
          <w:kern w:val="2"/>
          <w:sz w:val="32"/>
          <w:szCs w:val="32"/>
          <w:highlight w:val="none"/>
          <w:u w:val="none" w:color="auto"/>
          <w:lang w:val="en-US" w:eastAsia="zh-CN" w:bidi="ar-SA"/>
        </w:rPr>
        <w:t>，</w:t>
      </w:r>
      <w:r>
        <w:rPr>
          <w:rFonts w:hint="eastAsia" w:ascii="方正仿宋_GBK" w:hAnsi="方正仿宋_GBK" w:eastAsia="方正仿宋_GBK" w:cs="方正仿宋_GBK"/>
          <w:color w:val="auto"/>
          <w:spacing w:val="-6"/>
          <w:kern w:val="2"/>
          <w:sz w:val="32"/>
          <w:szCs w:val="32"/>
          <w:highlight w:val="none"/>
          <w:u w:val="none" w:color="auto"/>
          <w:lang w:val="en-US" w:bidi="ar-SA"/>
        </w:rPr>
        <w:t>建强“两高”桥头堡</w:t>
      </w:r>
      <w:r>
        <w:rPr>
          <w:rFonts w:hint="eastAsia" w:ascii="方正仿宋_GBK" w:hAnsi="方正仿宋_GBK" w:eastAsia="方正仿宋_GBK" w:cs="方正仿宋_GBK"/>
          <w:color w:val="auto"/>
          <w:spacing w:val="-6"/>
          <w:kern w:val="2"/>
          <w:sz w:val="32"/>
          <w:szCs w:val="32"/>
          <w:highlight w:val="none"/>
          <w:u w:val="none" w:color="auto"/>
          <w:lang w:val="en-US" w:eastAsia="zh-CN" w:bidi="ar-SA"/>
        </w:rPr>
        <w:t>，</w:t>
      </w:r>
      <w:r>
        <w:rPr>
          <w:rFonts w:hint="eastAsia" w:ascii="仿宋" w:hAnsi="仿宋" w:eastAsia="仿宋"/>
          <w:color w:val="000000" w:themeColor="text1"/>
          <w:kern w:val="0"/>
          <w:sz w:val="32"/>
          <w:szCs w:val="22"/>
          <w:lang w:val="en-US" w:bidi="ar-SA"/>
          <w14:textFill>
            <w14:solidFill>
              <w14:schemeClr w14:val="tx1"/>
            </w14:solidFill>
          </w14:textFill>
        </w:rPr>
        <w:t>为新时代大足</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发展带来新机遇，有利于为全区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高质量发展奠定了良好经济基础。</w:t>
      </w:r>
      <w:r>
        <w:rPr>
          <w:rFonts w:hint="eastAsia" w:ascii="仿宋" w:hAnsi="仿宋" w:eastAsia="仿宋"/>
          <w:b/>
          <w:bCs/>
          <w:color w:val="000000" w:themeColor="text1"/>
          <w:kern w:val="0"/>
          <w:sz w:val="32"/>
          <w:szCs w:val="22"/>
          <w:lang w:val="en-US" w:bidi="ar-SA"/>
          <w14:textFill>
            <w14:solidFill>
              <w14:schemeClr w14:val="tx1"/>
            </w14:solidFill>
          </w14:textFill>
        </w:rPr>
        <w:t>三是信息技术应用创新发展路径。</w:t>
      </w:r>
      <w:r>
        <w:rPr>
          <w:rFonts w:hint="eastAsia" w:ascii="仿宋" w:hAnsi="仿宋" w:eastAsia="仿宋"/>
          <w:color w:val="000000" w:themeColor="text1"/>
          <w:kern w:val="0"/>
          <w:sz w:val="32"/>
          <w:szCs w:val="22"/>
          <w:lang w:val="en-US" w:bidi="ar-SA"/>
          <w14:textFill>
            <w14:solidFill>
              <w14:schemeClr w14:val="tx1"/>
            </w14:solidFill>
          </w14:textFill>
        </w:rPr>
        <w:t>大数据、人工智能、物联网等新型信息技术的应用为大足区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发展提供全新途径。信息技术与儿童福利领域的加速融合，加快了传统服务模式向网络化、智能化方向转变，有利于建设现代化儿童福利服务体系，提升儿童福利服务工作效率，推动大足区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实现高质量发展。四是儿童关爱环境氛围不断向好。大足区工会、妇联、共青团等群团组织和社工机构、慈善组织等社会力量积极参与儿童福利关爱服务工作，全区已形成家庭监护有效落实、社会力量广泛参与、携手着力帮助解决儿童困境的积极氛围，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发展提供良好环境。</w:t>
      </w:r>
    </w:p>
    <w:p>
      <w:pPr>
        <w:pageBreakBefore w:val="0"/>
        <w:widowControl/>
        <w:kinsoku/>
        <w:wordWrap/>
        <w:overflowPunct/>
        <w:topLinePunct w:val="0"/>
        <w:bidi w:val="0"/>
        <w:snapToGrid/>
        <w:spacing w:line="240" w:lineRule="auto"/>
        <w:ind w:firstLine="640" w:firstLineChars="200"/>
        <w:jc w:val="both"/>
        <w:rPr>
          <w:rFonts w:ascii="楷体" w:hAnsi="楷体" w:eastAsia="楷体" w:cs="楷体"/>
          <w:color w:val="000000"/>
          <w:kern w:val="0"/>
          <w:sz w:val="32"/>
          <w:szCs w:val="30"/>
          <w:lang w:val="zh-CN" w:eastAsia="zh-CN" w:bidi="ar-SA"/>
        </w:rPr>
      </w:pPr>
      <w:r>
        <w:rPr>
          <w:rFonts w:hint="eastAsia" w:ascii="楷体" w:hAnsi="楷体" w:eastAsia="楷体" w:cs="楷体"/>
          <w:color w:val="000000"/>
          <w:kern w:val="0"/>
          <w:sz w:val="32"/>
          <w:szCs w:val="30"/>
          <w:lang w:val="en-US" w:eastAsia="zh-CN" w:bidi="ar-SA"/>
        </w:rPr>
        <w:t>2.</w:t>
      </w:r>
      <w:r>
        <w:rPr>
          <w:rFonts w:hint="eastAsia" w:ascii="楷体" w:hAnsi="楷体" w:eastAsia="楷体" w:cs="楷体"/>
          <w:color w:val="000000"/>
          <w:kern w:val="0"/>
          <w:sz w:val="32"/>
          <w:szCs w:val="30"/>
          <w:lang w:val="zh-CN" w:eastAsia="zh-CN" w:bidi="ar-SA"/>
        </w:rPr>
        <w:t>面临挑战</w:t>
      </w:r>
    </w:p>
    <w:p>
      <w:pPr>
        <w:pageBreakBefore w:val="0"/>
        <w:widowControl/>
        <w:kinsoku/>
        <w:wordWrap/>
        <w:overflowPunct/>
        <w:topLinePunct w:val="0"/>
        <w:bidi w:val="0"/>
        <w:snapToGrid/>
        <w:spacing w:line="240" w:lineRule="auto"/>
        <w:ind w:firstLine="643" w:firstLineChars="200"/>
        <w:jc w:val="both"/>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一是工作体制需进一步理顺。</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就儿童福利工作而言，明确由民政部门牵头、协调相关部门合力开展农村留守儿童关爱保护和困境儿童保障工作。但政策执行中由于尚未形成自上而下的完整的儿童福利工作运行体系，实务中也缺乏多部门联合处置的机制，缺乏协调和整合机制。</w:t>
      </w: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二是儿童福利供给结构亟需调整。</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随着我国经济社会的发展和社会保障制度的不断完善，儿童对医疗、康复、教育、社会工作等专业服务需求日益增强，社会困境儿童服务需求凸显，儿童的需求层次也从基本生存需求向改善需求、发展需求和精神需求转变，而优质儿童公共服务资源相对匮乏，儿童教育、医疗、福利等水平有待提升，这些对儿童福利机构转型发展提出迫切要求。</w:t>
      </w: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三是儿童福利队伍建设有待加强。</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儿童福利服务对象不断拓展，服务内容不断丰富，但基层工作力量却没有相应增加，普遍面临人少事多局面，工资待遇偏低，队伍不稳定。村（居）儿童主任年龄结构老化、专业化程度不高、能力水平不够、激励机制不多。</w:t>
      </w: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四是社会力量参与机制有待健全。</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社会力量参与儿童关爱保护还不充分，政府购买服务力度需进一步加大，对困境儿童提供精准、个性化服务有待加强。儿童福利类专业社会组织较少，需进一步加大培育。</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9" w:name="_Toc74144933"/>
      <w:bookmarkStart w:id="10" w:name="_Toc73982161"/>
      <w:bookmarkStart w:id="11" w:name="_Toc17055"/>
      <w:r>
        <w:rPr>
          <w:rFonts w:hint="eastAsia" w:eastAsia="楷体" w:asciiTheme="majorHAnsi" w:hAnsiTheme="majorHAnsi" w:cstheme="majorBidi"/>
          <w:bCs/>
          <w:kern w:val="2"/>
          <w:sz w:val="32"/>
          <w:szCs w:val="32"/>
          <w:lang w:val="en-US" w:eastAsia="zh-CN" w:bidi="ar-SA"/>
        </w:rPr>
        <w:t>（三）“十四五”时期儿童福利与未成年人保护事业发展的</w:t>
      </w:r>
      <w:bookmarkEnd w:id="9"/>
      <w:bookmarkEnd w:id="10"/>
      <w:r>
        <w:rPr>
          <w:rFonts w:hint="eastAsia" w:eastAsia="楷体" w:asciiTheme="majorHAnsi" w:hAnsiTheme="majorHAnsi" w:cstheme="majorBidi"/>
          <w:bCs/>
          <w:kern w:val="2"/>
          <w:sz w:val="32"/>
          <w:szCs w:val="32"/>
          <w:lang w:val="en-US" w:eastAsia="zh-CN" w:bidi="ar-SA"/>
        </w:rPr>
        <w:t>指导思想</w:t>
      </w:r>
      <w:bookmarkEnd w:id="11"/>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color w:val="000000" w:themeColor="text1"/>
          <w:kern w:val="0"/>
          <w:sz w:val="32"/>
          <w:szCs w:val="22"/>
          <w:lang w:val="en-US" w:bidi="ar-SA"/>
          <w14:textFill>
            <w14:solidFill>
              <w14:schemeClr w14:val="tx1"/>
            </w14:solidFill>
          </w14:textFill>
        </w:rPr>
        <w:t>高举中国特色社会主义伟大旗帜，深入贯彻党的十九大精神，坚持以马克思列宁主义、毛泽东思想、邓小平理论、“三个代表”重要思想、科学发展观、习近平新时代中国特色社会主义思想为指导，深入贯彻习近平总书记对重庆提出的营造良好政治生态，坚持“两点”定位、“两地”“两高”目标，发挥“三个作用”和推动成渝地区双城经济圈建设等重要指示精神，准确把握新发展阶段，深入践行新发展理念，积极融入新发展格局，切实担当新发展使命，坚持以满足人民日益增长的美好生活需要为根本目的，深化改革创新，加快建设儿童福利</w:t>
      </w:r>
      <w:r>
        <w:rPr>
          <w:rFonts w:hint="eastAsia" w:ascii="仿宋" w:hAnsi="仿宋" w:eastAsia="仿宋"/>
          <w:color w:val="000000" w:themeColor="text1"/>
          <w:kern w:val="0"/>
          <w:sz w:val="32"/>
          <w:szCs w:val="22"/>
          <w:lang w:val="en-US" w:eastAsia="zh-CN" w:bidi="ar-SA"/>
          <w14:textFill>
            <w14:solidFill>
              <w14:schemeClr w14:val="tx1"/>
            </w14:solidFill>
          </w14:textFill>
        </w:rPr>
        <w:t>与未成年保护</w:t>
      </w:r>
      <w:r>
        <w:rPr>
          <w:rFonts w:hint="eastAsia" w:ascii="仿宋" w:hAnsi="仿宋" w:eastAsia="仿宋"/>
          <w:color w:val="000000" w:themeColor="text1"/>
          <w:kern w:val="0"/>
          <w:sz w:val="32"/>
          <w:szCs w:val="22"/>
          <w:lang w:val="en-US" w:bidi="ar-SA"/>
          <w14:textFill>
            <w14:solidFill>
              <w14:schemeClr w14:val="tx1"/>
            </w14:solidFill>
          </w14:textFill>
        </w:rPr>
        <w:t>制度体系，推进</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转型发展，全力保障儿童生存、发展、受保护和参与的权利，完善保障儿童优先、促进儿童全面发展的制度机制，推进大足区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高质量发展。</w:t>
      </w:r>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color w:val="000000" w:themeColor="text1"/>
          <w:kern w:val="0"/>
          <w:sz w:val="32"/>
          <w:szCs w:val="22"/>
          <w:lang w:val="en-US" w:bidi="ar-SA"/>
          <w14:textFill>
            <w14:solidFill>
              <w14:schemeClr w14:val="tx1"/>
            </w14:solidFill>
          </w14:textFill>
        </w:rPr>
        <w:t>“十四五”期间大足区</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发展应当坚持以下原则：</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——坚持党的全面领导。</w:t>
      </w:r>
      <w:r>
        <w:rPr>
          <w:rFonts w:hint="eastAsia" w:ascii="仿宋" w:hAnsi="仿宋" w:eastAsia="仿宋"/>
          <w:color w:val="000000" w:themeColor="text1"/>
          <w:kern w:val="0"/>
          <w:sz w:val="32"/>
          <w:szCs w:val="22"/>
          <w:lang w:val="en-US" w:bidi="ar-SA"/>
          <w14:textFill>
            <w14:solidFill>
              <w14:schemeClr w14:val="tx1"/>
            </w14:solidFill>
          </w14:textFill>
        </w:rPr>
        <w:t>紧紧围绕统筹推进“五位一体”总体布局和协调推进“四个全面”战略布局，深入贯彻落实党中央关于</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的重要决策部署，切实把党的领导贯穿</w:t>
      </w:r>
      <w:r>
        <w:rPr>
          <w:rFonts w:hint="eastAsia" w:ascii="仿宋" w:hAnsi="仿宋" w:eastAsia="仿宋"/>
          <w:color w:val="000000" w:themeColor="text1"/>
          <w:kern w:val="0"/>
          <w:sz w:val="32"/>
          <w:szCs w:val="22"/>
          <w:lang w:val="en-US" w:eastAsia="zh-CN" w:bidi="ar-SA"/>
          <w14:textFill>
            <w14:solidFill>
              <w14:schemeClr w14:val="tx1"/>
            </w14:solidFill>
          </w14:textFill>
        </w:rPr>
        <w:t>儿童福利与未成年人保护事业</w:t>
      </w:r>
      <w:r>
        <w:rPr>
          <w:rFonts w:hint="eastAsia" w:ascii="仿宋" w:hAnsi="仿宋" w:eastAsia="仿宋"/>
          <w:color w:val="000000" w:themeColor="text1"/>
          <w:kern w:val="0"/>
          <w:sz w:val="32"/>
          <w:szCs w:val="22"/>
          <w:lang w:val="en-US" w:bidi="ar-SA"/>
          <w14:textFill>
            <w14:solidFill>
              <w14:schemeClr w14:val="tx1"/>
            </w14:solidFill>
          </w14:textFill>
        </w:rPr>
        <w:t>发展全过程和各方面。</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——坚持政府主导，落实责任。</w:t>
      </w:r>
      <w:r>
        <w:rPr>
          <w:rFonts w:hint="eastAsia" w:ascii="仿宋" w:hAnsi="仿宋" w:eastAsia="仿宋"/>
          <w:color w:val="000000" w:themeColor="text1"/>
          <w:kern w:val="0"/>
          <w:sz w:val="32"/>
          <w:szCs w:val="22"/>
          <w:lang w:val="en-US" w:bidi="ar-SA"/>
          <w14:textFill>
            <w14:solidFill>
              <w14:schemeClr w14:val="tx1"/>
            </w14:solidFill>
          </w14:textFill>
        </w:rPr>
        <w:t>积极推动完善保障儿童权益、促进儿童发展的相关立法，制定配套政策措施，健全工作机制，统筹各方资源，加快形成困境儿童保障工作合力。</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——坚持儿童利益最大化原则。</w:t>
      </w:r>
      <w:r>
        <w:rPr>
          <w:rFonts w:hint="eastAsia" w:ascii="仿宋" w:hAnsi="仿宋" w:eastAsia="仿宋"/>
          <w:color w:val="000000" w:themeColor="text1"/>
          <w:kern w:val="0"/>
          <w:sz w:val="32"/>
          <w:szCs w:val="22"/>
          <w:lang w:val="en-US" w:bidi="ar-SA"/>
          <w14:textFill>
            <w14:solidFill>
              <w14:schemeClr w14:val="tx1"/>
            </w14:solidFill>
          </w14:textFill>
        </w:rPr>
        <w:t>从儿童身心发展规律特点出发处理与儿童相关的具体事务，在政策法规制定、健全工作机制和公共资源配置等方面优先考虑儿童的利益和需求，确保儿童依法得到特殊、优先保护。</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——坚持家庭尽责原则。</w:t>
      </w:r>
      <w:r>
        <w:rPr>
          <w:rFonts w:hint="eastAsia" w:ascii="仿宋" w:hAnsi="仿宋" w:eastAsia="仿宋"/>
          <w:color w:val="000000" w:themeColor="text1"/>
          <w:kern w:val="0"/>
          <w:sz w:val="32"/>
          <w:szCs w:val="22"/>
          <w:lang w:val="en-US" w:bidi="ar-SA"/>
          <w14:textFill>
            <w14:solidFill>
              <w14:schemeClr w14:val="tx1"/>
            </w14:solidFill>
          </w14:textFill>
        </w:rPr>
        <w:t>强化家庭是促进儿童发展的第一责任主体意识，大力支持家庭提高抚养监护能力，加强对家庭监护和委托监护的督促指导，营造有利于儿童健康成长的家庭环境，确保儿童在成长过程中得到妥善监护照料、亲情关爱和家庭温暖。</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olor w:val="000000" w:themeColor="text1"/>
          <w:kern w:val="0"/>
          <w:sz w:val="32"/>
          <w:szCs w:val="22"/>
          <w:lang w:val="en-US" w:bidi="ar-SA"/>
          <w14:textFill>
            <w14:solidFill>
              <w14:schemeClr w14:val="tx1"/>
            </w14:solidFill>
          </w14:textFill>
        </w:rPr>
      </w:pPr>
      <w:r>
        <w:rPr>
          <w:rFonts w:hint="eastAsia" w:ascii="仿宋" w:hAnsi="仿宋" w:eastAsia="仿宋"/>
          <w:b/>
          <w:bCs/>
          <w:color w:val="000000" w:themeColor="text1"/>
          <w:kern w:val="0"/>
          <w:sz w:val="32"/>
          <w:szCs w:val="22"/>
          <w:lang w:val="en-US" w:bidi="ar-SA"/>
          <w14:textFill>
            <w14:solidFill>
              <w14:schemeClr w14:val="tx1"/>
            </w14:solidFill>
          </w14:textFill>
        </w:rPr>
        <w:t>——坚持社会参与原则。</w:t>
      </w:r>
      <w:r>
        <w:rPr>
          <w:rFonts w:hint="eastAsia" w:ascii="仿宋" w:hAnsi="仿宋" w:eastAsia="仿宋"/>
          <w:color w:val="000000" w:themeColor="text1"/>
          <w:kern w:val="0"/>
          <w:sz w:val="32"/>
          <w:szCs w:val="22"/>
          <w:lang w:val="en-US" w:bidi="ar-SA"/>
          <w14:textFill>
            <w14:solidFill>
              <w14:schemeClr w14:val="tx1"/>
            </w14:solidFill>
          </w14:textFill>
        </w:rPr>
        <w:t>积极孵化培育儿童福利</w:t>
      </w:r>
      <w:r>
        <w:rPr>
          <w:rFonts w:hint="eastAsia" w:ascii="仿宋" w:hAnsi="仿宋" w:eastAsia="仿宋"/>
          <w:color w:val="000000" w:themeColor="text1"/>
          <w:kern w:val="0"/>
          <w:sz w:val="32"/>
          <w:szCs w:val="22"/>
          <w:lang w:val="en-US" w:eastAsia="zh-CN" w:bidi="ar-SA"/>
          <w14:textFill>
            <w14:solidFill>
              <w14:schemeClr w14:val="tx1"/>
            </w14:solidFill>
          </w14:textFill>
        </w:rPr>
        <w:t>与未成年人保护</w:t>
      </w:r>
      <w:r>
        <w:rPr>
          <w:rFonts w:hint="eastAsia" w:ascii="仿宋" w:hAnsi="仿宋" w:eastAsia="仿宋"/>
          <w:color w:val="000000" w:themeColor="text1"/>
          <w:kern w:val="0"/>
          <w:sz w:val="32"/>
          <w:szCs w:val="22"/>
          <w:lang w:val="en-US" w:bidi="ar-SA"/>
          <w14:textFill>
            <w14:solidFill>
              <w14:schemeClr w14:val="tx1"/>
            </w14:solidFill>
          </w14:textFill>
        </w:rPr>
        <w:t>相关社会组织，引导群团组织、社会组织、社会工作者、志愿者等参与儿童福利工作</w:t>
      </w:r>
      <w:r>
        <w:rPr>
          <w:rFonts w:hint="eastAsia" w:ascii="仿宋" w:hAnsi="仿宋" w:eastAsia="仿宋"/>
          <w:color w:val="000000" w:themeColor="text1"/>
          <w:kern w:val="0"/>
          <w:sz w:val="32"/>
          <w:szCs w:val="22"/>
          <w:lang w:val="en-US" w:eastAsia="zh-CN" w:bidi="ar-SA"/>
          <w14:textFill>
            <w14:solidFill>
              <w14:schemeClr w14:val="tx1"/>
            </w14:solidFill>
          </w14:textFill>
        </w:rPr>
        <w:t>与未成年人保护</w:t>
      </w:r>
      <w:r>
        <w:rPr>
          <w:rFonts w:hint="eastAsia" w:ascii="仿宋" w:hAnsi="仿宋" w:eastAsia="仿宋"/>
          <w:color w:val="000000" w:themeColor="text1"/>
          <w:kern w:val="0"/>
          <w:sz w:val="32"/>
          <w:szCs w:val="22"/>
          <w:lang w:val="en-US" w:bidi="ar-SA"/>
          <w14:textFill>
            <w14:solidFill>
              <w14:schemeClr w14:val="tx1"/>
            </w14:solidFill>
          </w14:textFill>
        </w:rPr>
        <w:t>，为社会力量广泛参与儿童福利工作创造良好的环境，营造全社会关心爱护儿童、支持儿童发展的良好氛围。</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color w:val="000000" w:themeColor="text1"/>
          <w:kern w:val="2"/>
          <w:sz w:val="32"/>
          <w:szCs w:val="32"/>
          <w:lang w:val="en-US" w:eastAsia="zh-CN" w:bidi="ar-SA"/>
          <w14:textFill>
            <w14:solidFill>
              <w14:schemeClr w14:val="tx1"/>
            </w14:solidFill>
          </w14:textFill>
        </w:rPr>
      </w:pPr>
      <w:bookmarkStart w:id="12" w:name="_Toc74144934"/>
      <w:bookmarkStart w:id="13" w:name="_Toc73982162"/>
      <w:bookmarkStart w:id="14" w:name="_Toc32456"/>
      <w:r>
        <w:rPr>
          <w:rFonts w:hint="eastAsia" w:eastAsia="楷体" w:asciiTheme="majorHAnsi" w:hAnsiTheme="majorHAnsi" w:cstheme="majorBidi"/>
          <w:bCs/>
          <w:kern w:val="2"/>
          <w:sz w:val="32"/>
          <w:szCs w:val="32"/>
          <w:lang w:val="en-US" w:eastAsia="zh-CN" w:bidi="ar-SA"/>
        </w:rPr>
        <w:t>（四） “十四五”时期儿童福利与未成年人保护事业的发展目标</w:t>
      </w:r>
      <w:bookmarkEnd w:id="12"/>
      <w:bookmarkEnd w:id="13"/>
      <w:bookmarkEnd w:id="14"/>
    </w:p>
    <w:p>
      <w:pPr>
        <w:pageBreakBefore w:val="0"/>
        <w:widowControl/>
        <w:kinsoku/>
        <w:wordWrap/>
        <w:overflowPunct/>
        <w:topLinePunct w:val="0"/>
        <w:autoSpaceDE w:val="0"/>
        <w:autoSpaceDN w:val="0"/>
        <w:bidi w:val="0"/>
        <w:adjustRightInd w:val="0"/>
        <w:snapToGrid/>
        <w:spacing w:before="0" w:after="0" w:line="240" w:lineRule="auto"/>
        <w:ind w:left="0" w:right="0" w:firstLine="640" w:firstLineChars="200"/>
        <w:jc w:val="both"/>
        <w:rPr>
          <w:rFonts w:ascii="仿宋" w:hAnsi="仿宋" w:eastAsia="仿宋" w:cs="仿宋"/>
          <w:color w:val="000000" w:themeColor="text1"/>
          <w:kern w:val="0"/>
          <w:sz w:val="32"/>
          <w:szCs w:val="21"/>
          <w:lang w:val="en-US" w:bidi="ar-SA"/>
          <w14:textFill>
            <w14:solidFill>
              <w14:schemeClr w14:val="tx1"/>
            </w14:solidFill>
          </w14:textFill>
        </w:rPr>
      </w:pPr>
      <w:r>
        <w:rPr>
          <w:rFonts w:hint="eastAsia" w:ascii="仿宋" w:hAnsi="仿宋" w:eastAsia="仿宋" w:cs="仿宋"/>
          <w:color w:val="000000" w:themeColor="text1"/>
          <w:kern w:val="0"/>
          <w:sz w:val="32"/>
          <w:szCs w:val="21"/>
          <w:lang w:val="en-US" w:bidi="ar-SA"/>
          <w14:textFill>
            <w14:solidFill>
              <w14:schemeClr w14:val="tx1"/>
            </w14:solidFill>
          </w14:textFill>
        </w:rPr>
        <w:t>“十四五”时期大足区</w:t>
      </w:r>
      <w:r>
        <w:rPr>
          <w:rFonts w:hint="eastAsia" w:ascii="仿宋" w:hAnsi="仿宋" w:eastAsia="仿宋" w:cs="仿宋"/>
          <w:color w:val="000000" w:themeColor="text1"/>
          <w:kern w:val="0"/>
          <w:sz w:val="32"/>
          <w:szCs w:val="21"/>
          <w:lang w:val="en-US" w:eastAsia="zh-CN" w:bidi="ar-SA"/>
          <w14:textFill>
            <w14:solidFill>
              <w14:schemeClr w14:val="tx1"/>
            </w14:solidFill>
          </w14:textFill>
        </w:rPr>
        <w:t>儿童福利与未成年人保护事业</w:t>
      </w:r>
      <w:r>
        <w:rPr>
          <w:rFonts w:hint="eastAsia" w:ascii="仿宋" w:hAnsi="仿宋" w:eastAsia="仿宋" w:cs="仿宋"/>
          <w:color w:val="000000" w:themeColor="text1"/>
          <w:kern w:val="0"/>
          <w:sz w:val="32"/>
          <w:szCs w:val="21"/>
          <w:lang w:val="en-US" w:bidi="ar-SA"/>
          <w14:textFill>
            <w14:solidFill>
              <w14:schemeClr w14:val="tx1"/>
            </w14:solidFill>
          </w14:textFill>
        </w:rPr>
        <w:t>的总体目标是：</w:t>
      </w:r>
    </w:p>
    <w:p>
      <w:pPr>
        <w:pageBreakBefore w:val="0"/>
        <w:widowControl/>
        <w:kinsoku/>
        <w:wordWrap/>
        <w:overflowPunct/>
        <w:topLinePunct w:val="0"/>
        <w:autoSpaceDE w:val="0"/>
        <w:autoSpaceDN w:val="0"/>
        <w:bidi w:val="0"/>
        <w:adjustRightInd w:val="0"/>
        <w:snapToGrid/>
        <w:spacing w:before="0" w:after="0" w:line="240" w:lineRule="auto"/>
        <w:ind w:left="0" w:right="0" w:firstLine="640" w:firstLineChars="200"/>
        <w:jc w:val="both"/>
        <w:rPr>
          <w:rFonts w:ascii="仿宋" w:hAnsi="仿宋" w:eastAsia="仿宋" w:cs="仿宋"/>
          <w:color w:val="000000" w:themeColor="text1"/>
          <w:kern w:val="0"/>
          <w:sz w:val="32"/>
          <w:szCs w:val="21"/>
          <w:lang w:val="en-US" w:bidi="ar-SA"/>
          <w14:textFill>
            <w14:solidFill>
              <w14:schemeClr w14:val="tx1"/>
            </w14:solidFill>
          </w14:textFill>
        </w:rPr>
      </w:pPr>
      <w:r>
        <w:rPr>
          <w:rFonts w:hint="eastAsia" w:ascii="仿宋" w:hAnsi="仿宋" w:eastAsia="仿宋" w:cs="仿宋"/>
          <w:color w:val="000000" w:themeColor="text1"/>
          <w:kern w:val="0"/>
          <w:sz w:val="32"/>
          <w:szCs w:val="21"/>
          <w:lang w:val="en-US" w:bidi="ar-SA"/>
          <w14:textFill>
            <w14:solidFill>
              <w14:schemeClr w14:val="tx1"/>
            </w14:solidFill>
          </w14:textFill>
        </w:rPr>
        <w:t>立足大足区经济社会发展现状，整合公共资源，加大投入力度，扩大福利范围，完善保障措施，不断提高儿童福利保障和服务水平，进一步满足儿童生存发展需要，切实维护好儿童的合法权益。到2025年底，建立起与大足区经济社会发展水平相适应，与儿童生存发展需求相匹配，与其他社会救助、福利制度相衔接，城乡一体化、保障制度化、组织网络化、服务专业化的普惠型儿童福利体系。</w:t>
      </w:r>
    </w:p>
    <w:p>
      <w:pPr>
        <w:pageBreakBefore w:val="0"/>
        <w:widowControl/>
        <w:kinsoku/>
        <w:wordWrap/>
        <w:overflowPunct/>
        <w:topLinePunct w:val="0"/>
        <w:autoSpaceDE w:val="0"/>
        <w:autoSpaceDN w:val="0"/>
        <w:bidi w:val="0"/>
        <w:adjustRightInd w:val="0"/>
        <w:snapToGrid/>
        <w:spacing w:before="0" w:after="0" w:line="240" w:lineRule="auto"/>
        <w:ind w:left="0" w:right="0" w:firstLine="643" w:firstLineChars="200"/>
        <w:jc w:val="both"/>
        <w:rPr>
          <w:rFonts w:ascii="仿宋" w:hAnsi="仿宋" w:eastAsia="仿宋" w:cs="仿宋"/>
          <w:color w:val="000000" w:themeColor="text1"/>
          <w:kern w:val="0"/>
          <w:sz w:val="32"/>
          <w:szCs w:val="21"/>
          <w:lang w:val="zh-CN" w:bidi="ar-SA"/>
          <w14:textFill>
            <w14:solidFill>
              <w14:schemeClr w14:val="tx1"/>
            </w14:solidFill>
          </w14:textFill>
        </w:rPr>
      </w:pPr>
      <w:r>
        <w:rPr>
          <w:rFonts w:hint="eastAsia" w:ascii="仿宋" w:hAnsi="仿宋" w:eastAsia="仿宋" w:cs="仿宋"/>
          <w:b/>
          <w:color w:val="000000" w:themeColor="text1"/>
          <w:kern w:val="2"/>
          <w:sz w:val="32"/>
          <w:szCs w:val="24"/>
          <w:lang w:val="en-US" w:bidi="ar-SA"/>
          <w14:textFill>
            <w14:solidFill>
              <w14:schemeClr w14:val="tx1"/>
            </w14:solidFill>
          </w14:textFill>
        </w:rPr>
        <w:t>——分类精细的儿童政策体系更加健全。</w:t>
      </w:r>
      <w:r>
        <w:rPr>
          <w:rFonts w:hint="eastAsia" w:ascii="仿宋" w:hAnsi="仿宋" w:eastAsia="仿宋" w:cs="仿宋"/>
          <w:color w:val="000000" w:themeColor="text1"/>
          <w:kern w:val="0"/>
          <w:sz w:val="32"/>
          <w:szCs w:val="21"/>
          <w:lang w:val="en-US" w:bidi="ar-SA"/>
          <w14:textFill>
            <w14:solidFill>
              <w14:schemeClr w14:val="tx1"/>
            </w14:solidFill>
          </w14:textFill>
        </w:rPr>
        <w:t>遵循儿童优先、儿童利益最大化的原则，不断完善涵盖生活、医疗、教育、安全、司法、就业等保障内容的一系列制度，建设与社会主义现代化目标相适应的儿童福利</w:t>
      </w:r>
      <w:r>
        <w:rPr>
          <w:rFonts w:hint="eastAsia" w:ascii="仿宋" w:hAnsi="仿宋" w:eastAsia="仿宋" w:cs="仿宋"/>
          <w:color w:val="000000" w:themeColor="text1"/>
          <w:kern w:val="0"/>
          <w:sz w:val="32"/>
          <w:szCs w:val="21"/>
          <w:lang w:val="zh-CN" w:bidi="ar-SA"/>
          <w14:textFill>
            <w14:solidFill>
              <w14:schemeClr w14:val="tx1"/>
            </w14:solidFill>
          </w14:textFill>
        </w:rPr>
        <w:t>与未成年人保护</w:t>
      </w:r>
      <w:r>
        <w:rPr>
          <w:rFonts w:hint="eastAsia" w:ascii="仿宋" w:hAnsi="仿宋" w:eastAsia="仿宋" w:cs="仿宋"/>
          <w:color w:val="000000" w:themeColor="text1"/>
          <w:kern w:val="0"/>
          <w:sz w:val="32"/>
          <w:szCs w:val="21"/>
          <w:lang w:val="en-US" w:bidi="ar-SA"/>
          <w14:textFill>
            <w14:solidFill>
              <w14:schemeClr w14:val="tx1"/>
            </w14:solidFill>
          </w14:textFill>
        </w:rPr>
        <w:t>制度体系。</w:t>
      </w:r>
      <w:r>
        <w:rPr>
          <w:rFonts w:hint="eastAsia" w:ascii="仿宋" w:hAnsi="仿宋" w:eastAsia="仿宋" w:cs="仿宋"/>
          <w:color w:val="000000" w:themeColor="text1"/>
          <w:kern w:val="0"/>
          <w:sz w:val="32"/>
          <w:szCs w:val="21"/>
          <w:lang w:val="zh-CN" w:bidi="ar-SA"/>
          <w14:textFill>
            <w14:solidFill>
              <w14:schemeClr w14:val="tx1"/>
            </w14:solidFill>
          </w14:textFill>
        </w:rPr>
        <w:t>加强参与儿童福利与未成年人保护领域标准化建设工作，加强战略性、前瞻性研究，密切跟踪相关法律法规制订修订情况。</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0"/>
          <w:sz w:val="32"/>
          <w:szCs w:val="21"/>
          <w:lang w:val="zh-CN" w:bidi="ar-SA"/>
          <w14:textFill>
            <w14:solidFill>
              <w14:schemeClr w14:val="tx1"/>
            </w14:solidFill>
          </w14:textFill>
        </w:rPr>
      </w:pPr>
      <w:r>
        <w:rPr>
          <w:rFonts w:hint="eastAsia" w:ascii="仿宋" w:hAnsi="仿宋" w:eastAsia="仿宋" w:cs="仿宋"/>
          <w:b/>
          <w:color w:val="000000" w:themeColor="text1"/>
          <w:kern w:val="2"/>
          <w:sz w:val="32"/>
          <w:szCs w:val="24"/>
          <w:lang w:val="en-US" w:bidi="ar-SA"/>
          <w14:textFill>
            <w14:solidFill>
              <w14:schemeClr w14:val="tx1"/>
            </w14:solidFill>
          </w14:textFill>
        </w:rPr>
        <w:t>——系统完善的儿童监护体系更加优化。</w:t>
      </w:r>
      <w:r>
        <w:rPr>
          <w:rFonts w:hint="eastAsia" w:ascii="仿宋" w:hAnsi="仿宋" w:eastAsia="仿宋" w:cs="仿宋"/>
          <w:color w:val="000000" w:themeColor="text1"/>
          <w:kern w:val="0"/>
          <w:sz w:val="32"/>
          <w:szCs w:val="21"/>
          <w:lang w:val="zh-CN" w:bidi="ar-SA"/>
          <w14:textFill>
            <w14:solidFill>
              <w14:schemeClr w14:val="tx1"/>
            </w14:solidFill>
          </w14:textFill>
        </w:rPr>
        <w:t>大力加强家庭监护干预、临时监护、长期监护、监护权转移、监护监督、失信惩戒等能力建设，进一步建立健全国家公权力对家庭监护不利的干预和对儿童权利受侵害的救济措施。完善儿童监护配套措施，积极落实强制报告制度，不断完善以家庭监护为主，以监护支持、监督和干预为保障，以国家监护为兜底”的儿童监护体系。</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b/>
          <w:color w:val="000000" w:themeColor="text1"/>
          <w:kern w:val="2"/>
          <w:sz w:val="32"/>
          <w:szCs w:val="24"/>
          <w:lang w:val="en-US" w:bidi="ar-SA"/>
          <w14:textFill>
            <w14:solidFill>
              <w14:schemeClr w14:val="tx1"/>
            </w14:solidFill>
          </w14:textFill>
        </w:rPr>
      </w:pPr>
      <w:r>
        <w:rPr>
          <w:rFonts w:hint="eastAsia" w:ascii="仿宋" w:hAnsi="仿宋" w:eastAsia="仿宋" w:cs="仿宋"/>
          <w:b/>
          <w:color w:val="000000" w:themeColor="text1"/>
          <w:kern w:val="2"/>
          <w:sz w:val="32"/>
          <w:szCs w:val="24"/>
          <w:lang w:val="en-US" w:bidi="ar-SA"/>
          <w14:textFill>
            <w14:solidFill>
              <w14:schemeClr w14:val="tx1"/>
            </w14:solidFill>
          </w14:textFill>
        </w:rPr>
        <w:t>——多元参与的儿童服务体系更加完善。</w:t>
      </w:r>
      <w:r>
        <w:rPr>
          <w:rFonts w:hint="eastAsia" w:ascii="仿宋" w:hAnsi="仿宋" w:eastAsia="仿宋" w:cs="仿宋"/>
          <w:color w:val="000000" w:themeColor="text1"/>
          <w:kern w:val="0"/>
          <w:sz w:val="32"/>
          <w:szCs w:val="21"/>
          <w:lang w:val="zh-CN" w:bidi="ar-SA"/>
          <w14:textFill>
            <w14:solidFill>
              <w14:schemeClr w14:val="tx1"/>
            </w14:solidFill>
          </w14:textFill>
        </w:rPr>
        <w:t>整合政府、家庭、企业和社会等多方力量，强化政府主导责任，督促家庭履行法定监护责任，积极引导群团组织、社会组织、专业社工、志愿者参与，依托儿童福利机构、家庭、社区、学校、市场、网络等各种平台，改善服务条件，加强基层儿童工作队伍建设，加强数据信息化建设，加大政府购买服务，为各类儿童提供多层次多样化的福利服务。</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b/>
          <w:color w:val="000000" w:themeColor="text1"/>
          <w:kern w:val="2"/>
          <w:sz w:val="32"/>
          <w:szCs w:val="24"/>
          <w:lang w:val="en-US" w:bidi="ar-SA"/>
          <w14:textFill>
            <w14:solidFill>
              <w14:schemeClr w14:val="tx1"/>
            </w14:solidFill>
          </w14:textFill>
        </w:rPr>
      </w:pPr>
      <w:r>
        <w:rPr>
          <w:rFonts w:hint="eastAsia" w:ascii="仿宋" w:hAnsi="仿宋" w:eastAsia="仿宋" w:cs="仿宋"/>
          <w:b/>
          <w:color w:val="000000" w:themeColor="text1"/>
          <w:kern w:val="2"/>
          <w:sz w:val="32"/>
          <w:szCs w:val="24"/>
          <w:lang w:val="en-US" w:bidi="ar-SA"/>
          <w14:textFill>
            <w14:solidFill>
              <w14:schemeClr w14:val="tx1"/>
            </w14:solidFill>
          </w14:textFill>
        </w:rPr>
        <w:t>——保障有力的儿童支撑体系更加巩固。</w:t>
      </w:r>
      <w:r>
        <w:rPr>
          <w:rFonts w:hint="eastAsia" w:ascii="仿宋" w:hAnsi="仿宋" w:eastAsia="仿宋" w:cs="仿宋"/>
          <w:color w:val="000000" w:themeColor="text1"/>
          <w:kern w:val="0"/>
          <w:sz w:val="32"/>
          <w:szCs w:val="21"/>
          <w:lang w:val="zh-CN" w:bidi="ar-SA"/>
          <w14:textFill>
            <w14:solidFill>
              <w14:schemeClr w14:val="tx1"/>
            </w14:solidFill>
          </w14:textFill>
        </w:rPr>
        <w:t>部门协同工作机制不断健全，部门联动优势得到有效发挥。儿童福利基础设施发展有序推进，推动打造集养育、医疗、教育、康复和社会工作一体化的区域性儿童福利机构，加快未成年人救助保护机构转型升级。儿童福利制度和福利服务落实所必需的公共财政投入不断加大，建立与经济发展相适应的儿童福利投入增长机制。严格执行儿童服务职业准入制度，大力加强专业技术和服务人才队伍建设，选优配强镇街儿童督导员、村（居）儿童主任，提高专业化、职业化水平。</w:t>
      </w:r>
      <w:r>
        <w:rPr>
          <w:rFonts w:hint="eastAsia" w:ascii="仿宋" w:hAnsi="仿宋" w:eastAsia="仿宋" w:cs="仿宋"/>
          <w:color w:val="000000" w:themeColor="text1"/>
          <w:kern w:val="2"/>
          <w:sz w:val="32"/>
          <w:szCs w:val="21"/>
          <w:lang w:val="en-US" w:bidi="ar-SA"/>
          <w14:textFill>
            <w14:solidFill>
              <w14:schemeClr w14:val="tx1"/>
            </w14:solidFill>
          </w14:textFill>
        </w:rPr>
        <w:t>建立健全防范化解儿童福利</w:t>
      </w:r>
      <w:r>
        <w:rPr>
          <w:rFonts w:hint="eastAsia" w:ascii="仿宋" w:hAnsi="仿宋" w:eastAsia="仿宋" w:cs="仿宋"/>
          <w:color w:val="000000" w:themeColor="text1"/>
          <w:kern w:val="2"/>
          <w:sz w:val="32"/>
          <w:szCs w:val="21"/>
          <w:lang w:val="en-US" w:eastAsia="zh-CN" w:bidi="ar-SA"/>
          <w14:textFill>
            <w14:solidFill>
              <w14:schemeClr w14:val="tx1"/>
            </w14:solidFill>
          </w14:textFill>
        </w:rPr>
        <w:t>与未成年人保护</w:t>
      </w:r>
      <w:r>
        <w:rPr>
          <w:rFonts w:hint="eastAsia" w:ascii="仿宋" w:hAnsi="仿宋" w:eastAsia="仿宋" w:cs="仿宋"/>
          <w:color w:val="000000" w:themeColor="text1"/>
          <w:kern w:val="2"/>
          <w:sz w:val="32"/>
          <w:szCs w:val="21"/>
          <w:lang w:val="en-US" w:bidi="ar-SA"/>
          <w14:textFill>
            <w14:solidFill>
              <w14:schemeClr w14:val="tx1"/>
            </w14:solidFill>
          </w14:textFill>
        </w:rPr>
        <w:t>工作领域重大风险机制，提升突发事件下的儿童福利保障</w:t>
      </w:r>
      <w:r>
        <w:rPr>
          <w:rFonts w:hint="eastAsia" w:ascii="仿宋" w:hAnsi="仿宋" w:eastAsia="仿宋" w:cs="仿宋"/>
          <w:color w:val="000000" w:themeColor="text1"/>
          <w:kern w:val="2"/>
          <w:sz w:val="32"/>
          <w:szCs w:val="21"/>
          <w:lang w:val="en-US" w:eastAsia="zh-CN" w:bidi="ar-SA"/>
          <w14:textFill>
            <w14:solidFill>
              <w14:schemeClr w14:val="tx1"/>
            </w14:solidFill>
          </w14:textFill>
        </w:rPr>
        <w:t>与未成年人保护</w:t>
      </w:r>
      <w:r>
        <w:rPr>
          <w:rFonts w:hint="eastAsia" w:ascii="仿宋" w:hAnsi="仿宋" w:eastAsia="仿宋" w:cs="仿宋"/>
          <w:color w:val="000000" w:themeColor="text1"/>
          <w:kern w:val="2"/>
          <w:sz w:val="32"/>
          <w:szCs w:val="21"/>
          <w:lang w:val="en-US" w:bidi="ar-SA"/>
          <w14:textFill>
            <w14:solidFill>
              <w14:schemeClr w14:val="tx1"/>
            </w14:solidFill>
          </w14:textFill>
        </w:rPr>
        <w:t>能力。</w:t>
      </w:r>
      <w:r>
        <w:rPr>
          <w:rFonts w:hint="eastAsia" w:ascii="仿宋" w:hAnsi="仿宋" w:eastAsia="仿宋" w:cs="仿宋"/>
          <w:color w:val="000000" w:themeColor="text1"/>
          <w:kern w:val="0"/>
          <w:sz w:val="32"/>
          <w:szCs w:val="21"/>
          <w:lang w:val="zh-CN" w:bidi="ar-SA"/>
          <w14:textFill>
            <w14:solidFill>
              <w14:schemeClr w14:val="tx1"/>
            </w14:solidFill>
          </w14:textFill>
        </w:rPr>
        <w:t>到2025年底，力争成立区级未成年人保护机构、镇街未成年人保护工作站覆盖率达到</w:t>
      </w:r>
      <w:r>
        <w:rPr>
          <w:rFonts w:hint="eastAsia" w:ascii="仿宋" w:hAnsi="仿宋" w:eastAsia="仿宋" w:cs="仿宋"/>
          <w:kern w:val="2"/>
          <w:sz w:val="32"/>
          <w:szCs w:val="24"/>
          <w:lang w:val="en-US" w:eastAsia="zh-CN" w:bidi="ar-SA"/>
        </w:rPr>
        <w:t>10</w:t>
      </w:r>
      <w:r>
        <w:rPr>
          <w:rFonts w:hint="eastAsia" w:ascii="仿宋" w:hAnsi="仿宋" w:eastAsia="仿宋" w:cs="仿宋"/>
          <w:kern w:val="2"/>
          <w:sz w:val="32"/>
          <w:szCs w:val="24"/>
          <w:lang w:val="en-US" w:bidi="ar-SA"/>
        </w:rPr>
        <w:t>0%</w:t>
      </w:r>
      <w:r>
        <w:rPr>
          <w:rFonts w:hint="eastAsia" w:ascii="仿宋" w:hAnsi="仿宋" w:eastAsia="仿宋" w:cs="仿宋"/>
          <w:color w:val="000000" w:themeColor="text1"/>
          <w:kern w:val="0"/>
          <w:sz w:val="32"/>
          <w:szCs w:val="21"/>
          <w:lang w:val="zh-CN" w:bidi="ar-SA"/>
          <w14:textFill>
            <w14:solidFill>
              <w14:schemeClr w14:val="tx1"/>
            </w14:solidFill>
          </w14:textFill>
        </w:rPr>
        <w:t>。</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0"/>
          <w:sz w:val="32"/>
          <w:szCs w:val="21"/>
          <w:lang w:val="zh-CN" w:bidi="ar-SA"/>
          <w14:textFill>
            <w14:solidFill>
              <w14:schemeClr w14:val="tx1"/>
            </w14:solidFill>
          </w14:textFill>
        </w:rPr>
      </w:pPr>
      <w:r>
        <w:rPr>
          <w:rFonts w:hint="eastAsia" w:ascii="仿宋" w:hAnsi="仿宋" w:eastAsia="仿宋" w:cs="仿宋"/>
          <w:b/>
          <w:color w:val="000000" w:themeColor="text1"/>
          <w:kern w:val="2"/>
          <w:sz w:val="32"/>
          <w:szCs w:val="24"/>
          <w:lang w:val="en-US" w:bidi="ar-SA"/>
          <w14:textFill>
            <w14:solidFill>
              <w14:schemeClr w14:val="tx1"/>
            </w14:solidFill>
          </w14:textFill>
        </w:rPr>
        <w:t>——全面系统的儿童保护体系更加完备。</w:t>
      </w:r>
      <w:r>
        <w:rPr>
          <w:rFonts w:hint="eastAsia" w:ascii="仿宋" w:hAnsi="仿宋" w:eastAsia="仿宋" w:cs="仿宋"/>
          <w:color w:val="000000" w:themeColor="text1"/>
          <w:kern w:val="0"/>
          <w:sz w:val="32"/>
          <w:szCs w:val="21"/>
          <w:lang w:val="zh-CN" w:bidi="ar-SA"/>
          <w14:textFill>
            <w14:solidFill>
              <w14:schemeClr w14:val="tx1"/>
            </w14:solidFill>
          </w14:textFill>
        </w:rPr>
        <w:t>结合《中华人民共和国未成年人保护法》，认真落实家庭监护责任、加强学校保护工作、加大社会保护力度、完善网络保护工作、强化政府保护职能、落实司法保护职责，实现对未成年人生活等各方面进行全方位保护。</w:t>
      </w:r>
    </w:p>
    <w:p>
      <w:pPr>
        <w:pageBreakBefore w:val="0"/>
        <w:widowControl/>
        <w:kinsoku/>
        <w:wordWrap/>
        <w:overflowPunct/>
        <w:topLinePunct w:val="0"/>
        <w:autoSpaceDE/>
        <w:autoSpaceDN/>
        <w:bidi w:val="0"/>
        <w:snapToGrid/>
        <w:spacing w:before="0" w:after="0" w:line="240" w:lineRule="auto"/>
        <w:ind w:left="0" w:right="0" w:firstLine="640" w:firstLineChars="200"/>
        <w:jc w:val="center"/>
        <w:rPr>
          <w:rFonts w:ascii="仿宋" w:hAnsi="仿宋" w:eastAsia="仿宋" w:cs="仿宋"/>
          <w:bCs/>
          <w:color w:val="000000" w:themeColor="text1"/>
          <w:kern w:val="0"/>
          <w:sz w:val="32"/>
          <w:szCs w:val="32"/>
          <w:lang w:val="en-US" w:bidi="ar-SA"/>
          <w14:textFill>
            <w14:solidFill>
              <w14:schemeClr w14:val="tx1"/>
            </w14:solidFill>
          </w14:textFill>
        </w:rPr>
      </w:pPr>
      <w:r>
        <w:rPr>
          <w:rFonts w:hint="eastAsia" w:ascii="仿宋" w:hAnsi="仿宋" w:eastAsia="仿宋" w:cs="仿宋"/>
          <w:bCs/>
          <w:color w:val="000000" w:themeColor="text1"/>
          <w:kern w:val="0"/>
          <w:sz w:val="32"/>
          <w:szCs w:val="32"/>
          <w:lang w:val="en-US" w:bidi="ar-SA"/>
          <w14:textFill>
            <w14:solidFill>
              <w14:schemeClr w14:val="tx1"/>
            </w14:solidFill>
          </w14:textFill>
        </w:rPr>
        <w:t>专栏1 “十四五”大足区</w:t>
      </w:r>
      <w:r>
        <w:rPr>
          <w:rFonts w:hint="eastAsia" w:ascii="仿宋" w:hAnsi="仿宋" w:eastAsia="仿宋" w:cs="仿宋"/>
          <w:bCs/>
          <w:color w:val="000000" w:themeColor="text1"/>
          <w:kern w:val="0"/>
          <w:sz w:val="32"/>
          <w:szCs w:val="32"/>
          <w:lang w:val="en-US" w:eastAsia="zh-CN" w:bidi="ar-SA"/>
          <w14:textFill>
            <w14:solidFill>
              <w14:schemeClr w14:val="tx1"/>
            </w14:solidFill>
          </w14:textFill>
        </w:rPr>
        <w:t>儿童福利与未成年人保护事业</w:t>
      </w:r>
      <w:r>
        <w:rPr>
          <w:rFonts w:hint="eastAsia" w:ascii="仿宋" w:hAnsi="仿宋" w:eastAsia="仿宋" w:cs="仿宋"/>
          <w:bCs/>
          <w:color w:val="000000" w:themeColor="text1"/>
          <w:kern w:val="0"/>
          <w:sz w:val="32"/>
          <w:szCs w:val="32"/>
          <w:lang w:val="en-US" w:bidi="ar-SA"/>
          <w14:textFill>
            <w14:solidFill>
              <w14:schemeClr w14:val="tx1"/>
            </w14:solidFill>
          </w14:textFill>
        </w:rPr>
        <w:t>主要发展指标</w:t>
      </w:r>
    </w:p>
    <w:tbl>
      <w:tblPr>
        <w:tblStyle w:val="4"/>
        <w:tblW w:w="8510"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9"/>
        <w:gridCol w:w="5407"/>
        <w:gridCol w:w="1112"/>
        <w:gridCol w:w="1112"/>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3" w:hRule="atLeast"/>
          <w:jc w:val="center"/>
        </w:trPr>
        <w:tc>
          <w:tcPr>
            <w:tcW w:w="879"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序号</w:t>
            </w:r>
          </w:p>
        </w:tc>
        <w:tc>
          <w:tcPr>
            <w:tcW w:w="5407"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right="0" w:firstLine="480" w:firstLineChars="20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主要指标</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属性</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2025年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8" w:hRule="atLeast"/>
          <w:jc w:val="center"/>
        </w:trPr>
        <w:tc>
          <w:tcPr>
            <w:tcW w:w="879"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1</w:t>
            </w:r>
          </w:p>
        </w:tc>
        <w:tc>
          <w:tcPr>
            <w:tcW w:w="5407"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both"/>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镇街未成年人保护工作站覆盖率</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预期性</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100%</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6" w:hRule="atLeast"/>
          <w:jc w:val="center"/>
        </w:trPr>
        <w:tc>
          <w:tcPr>
            <w:tcW w:w="879"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2</w:t>
            </w:r>
          </w:p>
        </w:tc>
        <w:tc>
          <w:tcPr>
            <w:tcW w:w="5407"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both"/>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建立区级未成年人保护</w:t>
            </w:r>
            <w:r>
              <w:rPr>
                <w:rFonts w:hint="eastAsia" w:ascii="仿宋" w:hAnsi="仿宋" w:eastAsia="仿宋" w:cs="仿宋"/>
                <w:bCs/>
                <w:color w:val="000000" w:themeColor="text1"/>
                <w:kern w:val="0"/>
                <w:sz w:val="24"/>
                <w:szCs w:val="24"/>
                <w:lang w:val="en-US" w:bidi="ar-SA"/>
                <w14:textFill>
                  <w14:solidFill>
                    <w14:schemeClr w14:val="tx1"/>
                  </w14:solidFill>
                </w14:textFill>
              </w:rPr>
              <w:t>机构</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预期性</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bidi="ar-SA"/>
                <w14:textFill>
                  <w14:solidFill>
                    <w14:schemeClr w14:val="tx1"/>
                  </w14:solidFill>
                </w14:textFill>
              </w:rPr>
            </w:pPr>
            <w:r>
              <w:rPr>
                <w:rFonts w:hint="eastAsia" w:ascii="仿宋" w:hAnsi="仿宋" w:eastAsia="仿宋" w:cs="仿宋"/>
                <w:bCs/>
                <w:color w:val="000000" w:themeColor="text1"/>
                <w:kern w:val="0"/>
                <w:sz w:val="24"/>
                <w:szCs w:val="24"/>
                <w:lang w:val="en-US" w:bidi="ar-SA"/>
                <w14:textFill>
                  <w14:solidFill>
                    <w14:schemeClr w14:val="tx1"/>
                  </w14:solidFill>
                </w14:textFill>
              </w:rPr>
              <w:t>1</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6" w:hRule="atLeast"/>
          <w:jc w:val="center"/>
        </w:trPr>
        <w:tc>
          <w:tcPr>
            <w:tcW w:w="879"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3</w:t>
            </w:r>
          </w:p>
        </w:tc>
        <w:tc>
          <w:tcPr>
            <w:tcW w:w="5407"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left"/>
              <w:rPr>
                <w:rFonts w:hint="eastAsia"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培育孵化儿童福利与未成年保护领域社会组织数量</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预期性</w:t>
            </w:r>
          </w:p>
        </w:tc>
        <w:tc>
          <w:tcPr>
            <w:tcW w:w="1112" w:type="dxa"/>
            <w:tcMar>
              <w:left w:w="108" w:type="dxa"/>
              <w:right w:w="108" w:type="dxa"/>
            </w:tcMar>
            <w:vAlign w:val="center"/>
          </w:tcPr>
          <w:p>
            <w:pPr>
              <w:pageBreakBefore w:val="0"/>
              <w:widowControl/>
              <w:kinsoku/>
              <w:wordWrap/>
              <w:overflowPunct/>
              <w:topLinePunct w:val="0"/>
              <w:autoSpaceDE/>
              <w:autoSpaceDN/>
              <w:bidi w:val="0"/>
              <w:snapToGrid/>
              <w:spacing w:before="0" w:after="0" w:line="240" w:lineRule="auto"/>
              <w:ind w:left="0" w:leftChars="0" w:right="0" w:firstLine="0" w:firstLineChars="0"/>
              <w:jc w:val="center"/>
              <w:rPr>
                <w:rFonts w:hint="eastAsia"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r>
              <w:rPr>
                <w:rFonts w:hint="eastAsia" w:ascii="仿宋" w:hAnsi="仿宋" w:eastAsia="仿宋" w:cs="仿宋"/>
                <w:bCs/>
                <w:color w:val="000000" w:themeColor="text1"/>
                <w:kern w:val="0"/>
                <w:sz w:val="24"/>
                <w:szCs w:val="24"/>
                <w:lang w:val="en-US" w:eastAsia="zh-CN" w:bidi="ar-SA"/>
                <w14:textFill>
                  <w14:solidFill>
                    <w14:schemeClr w14:val="tx1"/>
                  </w14:solidFill>
                </w14:textFill>
              </w:rPr>
              <w:t>2</w:t>
            </w:r>
          </w:p>
        </w:tc>
      </w:tr>
    </w:tbl>
    <w:p>
      <w:pPr>
        <w:keepNext/>
        <w:keepLines/>
        <w:pageBreakBefore w:val="0"/>
        <w:widowControl w:val="0"/>
        <w:kinsoku/>
        <w:wordWrap/>
        <w:overflowPunct/>
        <w:topLinePunct w:val="0"/>
        <w:bidi w:val="0"/>
        <w:snapToGrid/>
        <w:spacing w:before="0" w:beforeLines="0" w:after="0" w:afterLines="0" w:line="240" w:lineRule="auto"/>
        <w:ind w:firstLine="643" w:firstLineChars="200"/>
        <w:jc w:val="left"/>
        <w:outlineLvl w:val="0"/>
        <w:rPr>
          <w:rFonts w:ascii="方正小标宋_GBK" w:hAnsi="方正小标宋_GBK" w:eastAsia="黑体" w:cs="Times New Roman"/>
          <w:b/>
          <w:color w:val="000000"/>
          <w:kern w:val="0"/>
          <w:sz w:val="32"/>
          <w:szCs w:val="28"/>
          <w:lang w:val="zh-CN" w:eastAsia="zh-CN" w:bidi="ar-SA"/>
        </w:rPr>
      </w:pPr>
      <w:bookmarkStart w:id="15" w:name="_Toc73982163"/>
      <w:bookmarkStart w:id="16" w:name="_Toc10142"/>
      <w:bookmarkStart w:id="17" w:name="_Toc74144935"/>
      <w:r>
        <w:rPr>
          <w:rFonts w:hint="eastAsia" w:ascii="方正小标宋_GBK" w:hAnsi="方正小标宋_GBK" w:eastAsia="黑体" w:cs="Times New Roman"/>
          <w:b/>
          <w:color w:val="000000"/>
          <w:kern w:val="0"/>
          <w:sz w:val="32"/>
          <w:szCs w:val="28"/>
          <w:lang w:val="zh-CN" w:eastAsia="zh-CN" w:bidi="ar-SA"/>
        </w:rPr>
        <w:t>二、健全孤儿和事实无人抚养儿童保障体系</w:t>
      </w:r>
      <w:bookmarkEnd w:id="15"/>
      <w:bookmarkEnd w:id="16"/>
      <w:bookmarkEnd w:id="17"/>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18" w:name="_Toc74144936"/>
      <w:bookmarkStart w:id="19" w:name="_Toc73982164"/>
      <w:bookmarkStart w:id="20" w:name="_Toc7128"/>
      <w:r>
        <w:rPr>
          <w:rFonts w:hint="eastAsia" w:eastAsia="楷体" w:asciiTheme="majorHAnsi" w:hAnsiTheme="majorHAnsi" w:cstheme="majorBidi"/>
          <w:bCs/>
          <w:kern w:val="2"/>
          <w:sz w:val="32"/>
          <w:szCs w:val="32"/>
          <w:lang w:val="en-US" w:eastAsia="zh-CN" w:bidi="ar-SA"/>
        </w:rPr>
        <w:t>（一）提高孤儿和事实无人抚养儿童保障水平</w:t>
      </w:r>
      <w:bookmarkEnd w:id="18"/>
      <w:bookmarkEnd w:id="19"/>
      <w:bookmarkEnd w:id="20"/>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巩固孤儿和事实无人抚养儿童兜底保障。</w:t>
      </w:r>
      <w:r>
        <w:rPr>
          <w:rFonts w:hint="eastAsia" w:ascii="仿宋" w:hAnsi="仿宋" w:eastAsia="仿宋" w:cs="仿宋"/>
          <w:color w:val="000000" w:themeColor="text1"/>
          <w:kern w:val="2"/>
          <w:sz w:val="32"/>
          <w:szCs w:val="24"/>
          <w:lang w:val="en-US" w:bidi="ar-SA"/>
          <w14:textFill>
            <w14:solidFill>
              <w14:schemeClr w14:val="tx1"/>
            </w14:solidFill>
          </w14:textFill>
        </w:rPr>
        <w:t>规范事实无人抚养儿童认定标准和程序，健全孤儿基本生活保障制度，完善孤儿基本生活保障标准动态调整机制，建立事实无人抚养儿童基本生活保障自然增长机制，确保生活保障与经济发展水平相适应，与相关社会福利标准相衔接。到2025年底，孤儿和事实无人抚养儿童基本生活保障率保持100%。</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完善孤儿和事实无人抚养儿童医疗保障。</w:t>
      </w:r>
      <w:r>
        <w:rPr>
          <w:rFonts w:hint="eastAsia" w:ascii="仿宋" w:hAnsi="仿宋" w:eastAsia="仿宋" w:cs="仿宋"/>
          <w:color w:val="000000" w:themeColor="text1"/>
          <w:kern w:val="2"/>
          <w:sz w:val="32"/>
          <w:szCs w:val="24"/>
          <w:lang w:val="en-US" w:bidi="ar-SA"/>
          <w14:textFill>
            <w14:solidFill>
              <w14:schemeClr w14:val="tx1"/>
            </w14:solidFill>
          </w14:textFill>
        </w:rPr>
        <w:t>提高孤儿和事实无人抚养儿童参与城乡居民基本医疗保险覆盖率，适当提高救助水平。将符合规定的残疾孤儿和事实无人抚养儿童医疗康复项目纳入基本医疗保障范围，稳步提高待遇水平。对符合条件的孤儿和事实无人抚养儿童，持续实施医疗康复“明天计划”。</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落实孤儿和事实无人抚养儿童教育保障。</w:t>
      </w:r>
      <w:r>
        <w:rPr>
          <w:rFonts w:hint="eastAsia" w:ascii="仿宋" w:hAnsi="仿宋" w:eastAsia="仿宋" w:cs="仿宋"/>
          <w:color w:val="000000" w:themeColor="text1"/>
          <w:kern w:val="2"/>
          <w:sz w:val="32"/>
          <w:szCs w:val="24"/>
          <w:lang w:val="en-US" w:bidi="ar-SA"/>
          <w14:textFill>
            <w14:solidFill>
              <w14:schemeClr w14:val="tx1"/>
            </w14:solidFill>
          </w14:textFill>
        </w:rPr>
        <w:t>提高教育捐款、捐赠及公益性资助的使用水平，适当向孤儿和事实无人抚养儿童倾斜。加大家庭经济困难的学龄前孤儿和事实无人抚养儿童到学前教育机构接受教育的资助力度。完善义务教育控辍保学工作机制，保障孤儿和事实无人抚养儿童依法完成义务教育。在普通高中、中等职业学校、高等职业学校和普通本科高校就读的孤儿和事实无人抚养儿童，落实教育资助政策，对符合条件的孤儿和事实无人抚养儿童，持续实施“福彩圆梦·孤儿助学”“福彩圆梦·助学成长”项目。通过特殊教育学校就读、普通学校就读、儿童福利机构特教班就读、送教上门等多种方式，切实保障孤残儿童和事实无人抚养儿童受教育的权利。关注孤儿和事实无人抚养儿童心理问题，加大情感关爱，加强心理健康教育。</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健全孤儿和事实无人抚养儿童成年后就业扶持、住房保障制度。</w:t>
      </w:r>
      <w:r>
        <w:rPr>
          <w:rFonts w:hint="eastAsia" w:ascii="仿宋" w:hAnsi="仿宋" w:eastAsia="仿宋" w:cs="仿宋"/>
          <w:color w:val="000000" w:themeColor="text1"/>
          <w:kern w:val="2"/>
          <w:sz w:val="32"/>
          <w:szCs w:val="24"/>
          <w:lang w:val="en-US" w:bidi="ar-SA"/>
          <w14:textFill>
            <w14:solidFill>
              <w14:schemeClr w14:val="tx1"/>
            </w14:solidFill>
          </w14:textFill>
        </w:rPr>
        <w:t>协调相关部门帮扶、解决有劳动能力的孤儿成年后实现就业。协调相关部门落实好职业培训补贴、职业技能鉴定补贴、免费职业介绍、职业介绍补贴和社会保险补贴等政策，孤儿成年后就业困难的，优先安排其到政府开发的公益性岗位就业。对自主创业的成年孤儿，给予小额担保贷款及贴息、创业服务、创业培训等方面的支持和帮助。落实好抗震安居、因灾倒损农房恢复重建、贫困残疾人危房改造、扶贫安居等政策，对贫困孤儿和事实无人抚养儿童给予倾斜，在楼层位置、户型挑选等方面要给予适当照顾。对符合廉租住房、公共租赁住房、经济适用住房保障条件的孤儿和事实无人抚养儿童家庭或成年后孤儿，优先安排配租、配售。</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21" w:name="_Toc7916"/>
      <w:bookmarkStart w:id="22" w:name="_Toc74144937"/>
      <w:bookmarkStart w:id="23" w:name="_Toc73982165"/>
      <w:r>
        <w:rPr>
          <w:rFonts w:hint="eastAsia" w:eastAsia="楷体" w:asciiTheme="majorHAnsi" w:hAnsiTheme="majorHAnsi" w:cstheme="majorBidi"/>
          <w:bCs/>
          <w:kern w:val="2"/>
          <w:sz w:val="32"/>
          <w:szCs w:val="32"/>
          <w:lang w:val="en-US" w:eastAsia="zh-CN" w:bidi="ar-SA"/>
        </w:rPr>
        <w:t>（二）优化孤儿养育模式</w:t>
      </w:r>
      <w:bookmarkEnd w:id="21"/>
      <w:bookmarkEnd w:id="22"/>
      <w:bookmarkEnd w:id="23"/>
    </w:p>
    <w:p>
      <w:pPr>
        <w:pageBreakBefore w:val="0"/>
        <w:kinsoku/>
        <w:wordWrap/>
        <w:overflowPunct/>
        <w:topLinePunct w:val="0"/>
        <w:autoSpaceDE/>
        <w:autoSpaceDN/>
        <w:bidi w:val="0"/>
        <w:snapToGrid/>
        <w:spacing w:before="0" w:after="0" w:line="240" w:lineRule="auto"/>
        <w:ind w:left="0" w:right="0" w:firstLine="643" w:firstLineChars="200"/>
        <w:jc w:val="both"/>
        <w:rPr>
          <w:rFonts w:hint="eastAsia" w:ascii="仿宋" w:hAnsi="仿宋" w:eastAsia="仿宋" w:cs="仿宋"/>
          <w:color w:val="000000" w:themeColor="text1"/>
          <w:kern w:val="2"/>
          <w:sz w:val="32"/>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24"/>
          <w:lang w:val="en-US" w:eastAsia="zh-CN" w:bidi="ar-SA"/>
          <w14:textFill>
            <w14:solidFill>
              <w14:schemeClr w14:val="tx1"/>
            </w14:solidFill>
          </w14:textFill>
        </w:rPr>
        <w:t>做好</w:t>
      </w:r>
      <w:r>
        <w:rPr>
          <w:rFonts w:hint="eastAsia" w:ascii="仿宋" w:hAnsi="仿宋" w:eastAsia="仿宋" w:cs="仿宋"/>
          <w:b/>
          <w:bCs/>
          <w:color w:val="000000" w:themeColor="text1"/>
          <w:kern w:val="2"/>
          <w:sz w:val="32"/>
          <w:szCs w:val="24"/>
          <w:lang w:val="en-US" w:bidi="ar-SA"/>
          <w14:textFill>
            <w14:solidFill>
              <w14:schemeClr w14:val="tx1"/>
            </w14:solidFill>
          </w14:textFill>
        </w:rPr>
        <w:t>儿童福利机构</w:t>
      </w:r>
      <w:r>
        <w:rPr>
          <w:rFonts w:hint="eastAsia" w:ascii="仿宋" w:hAnsi="仿宋" w:eastAsia="仿宋" w:cs="仿宋"/>
          <w:b/>
          <w:bCs/>
          <w:color w:val="000000" w:themeColor="text1"/>
          <w:kern w:val="2"/>
          <w:sz w:val="32"/>
          <w:szCs w:val="24"/>
          <w:lang w:val="en-US" w:eastAsia="zh-CN" w:bidi="ar-SA"/>
          <w14:textFill>
            <w14:solidFill>
              <w14:schemeClr w14:val="tx1"/>
            </w14:solidFill>
          </w14:textFill>
        </w:rPr>
        <w:t>集中供养衔接</w:t>
      </w:r>
      <w:r>
        <w:rPr>
          <w:rFonts w:hint="eastAsia" w:ascii="仿宋" w:hAnsi="仿宋" w:eastAsia="仿宋" w:cs="仿宋"/>
          <w:b/>
          <w:bCs/>
          <w:color w:val="000000" w:themeColor="text1"/>
          <w:kern w:val="2"/>
          <w:sz w:val="32"/>
          <w:szCs w:val="24"/>
          <w:lang w:val="en-US" w:bidi="ar-SA"/>
          <w14:textFill>
            <w14:solidFill>
              <w14:schemeClr w14:val="tx1"/>
            </w14:solidFill>
          </w14:textFill>
        </w:rPr>
        <w:t>。</w:t>
      </w:r>
      <w:r>
        <w:rPr>
          <w:rFonts w:hint="eastAsia" w:ascii="仿宋" w:hAnsi="仿宋" w:eastAsia="仿宋" w:cs="仿宋"/>
          <w:color w:val="000000" w:themeColor="text1"/>
          <w:kern w:val="2"/>
          <w:sz w:val="32"/>
          <w:szCs w:val="24"/>
          <w:lang w:val="en-US" w:eastAsia="zh-CN" w:bidi="ar-SA"/>
          <w14:textFill>
            <w14:solidFill>
              <w14:schemeClr w14:val="tx1"/>
            </w14:solidFill>
          </w14:textFill>
        </w:rPr>
        <w:t>按照市民政局统一优化儿童福利机构区域性布局要求，将符合条件的特困儿童送市对应儿童福利机构供养。</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0"/>
          <w:sz w:val="32"/>
          <w:szCs w:val="21"/>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探索实施类家庭养育模式。</w:t>
      </w:r>
      <w:r>
        <w:rPr>
          <w:rFonts w:hint="eastAsia" w:ascii="仿宋" w:hAnsi="仿宋" w:eastAsia="仿宋" w:cs="仿宋"/>
          <w:color w:val="000000" w:themeColor="text1"/>
          <w:kern w:val="0"/>
          <w:sz w:val="32"/>
          <w:szCs w:val="21"/>
          <w:lang w:val="en-US" w:bidi="ar-SA"/>
          <w14:textFill>
            <w14:solidFill>
              <w14:schemeClr w14:val="tx1"/>
            </w14:solidFill>
          </w14:textFill>
        </w:rPr>
        <w:t>面向社会招聘符合条件的爱心夫妇与院内孤儿组建“模拟家庭”。定期组织对“模拟家庭”进行家访、评估绩效，帮助指导“模拟家庭”解决儿童抚育过程中遇到的问题。</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完善孤儿家庭寄养制度。</w:t>
      </w:r>
      <w:r>
        <w:rPr>
          <w:rFonts w:hint="eastAsia" w:ascii="仿宋" w:hAnsi="仿宋" w:eastAsia="仿宋" w:cs="仿宋"/>
          <w:color w:val="000000" w:themeColor="text1"/>
          <w:kern w:val="0"/>
          <w:sz w:val="32"/>
          <w:szCs w:val="21"/>
          <w:lang w:val="en-US" w:bidi="ar-SA"/>
          <w14:textFill>
            <w14:solidFill>
              <w14:schemeClr w14:val="tx1"/>
            </w14:solidFill>
          </w14:textFill>
        </w:rPr>
        <w:t>推进儿童福利机构的孤儿家庭寄养工作，认真落实《家庭寄养管理办法》，严格规范家庭寄养程序，完善孤儿寄养家庭条件审查、寄养协议、家庭走访、家庭培训和监护评估、监护保护制度。“十四五”期间，常态化开展全区孤儿家庭寄养情况排查，持续落实家庭寄养孤儿照料服务和定期探访制度。</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24" w:name="_Toc11324"/>
      <w:bookmarkStart w:id="25" w:name="_Toc73982167"/>
      <w:bookmarkStart w:id="26" w:name="_Toc74144939"/>
      <w:r>
        <w:rPr>
          <w:rFonts w:hint="eastAsia" w:eastAsia="楷体" w:asciiTheme="majorHAnsi" w:hAnsiTheme="majorHAnsi" w:cstheme="majorBidi"/>
          <w:bCs/>
          <w:kern w:val="2"/>
          <w:sz w:val="32"/>
          <w:szCs w:val="32"/>
          <w:lang w:val="en-US" w:eastAsia="zh-CN" w:bidi="ar-SA"/>
        </w:rPr>
        <w:t>（三）强化机构孤儿成年后安置工作</w:t>
      </w:r>
      <w:bookmarkEnd w:id="24"/>
      <w:bookmarkEnd w:id="25"/>
      <w:bookmarkEnd w:id="26"/>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b/>
          <w:bCs/>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推进机构孤儿成年后集中安置工作。</w:t>
      </w:r>
      <w:r>
        <w:rPr>
          <w:rFonts w:hint="eastAsia" w:ascii="仿宋" w:hAnsi="仿宋" w:eastAsia="仿宋" w:cs="仿宋"/>
          <w:color w:val="000000" w:themeColor="text1"/>
          <w:kern w:val="0"/>
          <w:sz w:val="32"/>
          <w:szCs w:val="21"/>
          <w:lang w:val="en-US" w:bidi="ar-SA"/>
          <w14:textFill>
            <w14:solidFill>
              <w14:schemeClr w14:val="tx1"/>
            </w14:solidFill>
          </w14:textFill>
        </w:rPr>
        <w:t>建立机构孤儿成年后安置长效机制，将身体残疾、丧失生活自理能力和劳动就业能力的孤儿集中安置于社会福利机构，并做好有房产或土地补偿费、安置补助费等财产的集中供养安置孤儿的房屋管护、维修及账户监管工作。</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推进机构孤儿成年后社会化安置工作。</w:t>
      </w:r>
      <w:r>
        <w:rPr>
          <w:rFonts w:hint="eastAsia" w:ascii="仿宋" w:hAnsi="仿宋" w:eastAsia="仿宋" w:cs="仿宋"/>
          <w:color w:val="000000" w:themeColor="text1"/>
          <w:kern w:val="2"/>
          <w:sz w:val="32"/>
          <w:szCs w:val="24"/>
          <w:lang w:val="en-US" w:bidi="ar-SA"/>
          <w14:textFill>
            <w14:solidFill>
              <w14:schemeClr w14:val="tx1"/>
            </w14:solidFill>
          </w14:textFill>
        </w:rPr>
        <w:t>协调解决具有一定劳动就业能力和生活自理能力的孤儿住房、就业、户籍及过渡期间生活等问题。加强孤儿技能培训力度，提高培训补贴；将符合住房保障准入条件的孤儿纳入住房保障范围并优先给予保障；将符合低保等救助条件孤儿纳入社会救助范围。</w:t>
      </w:r>
    </w:p>
    <w:p>
      <w:pPr>
        <w:pageBreakBefore w:val="0"/>
        <w:kinsoku/>
        <w:wordWrap/>
        <w:overflowPunct/>
        <w:topLinePunct w:val="0"/>
        <w:autoSpaceDE/>
        <w:autoSpaceDN/>
        <w:bidi w:val="0"/>
        <w:snapToGrid/>
        <w:spacing w:before="0" w:after="0" w:line="240" w:lineRule="auto"/>
        <w:ind w:left="0" w:right="0" w:firstLine="640" w:firstLineChars="200"/>
        <w:jc w:val="center"/>
        <w:rPr>
          <w:rFonts w:ascii="仿宋" w:hAnsi="仿宋" w:eastAsia="仿宋" w:cs="仿宋"/>
          <w:color w:val="000000" w:themeColor="text1"/>
          <w:kern w:val="2"/>
          <w:sz w:val="32"/>
          <w:szCs w:val="24"/>
          <w:lang w:val="en-US" w:bidi="ar-SA"/>
          <w14:textFill>
            <w14:solidFill>
              <w14:schemeClr w14:val="tx1"/>
            </w14:solidFill>
          </w14:textFill>
        </w:rPr>
      </w:pPr>
      <w:r>
        <w:rPr>
          <w:rFonts w:hint="eastAsia" w:ascii="仿宋" w:hAnsi="仿宋" w:eastAsia="仿宋" w:cs="仿宋"/>
          <w:color w:val="000000" w:themeColor="text1"/>
          <w:kern w:val="2"/>
          <w:sz w:val="32"/>
          <w:szCs w:val="24"/>
          <w:lang w:val="en-US" w:bidi="ar-SA"/>
          <w14:textFill>
            <w14:solidFill>
              <w14:schemeClr w14:val="tx1"/>
            </w14:solidFill>
          </w14:textFill>
        </w:rPr>
        <w:t>专栏2 孤儿、事实无人抚养儿童保障工程</w:t>
      </w:r>
    </w:p>
    <w:tbl>
      <w:tblPr>
        <w:tblStyle w:val="4"/>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color w:val="000000" w:themeColor="text1"/>
                <w:kern w:val="2"/>
                <w:sz w:val="28"/>
                <w:szCs w:val="28"/>
                <w:lang w:val="en-US" w:bidi="ar-SA"/>
                <w14:textFill>
                  <w14:solidFill>
                    <w14:schemeClr w14:val="tx1"/>
                  </w14:solidFill>
                </w14:textFill>
              </w:rPr>
            </w:pPr>
            <w:r>
              <w:rPr>
                <w:rFonts w:hint="eastAsia" w:ascii="仿宋" w:hAnsi="仿宋" w:eastAsia="仿宋" w:cs="仿宋"/>
                <w:b/>
                <w:bCs/>
                <w:color w:val="000000" w:themeColor="text1"/>
                <w:kern w:val="2"/>
                <w:sz w:val="28"/>
                <w:szCs w:val="28"/>
                <w:lang w:val="en-US" w:bidi="ar-SA"/>
                <w14:textFill>
                  <w14:solidFill>
                    <w14:schemeClr w14:val="tx1"/>
                  </w14:solidFill>
                </w14:textFill>
              </w:rPr>
              <w:t>1.“医疗康复明天计划”：</w:t>
            </w:r>
            <w:r>
              <w:rPr>
                <w:rFonts w:hint="eastAsia" w:ascii="仿宋" w:hAnsi="仿宋" w:eastAsia="仿宋" w:cs="仿宋"/>
                <w:color w:val="000000" w:themeColor="text1"/>
                <w:kern w:val="2"/>
                <w:sz w:val="28"/>
                <w:szCs w:val="28"/>
                <w:lang w:val="en-US" w:bidi="ar-SA"/>
                <w14:textFill>
                  <w14:solidFill>
                    <w14:schemeClr w14:val="tx1"/>
                  </w14:solidFill>
                </w14:textFill>
              </w:rPr>
              <w:t>通过福利彩票公益金支持，对符合条件的具有大足户籍0-18周岁以及年满18周岁后仍在校就读的孤儿和事实无人抚养儿童医疗康复自付费用予以资助。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b/>
                <w:bCs/>
                <w:color w:val="000000" w:themeColor="text1"/>
                <w:kern w:val="2"/>
                <w:sz w:val="28"/>
                <w:szCs w:val="28"/>
                <w:lang w:val="en-US" w:bidi="ar-SA"/>
                <w14:textFill>
                  <w14:solidFill>
                    <w14:schemeClr w14:val="tx1"/>
                  </w14:solidFill>
                </w14:textFill>
              </w:rPr>
            </w:pPr>
            <w:r>
              <w:rPr>
                <w:rFonts w:hint="eastAsia" w:ascii="仿宋" w:hAnsi="仿宋" w:eastAsia="仿宋" w:cs="仿宋"/>
                <w:b/>
                <w:bCs/>
                <w:color w:val="000000" w:themeColor="text1"/>
                <w:kern w:val="2"/>
                <w:sz w:val="28"/>
                <w:szCs w:val="28"/>
                <w:lang w:val="en-US" w:bidi="ar-SA"/>
                <w14:textFill>
                  <w14:solidFill>
                    <w14:schemeClr w14:val="tx1"/>
                  </w14:solidFill>
                </w14:textFill>
              </w:rPr>
              <w:t>2.“福彩圆梦·孤儿助学”工程：</w:t>
            </w:r>
            <w:r>
              <w:rPr>
                <w:rFonts w:hint="eastAsia" w:ascii="仿宋" w:hAnsi="仿宋" w:eastAsia="仿宋" w:cs="仿宋"/>
                <w:color w:val="000000" w:themeColor="text1"/>
                <w:kern w:val="2"/>
                <w:sz w:val="28"/>
                <w:szCs w:val="28"/>
                <w:lang w:val="en-US" w:bidi="ar-SA"/>
                <w14:textFill>
                  <w14:solidFill>
                    <w14:schemeClr w14:val="tx1"/>
                  </w14:solidFill>
                </w14:textFill>
              </w:rPr>
              <w:t>对已被认定为孤儿身份、年满18周岁后在普通全日制本科学校、普通全日制专科学校、高等职业学校等高等院校及中等职业学校就读的中专、大专、本科学生和硕博士研究生进行教育资助。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b/>
                <w:bCs/>
                <w:color w:val="000000" w:themeColor="text1"/>
                <w:kern w:val="2"/>
                <w:sz w:val="28"/>
                <w:szCs w:val="28"/>
                <w:lang w:val="en-US" w:bidi="ar-SA"/>
                <w14:textFill>
                  <w14:solidFill>
                    <w14:schemeClr w14:val="tx1"/>
                  </w14:solidFill>
                </w14:textFill>
              </w:rPr>
            </w:pPr>
            <w:r>
              <w:rPr>
                <w:rFonts w:hint="eastAsia" w:ascii="仿宋" w:hAnsi="仿宋" w:eastAsia="仿宋" w:cs="仿宋"/>
                <w:b/>
                <w:bCs/>
                <w:color w:val="000000" w:themeColor="text1"/>
                <w:kern w:val="2"/>
                <w:sz w:val="28"/>
                <w:szCs w:val="28"/>
                <w:lang w:val="en-US" w:bidi="ar-SA"/>
                <w14:textFill>
                  <w14:solidFill>
                    <w14:schemeClr w14:val="tx1"/>
                  </w14:solidFill>
                </w14:textFill>
              </w:rPr>
              <w:t>3.事实无人抚养儿童“福彩圆梦·助学成长”项目：</w:t>
            </w:r>
            <w:r>
              <w:rPr>
                <w:rFonts w:hint="eastAsia" w:ascii="仿宋" w:hAnsi="仿宋" w:eastAsia="仿宋" w:cs="仿宋"/>
                <w:color w:val="000000" w:themeColor="text1"/>
                <w:kern w:val="2"/>
                <w:sz w:val="28"/>
                <w:szCs w:val="28"/>
                <w:lang w:val="en-US" w:bidi="ar-SA"/>
                <w14:textFill>
                  <w14:solidFill>
                    <w14:schemeClr w14:val="tx1"/>
                  </w14:solidFill>
                </w14:textFill>
              </w:rPr>
              <w:t>对已被认定为事实无人抚养儿童身份、年满18周岁，在普通全日制中等职业及以上学校就读的中专（中职）、大专（高职）、本科学生进行教育资助。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b/>
                <w:bCs/>
                <w:color w:val="000000" w:themeColor="text1"/>
                <w:kern w:val="2"/>
                <w:sz w:val="28"/>
                <w:szCs w:val="28"/>
                <w:lang w:val="en-US" w:bidi="ar-SA"/>
                <w14:textFill>
                  <w14:solidFill>
                    <w14:schemeClr w14:val="tx1"/>
                  </w14:solidFill>
                </w14:textFill>
              </w:rPr>
            </w:pPr>
            <w:r>
              <w:rPr>
                <w:rFonts w:hint="eastAsia" w:ascii="仿宋" w:hAnsi="仿宋" w:eastAsia="仿宋" w:cs="仿宋"/>
                <w:b/>
                <w:bCs/>
                <w:color w:val="000000" w:themeColor="text1"/>
                <w:kern w:val="2"/>
                <w:sz w:val="28"/>
                <w:szCs w:val="28"/>
                <w:lang w:val="en-US" w:bidi="ar-SA"/>
                <w14:textFill>
                  <w14:solidFill>
                    <w14:schemeClr w14:val="tx1"/>
                  </w14:solidFill>
                </w14:textFill>
              </w:rPr>
              <w:t>4.</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残疾</w:t>
            </w:r>
            <w:r>
              <w:rPr>
                <w:rFonts w:hint="eastAsia" w:ascii="仿宋" w:hAnsi="仿宋" w:eastAsia="仿宋" w:cs="仿宋"/>
                <w:b/>
                <w:bCs/>
                <w:color w:val="000000" w:themeColor="text1"/>
                <w:kern w:val="2"/>
                <w:sz w:val="28"/>
                <w:szCs w:val="28"/>
                <w:lang w:val="en-US" w:bidi="ar-SA"/>
                <w14:textFill>
                  <w14:solidFill>
                    <w14:schemeClr w14:val="tx1"/>
                  </w14:solidFill>
                </w14:textFill>
              </w:rPr>
              <w:t>儿童</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教育</w:t>
            </w:r>
            <w:r>
              <w:rPr>
                <w:rFonts w:hint="eastAsia" w:ascii="仿宋" w:hAnsi="仿宋" w:eastAsia="仿宋" w:cs="仿宋"/>
                <w:b/>
                <w:bCs/>
                <w:color w:val="000000" w:themeColor="text1"/>
                <w:kern w:val="2"/>
                <w:sz w:val="28"/>
                <w:szCs w:val="28"/>
                <w:lang w:val="en-US" w:bidi="ar-SA"/>
                <w14:textFill>
                  <w14:solidFill>
                    <w14:schemeClr w14:val="tx1"/>
                  </w14:solidFill>
                </w14:textFill>
              </w:rPr>
              <w:t>工程：</w:t>
            </w:r>
            <w:r>
              <w:rPr>
                <w:rFonts w:hint="eastAsia" w:ascii="仿宋" w:hAnsi="仿宋" w:eastAsia="仿宋" w:cs="仿宋"/>
                <w:color w:val="000000" w:themeColor="text1"/>
                <w:kern w:val="2"/>
                <w:sz w:val="28"/>
                <w:szCs w:val="28"/>
                <w:lang w:val="en-US" w:bidi="ar-SA"/>
                <w14:textFill>
                  <w14:solidFill>
                    <w14:schemeClr w14:val="tx1"/>
                  </w14:solidFill>
                </w14:textFill>
              </w:rPr>
              <w:t>适合就学的适龄残疾儿童全部接受特殊教育并纳入学籍管理。</w:t>
            </w:r>
          </w:p>
        </w:tc>
      </w:tr>
    </w:tbl>
    <w:p>
      <w:pPr>
        <w:keepNext/>
        <w:keepLines/>
        <w:pageBreakBefore w:val="0"/>
        <w:widowControl w:val="0"/>
        <w:kinsoku/>
        <w:wordWrap/>
        <w:overflowPunct/>
        <w:topLinePunct w:val="0"/>
        <w:bidi w:val="0"/>
        <w:snapToGrid/>
        <w:spacing w:before="0" w:beforeLines="0" w:after="0" w:afterLines="0" w:line="240" w:lineRule="auto"/>
        <w:ind w:firstLine="643" w:firstLineChars="200"/>
        <w:jc w:val="left"/>
        <w:outlineLvl w:val="0"/>
        <w:rPr>
          <w:rFonts w:ascii="方正小标宋_GBK" w:hAnsi="方正小标宋_GBK" w:eastAsia="黑体" w:cs="Times New Roman"/>
          <w:b/>
          <w:color w:val="000000"/>
          <w:kern w:val="0"/>
          <w:sz w:val="32"/>
          <w:szCs w:val="28"/>
          <w:lang w:val="zh-CN" w:eastAsia="zh-CN" w:bidi="ar-SA"/>
        </w:rPr>
      </w:pPr>
      <w:bookmarkStart w:id="27" w:name="_Toc74144940"/>
      <w:bookmarkStart w:id="28" w:name="_Toc73982168"/>
      <w:bookmarkStart w:id="29" w:name="_Toc16132"/>
      <w:r>
        <w:rPr>
          <w:rFonts w:hint="eastAsia" w:ascii="方正小标宋_GBK" w:hAnsi="方正小标宋_GBK" w:eastAsia="黑体" w:cs="Times New Roman"/>
          <w:b/>
          <w:color w:val="000000"/>
          <w:kern w:val="0"/>
          <w:sz w:val="32"/>
          <w:szCs w:val="28"/>
          <w:lang w:val="en-US" w:eastAsia="zh-CN" w:bidi="ar-SA"/>
        </w:rPr>
        <w:t>三、</w:t>
      </w:r>
      <w:r>
        <w:rPr>
          <w:rFonts w:hint="eastAsia" w:ascii="方正小标宋_GBK" w:hAnsi="方正小标宋_GBK" w:eastAsia="黑体" w:cs="Times New Roman"/>
          <w:b/>
          <w:color w:val="000000"/>
          <w:kern w:val="0"/>
          <w:sz w:val="32"/>
          <w:szCs w:val="28"/>
          <w:lang w:val="zh-CN" w:eastAsia="zh-CN" w:bidi="ar-SA"/>
        </w:rPr>
        <w:t>构建未成年人保护体系</w:t>
      </w:r>
      <w:bookmarkEnd w:id="27"/>
      <w:bookmarkEnd w:id="28"/>
      <w:bookmarkEnd w:id="29"/>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30" w:name="_Toc73982170"/>
      <w:bookmarkStart w:id="31" w:name="_Toc74144942"/>
      <w:bookmarkStart w:id="32" w:name="_Toc28309"/>
      <w:r>
        <w:rPr>
          <w:rFonts w:hint="eastAsia" w:eastAsia="楷体" w:asciiTheme="majorHAnsi" w:hAnsiTheme="majorHAnsi" w:cstheme="majorBidi"/>
          <w:bCs/>
          <w:kern w:val="2"/>
          <w:sz w:val="32"/>
          <w:szCs w:val="32"/>
          <w:lang w:val="en-US" w:eastAsia="zh-CN" w:bidi="ar-SA"/>
        </w:rPr>
        <w:t>（一）建立未成年人保护体系</w:t>
      </w:r>
      <w:bookmarkEnd w:id="30"/>
      <w:bookmarkEnd w:id="31"/>
      <w:bookmarkEnd w:id="32"/>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32"/>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建立健全未成年人保护机构。</w:t>
      </w:r>
      <w:r>
        <w:rPr>
          <w:rFonts w:hint="eastAsia" w:ascii="仿宋" w:hAnsi="仿宋" w:eastAsia="仿宋" w:cs="仿宋"/>
          <w:kern w:val="2"/>
          <w:sz w:val="32"/>
          <w:szCs w:val="32"/>
          <w:lang w:val="en-US" w:bidi="ar-SA"/>
        </w:rPr>
        <w:t>推进未成年人救助保护机构全面转型升级，镇街设立未成年人保护工作站或指定专门人员，村（居）委会全部设立专</w:t>
      </w:r>
      <w:r>
        <w:rPr>
          <w:rFonts w:hint="eastAsia" w:ascii="仿宋" w:hAnsi="仿宋" w:eastAsia="仿宋" w:cs="仿宋"/>
          <w:kern w:val="2"/>
          <w:sz w:val="32"/>
          <w:szCs w:val="32"/>
          <w:lang w:val="en-US" w:eastAsia="zh-CN" w:bidi="ar-SA"/>
        </w:rPr>
        <w:t>兼职</w:t>
      </w:r>
      <w:r>
        <w:rPr>
          <w:rFonts w:hint="eastAsia" w:ascii="仿宋" w:hAnsi="仿宋" w:eastAsia="仿宋" w:cs="仿宋"/>
          <w:kern w:val="2"/>
          <w:sz w:val="32"/>
          <w:szCs w:val="32"/>
          <w:lang w:val="en-US" w:bidi="ar-SA"/>
        </w:rPr>
        <w:t>人办理未成年人相关事务，构建未成年人保护网络。</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32"/>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构建未成年人保护工作体系。</w:t>
      </w:r>
      <w:r>
        <w:rPr>
          <w:rFonts w:hint="eastAsia" w:ascii="仿宋" w:hAnsi="仿宋" w:eastAsia="仿宋" w:cs="仿宋"/>
          <w:kern w:val="2"/>
          <w:sz w:val="32"/>
          <w:szCs w:val="32"/>
          <w:lang w:val="en-US" w:bidi="ar-SA"/>
        </w:rPr>
        <w:t>严格落实家庭监护职责，加强学校保护工作，加大社会保护力度，完善网络保护工作，强化政府保护职能，充实司法保护职责，健全政策制度，构建家庭保护、学校保护、社会保护、网络保护、政府保护、司法保护六位一体的未成年人保护工作体系。加强未成年人保护执法检查，推进未成年人保护监督检查规范化、常态化机制建设。</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color w:val="000000" w:themeColor="text1"/>
          <w:kern w:val="2"/>
          <w:sz w:val="32"/>
          <w:szCs w:val="32"/>
          <w:lang w:val="en-US" w:bidi="ar-SA"/>
          <w14:textFill>
            <w14:solidFill>
              <w14:schemeClr w14:val="tx1"/>
            </w14:solidFill>
          </w14:textFill>
        </w:rPr>
      </w:pPr>
      <w:r>
        <w:rPr>
          <w:rFonts w:hint="eastAsia" w:ascii="仿宋" w:hAnsi="仿宋" w:eastAsia="仿宋" w:cs="仿宋"/>
          <w:b/>
          <w:bCs/>
          <w:color w:val="000000" w:themeColor="text1"/>
          <w:kern w:val="2"/>
          <w:sz w:val="32"/>
          <w:szCs w:val="24"/>
          <w:lang w:val="en-US" w:bidi="ar-SA"/>
          <w14:textFill>
            <w14:solidFill>
              <w14:schemeClr w14:val="tx1"/>
            </w14:solidFill>
          </w14:textFill>
        </w:rPr>
        <w:t>优化未成年人保护服务体系。</w:t>
      </w:r>
      <w:r>
        <w:rPr>
          <w:rFonts w:hint="eastAsia" w:ascii="仿宋" w:hAnsi="仿宋" w:eastAsia="仿宋" w:cs="仿宋"/>
          <w:kern w:val="2"/>
          <w:sz w:val="32"/>
          <w:szCs w:val="32"/>
          <w:lang w:val="en-US" w:bidi="ar-SA"/>
        </w:rPr>
        <w:t>加强信息化平台建设，探索推进“智慧+”未成年人保护工作建设，促进各职能部门资源整合和互联互通，推动未成年人保护公共信息服务平台科学化、智慧化发展。加强信息监管，做好平</w:t>
      </w:r>
      <w:r>
        <w:rPr>
          <w:rFonts w:hint="eastAsia" w:ascii="仿宋" w:hAnsi="仿宋" w:eastAsia="仿宋" w:cs="仿宋"/>
          <w:color w:val="000000" w:themeColor="text1"/>
          <w:kern w:val="2"/>
          <w:sz w:val="32"/>
          <w:szCs w:val="32"/>
          <w:lang w:val="en-US" w:bidi="ar-SA"/>
          <w14:textFill>
            <w14:solidFill>
              <w14:schemeClr w14:val="tx1"/>
            </w14:solidFill>
          </w14:textFill>
        </w:rPr>
        <w:t>台日常更新和维护，加强未成年人隐私保护，防止数据泄露。依托“12345”政务服务便民热线，设立未成年人保护专席等方式，第一时间督办和处置侵害未成年人合法权益事件，有效回应社会关切，持续提升未成年人保护热点案件处置群众满意率。加强未成年人服务设施建设，加强未成年人救助保护机构等场所未成年人保护和未成年人服务设施设备建设。推动全社会共同参与保护工作，及时监督、举报损害未成年人权益事件。</w:t>
      </w:r>
      <w:r>
        <w:rPr>
          <w:rFonts w:hint="eastAsia" w:ascii="仿宋" w:hAnsi="仿宋" w:eastAsia="仿宋" w:cs="仿宋"/>
          <w:kern w:val="2"/>
          <w:sz w:val="32"/>
          <w:szCs w:val="32"/>
          <w:lang w:val="en-US" w:bidi="ar-SA"/>
        </w:rPr>
        <w:t>动员和引导社会各界关心关注和积极参与未成年人保护工作</w:t>
      </w:r>
      <w:r>
        <w:rPr>
          <w:rFonts w:hint="eastAsia" w:ascii="仿宋" w:hAnsi="仿宋" w:eastAsia="仿宋" w:cs="仿宋"/>
          <w:color w:val="333333"/>
          <w:kern w:val="2"/>
          <w:sz w:val="32"/>
          <w:szCs w:val="24"/>
          <w:shd w:val="clear" w:color="auto" w:fill="FFFFFF"/>
          <w:lang w:val="en-US" w:bidi="ar-SA"/>
        </w:rPr>
        <w:t>。</w:t>
      </w:r>
      <w:r>
        <w:rPr>
          <w:rFonts w:hint="eastAsia" w:ascii="仿宋" w:hAnsi="仿宋" w:eastAsia="仿宋" w:cs="仿宋"/>
          <w:color w:val="000000" w:themeColor="text1"/>
          <w:kern w:val="2"/>
          <w:sz w:val="32"/>
          <w:szCs w:val="32"/>
          <w:lang w:val="en-US" w:bidi="ar-SA"/>
          <w14:textFill>
            <w14:solidFill>
              <w14:schemeClr w14:val="tx1"/>
            </w14:solidFill>
          </w14:textFill>
        </w:rPr>
        <w:t>借助社会工作专业服务机构、慈善组织、志愿服务组织、社会工作者等社会力量在专业培训、专业服务等方面的资源优势，优化未成年人保护服务供给，协助解决未成年人生活、学习、健康成长过程中遇到的困难和问题，促进未成年人健康茁壮成长。</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33" w:name="_Toc74144943"/>
      <w:bookmarkStart w:id="34" w:name="_Toc73982171"/>
      <w:bookmarkStart w:id="35" w:name="_Toc13142"/>
      <w:r>
        <w:rPr>
          <w:rFonts w:hint="eastAsia" w:eastAsia="楷体" w:asciiTheme="majorHAnsi" w:hAnsiTheme="majorHAnsi" w:cstheme="majorBidi"/>
          <w:bCs/>
          <w:kern w:val="2"/>
          <w:sz w:val="32"/>
          <w:szCs w:val="32"/>
          <w:lang w:val="en-US" w:eastAsia="zh-CN" w:bidi="ar-SA"/>
        </w:rPr>
        <w:t>（二）加强未成年人监护能力建设</w:t>
      </w:r>
      <w:bookmarkEnd w:id="33"/>
      <w:bookmarkEnd w:id="34"/>
      <w:bookmarkEnd w:id="35"/>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32"/>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强化家庭监护主体责任。</w:t>
      </w:r>
      <w:r>
        <w:rPr>
          <w:rFonts w:hint="eastAsia" w:ascii="仿宋" w:hAnsi="仿宋" w:eastAsia="仿宋" w:cs="仿宋"/>
          <w:color w:val="000000"/>
          <w:kern w:val="2"/>
          <w:sz w:val="32"/>
          <w:szCs w:val="32"/>
          <w:lang w:val="en-US" w:bidi="ar-SA"/>
        </w:rPr>
        <w:t>落实“家庭监护为主体、社会监护为补充、国家监护为兜底”的监护制度，形成家庭、社会、政府“三位一体”的未成年人保护合力。持续</w:t>
      </w:r>
      <w:r>
        <w:rPr>
          <w:rFonts w:hint="eastAsia" w:ascii="仿宋" w:hAnsi="仿宋" w:eastAsia="仿宋" w:cs="仿宋"/>
          <w:kern w:val="2"/>
          <w:sz w:val="32"/>
          <w:szCs w:val="32"/>
          <w:lang w:val="en-US" w:bidi="ar-SA"/>
        </w:rPr>
        <w:t>强化家庭主体责任，加强家庭教育指导、监督、帮扶，构</w:t>
      </w:r>
      <w:r>
        <w:rPr>
          <w:rFonts w:hint="eastAsia" w:ascii="仿宋" w:hAnsi="仿宋" w:eastAsia="仿宋" w:cs="仿宋"/>
          <w:color w:val="000000" w:themeColor="text1"/>
          <w:kern w:val="2"/>
          <w:sz w:val="32"/>
          <w:szCs w:val="32"/>
          <w:lang w:val="en-US" w:bidi="ar-SA"/>
          <w14:textFill>
            <w14:solidFill>
              <w14:schemeClr w14:val="tx1"/>
            </w14:solidFill>
          </w14:textFill>
        </w:rPr>
        <w:t>建家庭教育指导服务体系，加强社区家长学校、家庭教育指导服务站点建设，为未成年人监护人提供公益性家庭教育指导服务，提升家庭监护能力。</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推进家庭监护监督工作。</w:t>
      </w:r>
      <w:r>
        <w:rPr>
          <w:rFonts w:hint="eastAsia" w:ascii="仿宋" w:hAnsi="仿宋" w:eastAsia="仿宋" w:cs="仿宋"/>
          <w:kern w:val="2"/>
          <w:sz w:val="32"/>
          <w:szCs w:val="32"/>
          <w:lang w:val="en-US" w:bidi="ar-SA"/>
        </w:rPr>
        <w:t>支持村（居）委员会、学校、幼儿园、密切接触未成年人的相关组织对未成年人父母或其他监护人履行监护情况开展监督，发现未成年人的父母或其他监护人拒绝或者怠于履行监护职责时，督促指导履行监护职责。建立健全监护评估机制，加强危机干预和家庭监护能力评估体系建设，开展农村留守未成年人和困境未成年人监护评估、家庭走访工作。</w:t>
      </w:r>
      <w:r>
        <w:rPr>
          <w:rFonts w:hint="eastAsia" w:ascii="仿宋" w:hAnsi="仿宋" w:eastAsia="仿宋" w:cs="仿宋"/>
          <w:color w:val="000000"/>
          <w:kern w:val="2"/>
          <w:sz w:val="32"/>
          <w:szCs w:val="32"/>
          <w:lang w:val="en-US" w:bidi="ar-SA"/>
        </w:rPr>
        <w:t>指导村（居）委会等组织及时报告和协助处置监护人侵害未成年人合法权益事件。探索建立对弃养或失信父母及其他监护人实施联合惩戒的政策措施，会同相关部门加大对不依法履行监护权的未成年人父母及其他监护人处置力度。</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强化国家兜底监护职责落实。</w:t>
      </w:r>
      <w:r>
        <w:rPr>
          <w:rFonts w:hint="eastAsia" w:ascii="仿宋" w:hAnsi="仿宋" w:eastAsia="仿宋" w:cs="仿宋"/>
          <w:kern w:val="2"/>
          <w:sz w:val="32"/>
          <w:szCs w:val="32"/>
          <w:lang w:val="en-US" w:bidi="ar-SA"/>
        </w:rPr>
        <w:t>加强国家兜底监护体制机制建设，进一步完善长期监护和临时监护措施，明确长期监护、临时监护情形，细化监护方式。健全因疫情等突发事件影响造成监护缺失未成年人救助保护制度。加强未成年人救助保护机构建设，强化监护能力，提升监护水平。注重未成年人权益风险防控排查，加大风险监测预防力度，依托未成年人救助保护机构搭建民政和相关部门联动响应的一体化平台，建立“发现报告、应急处置、评估帮扶、监护干预”未成年人保护联动响应机制。</w:t>
      </w:r>
    </w:p>
    <w:p>
      <w:pPr>
        <w:pageBreakBefore w:val="0"/>
        <w:widowControl/>
        <w:kinsoku/>
        <w:wordWrap/>
        <w:overflowPunct/>
        <w:topLinePunct w:val="0"/>
        <w:autoSpaceDE/>
        <w:autoSpaceDN/>
        <w:bidi w:val="0"/>
        <w:snapToGrid/>
        <w:spacing w:before="0" w:after="0" w:line="240" w:lineRule="auto"/>
        <w:ind w:left="0" w:right="0" w:firstLine="640" w:firstLineChars="200"/>
        <w:jc w:val="center"/>
        <w:rPr>
          <w:rFonts w:ascii="方正楷体_GBK" w:hAnsi="仿宋" w:eastAsia="方正楷体_GBK" w:cs="宋体-简"/>
          <w:bCs/>
          <w:color w:val="000000"/>
          <w:kern w:val="0"/>
          <w:sz w:val="24"/>
          <w:szCs w:val="32"/>
          <w:lang w:val="en-US" w:bidi="ar"/>
        </w:rPr>
      </w:pPr>
      <w:bookmarkStart w:id="36" w:name="_Hlk68186811"/>
      <w:r>
        <w:rPr>
          <w:rFonts w:hint="eastAsia" w:ascii="仿宋" w:hAnsi="仿宋" w:eastAsia="仿宋" w:cs="仿宋"/>
          <w:bCs/>
          <w:color w:val="000000"/>
          <w:kern w:val="0"/>
          <w:sz w:val="32"/>
          <w:szCs w:val="32"/>
          <w:lang w:val="en-US" w:bidi="ar"/>
        </w:rPr>
        <w:t>专栏3 未成年人保护工程</w:t>
      </w:r>
    </w:p>
    <w:tbl>
      <w:tblPr>
        <w:tblStyle w:val="4"/>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color w:val="000000"/>
                <w:kern w:val="2"/>
                <w:sz w:val="28"/>
                <w:szCs w:val="28"/>
                <w:lang w:val="en-US" w:bidi="ar-SA"/>
              </w:rPr>
            </w:pPr>
            <w:r>
              <w:rPr>
                <w:rFonts w:hint="eastAsia" w:ascii="仿宋" w:hAnsi="仿宋" w:eastAsia="仿宋" w:cs="仿宋"/>
                <w:b/>
                <w:bCs/>
                <w:color w:val="000000"/>
                <w:kern w:val="2"/>
                <w:sz w:val="28"/>
                <w:szCs w:val="28"/>
                <w:lang w:val="en-US" w:bidi="ar-SA"/>
              </w:rPr>
              <w:t>1.未成年人保护协调机制工程：</w:t>
            </w:r>
            <w:r>
              <w:rPr>
                <w:rFonts w:hint="eastAsia" w:ascii="仿宋" w:hAnsi="仿宋" w:eastAsia="仿宋" w:cs="仿宋"/>
                <w:color w:val="000000"/>
                <w:kern w:val="2"/>
                <w:sz w:val="28"/>
                <w:szCs w:val="28"/>
                <w:lang w:val="en-US" w:bidi="ar-SA"/>
              </w:rPr>
              <w:t>到2025年底，基本形成党委领导、政府主导、民政部门牵头、部门协同、社会参与的未成年人保护工作格局。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color w:val="000000"/>
                <w:kern w:val="2"/>
                <w:sz w:val="28"/>
                <w:szCs w:val="28"/>
                <w:lang w:val="en-US" w:bidi="ar-SA"/>
              </w:rPr>
            </w:pPr>
            <w:r>
              <w:rPr>
                <w:rFonts w:hint="eastAsia" w:ascii="仿宋" w:hAnsi="仿宋" w:eastAsia="仿宋" w:cs="仿宋"/>
                <w:b/>
                <w:bCs/>
                <w:color w:val="000000"/>
                <w:kern w:val="2"/>
                <w:sz w:val="28"/>
                <w:szCs w:val="28"/>
                <w:lang w:val="en-US" w:bidi="ar-SA"/>
              </w:rPr>
              <w:t>2.未成年人保护机构建设工程：</w:t>
            </w:r>
            <w:r>
              <w:rPr>
                <w:rFonts w:hint="eastAsia" w:ascii="仿宋" w:hAnsi="仿宋" w:eastAsia="仿宋" w:cs="仿宋"/>
                <w:color w:val="000000"/>
                <w:kern w:val="2"/>
                <w:sz w:val="28"/>
                <w:szCs w:val="28"/>
                <w:lang w:val="en-US" w:bidi="ar-SA"/>
              </w:rPr>
              <w:t>设立未成年人保护中心、未成年人保护工作站，推进未成年人保护机构全面转型升级。到2025年底，建成1个区级未成年人保护机构，镇街未成年人保护工作站覆盖率达到50%以上。</w:t>
            </w:r>
          </w:p>
        </w:tc>
      </w:tr>
      <w:bookmarkEnd w:id="36"/>
    </w:tbl>
    <w:p>
      <w:pPr>
        <w:keepNext/>
        <w:keepLines/>
        <w:pageBreakBefore w:val="0"/>
        <w:widowControl w:val="0"/>
        <w:kinsoku/>
        <w:wordWrap/>
        <w:overflowPunct/>
        <w:topLinePunct w:val="0"/>
        <w:bidi w:val="0"/>
        <w:snapToGrid/>
        <w:spacing w:before="0" w:beforeLines="0" w:after="0" w:afterLines="0" w:line="240" w:lineRule="auto"/>
        <w:ind w:firstLine="643" w:firstLineChars="200"/>
        <w:jc w:val="left"/>
        <w:outlineLvl w:val="0"/>
        <w:rPr>
          <w:rFonts w:ascii="方正小标宋_GBK" w:hAnsi="方正小标宋_GBK" w:eastAsia="黑体" w:cs="Times New Roman"/>
          <w:b/>
          <w:color w:val="000000"/>
          <w:kern w:val="0"/>
          <w:sz w:val="32"/>
          <w:szCs w:val="28"/>
          <w:lang w:val="zh-CN" w:eastAsia="zh-CN" w:bidi="ar-SA"/>
        </w:rPr>
      </w:pPr>
      <w:bookmarkStart w:id="37" w:name="_Toc2340"/>
      <w:bookmarkStart w:id="38" w:name="_Toc73982172"/>
      <w:bookmarkStart w:id="39" w:name="_Toc74144944"/>
      <w:r>
        <w:rPr>
          <w:rFonts w:hint="eastAsia" w:ascii="方正小标宋_GBK" w:hAnsi="方正小标宋_GBK" w:eastAsia="黑体" w:cs="Times New Roman"/>
          <w:b/>
          <w:color w:val="000000"/>
          <w:kern w:val="0"/>
          <w:sz w:val="32"/>
          <w:szCs w:val="28"/>
          <w:lang w:val="zh-CN" w:eastAsia="zh-CN" w:bidi="ar-SA"/>
        </w:rPr>
        <w:t>四、强化农村留守儿童关爱保护和困境儿童保障</w:t>
      </w:r>
      <w:bookmarkEnd w:id="37"/>
      <w:bookmarkEnd w:id="38"/>
      <w:bookmarkEnd w:id="39"/>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40" w:name="_Toc54"/>
      <w:bookmarkStart w:id="41" w:name="_Toc74144945"/>
      <w:bookmarkStart w:id="42" w:name="_Toc73982173"/>
      <w:r>
        <w:rPr>
          <w:rFonts w:hint="eastAsia" w:eastAsia="楷体" w:asciiTheme="majorHAnsi" w:hAnsiTheme="majorHAnsi" w:cstheme="majorBidi"/>
          <w:bCs/>
          <w:kern w:val="2"/>
          <w:sz w:val="32"/>
          <w:szCs w:val="32"/>
          <w:lang w:val="en-US" w:eastAsia="zh-CN" w:bidi="ar-SA"/>
        </w:rPr>
        <w:t>（一）加强困境儿童分类保障</w:t>
      </w:r>
      <w:bookmarkEnd w:id="40"/>
      <w:bookmarkEnd w:id="41"/>
      <w:bookmarkEnd w:id="42"/>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健全困境儿童分类保障制度。</w:t>
      </w:r>
      <w:r>
        <w:rPr>
          <w:rFonts w:hint="eastAsia" w:ascii="仿宋" w:hAnsi="仿宋" w:eastAsia="仿宋" w:cs="仿宋"/>
          <w:kern w:val="2"/>
          <w:sz w:val="32"/>
          <w:szCs w:val="32"/>
          <w:lang w:val="en-US" w:bidi="ar-SA"/>
        </w:rPr>
        <w:t>细化困境儿童类型，精准确定困境儿童种类、保障标准，针对困境儿童监护、生活、教育、医疗、康复、服务和安全保护等方面的突出问题，根据困境儿童自身、家庭情况分类实施困境儿童保障政策，促进困境儿童健康成长。完善因突发事件影响造成监护缺失困境儿童救助保护机制，强化救助帮扶工作，及时落实临时救助、最低生活保障等社会救助政策，确保因突发事件影响造成监护缺失困境儿童基本生活得到有效保障。</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32"/>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加强困境儿童保障工作。</w:t>
      </w:r>
      <w:r>
        <w:rPr>
          <w:rFonts w:hint="eastAsia" w:ascii="仿宋" w:hAnsi="仿宋" w:eastAsia="仿宋" w:cs="仿宋"/>
          <w:color w:val="000000"/>
          <w:kern w:val="2"/>
          <w:sz w:val="32"/>
          <w:szCs w:val="32"/>
          <w:lang w:val="en-US" w:bidi="ar-SA"/>
        </w:rPr>
        <w:t>将符合条件的儿童纳入最低生活保障、特困人员供养等社会救助范围。落实困境儿童基本医疗保障政策，加强各类医疗保障互补联动，加大生活困难家庭重病、重残儿童等困境儿童救助力度。建立健全残疾儿童筛查、诊断、治疗、康复综合服务工作机制。提高残疾儿童康复服务标准化水平，儿童福利机构内康复服务向社会残疾儿童家庭延伸。落实困境儿童教育资助政策和义务教育阶段“两免一补”政策，完善义务教育控辍保学工作机制，确保困境儿童入学和不失学。重视困境儿童心理健康教育，提供专业心理咨询服务，促进儿童心理、人格积极健康发展。加强安全保障，妥善安置困境儿童。支持社会力量深入城乡社区、学校和家庭，</w:t>
      </w:r>
      <w:r>
        <w:rPr>
          <w:rFonts w:hint="eastAsia" w:ascii="仿宋" w:hAnsi="仿宋" w:eastAsia="仿宋" w:cs="仿宋"/>
          <w:kern w:val="2"/>
          <w:sz w:val="32"/>
          <w:szCs w:val="32"/>
          <w:lang w:val="en-US" w:bidi="ar-SA"/>
        </w:rPr>
        <w:t>参与困境儿童保障工作，营造全社会关心关爱困境儿童的良好氛围。</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加强困境儿童档案信息建设。</w:t>
      </w:r>
      <w:r>
        <w:rPr>
          <w:rFonts w:hint="eastAsia" w:ascii="仿宋" w:hAnsi="仿宋" w:eastAsia="仿宋" w:cs="仿宋"/>
          <w:kern w:val="2"/>
          <w:sz w:val="32"/>
          <w:szCs w:val="32"/>
          <w:lang w:val="en-US" w:bidi="ar-SA"/>
        </w:rPr>
        <w:t>建立翔实完备的困境儿童信息台账，实现一人一档案，实行动态管理，为困境儿童保障工作提供信息支持。</w:t>
      </w:r>
      <w:r>
        <w:rPr>
          <w:rFonts w:hint="eastAsia" w:ascii="仿宋" w:hAnsi="仿宋" w:eastAsia="仿宋" w:cs="仿宋"/>
          <w:kern w:val="2"/>
          <w:sz w:val="32"/>
          <w:szCs w:val="24"/>
          <w:lang w:val="en-US" w:bidi="ar-SA"/>
        </w:rPr>
        <w:t>推动困境儿童档案管理精细化，实现困境儿童权益保障、服务供给精准化。到2025年底，确保困境儿童档案真实、完整、安全、有效。</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43" w:name="_Toc73982174"/>
      <w:bookmarkStart w:id="44" w:name="_Toc74144946"/>
      <w:bookmarkStart w:id="45" w:name="_Toc17278"/>
      <w:r>
        <w:rPr>
          <w:rFonts w:hint="eastAsia" w:eastAsia="楷体" w:asciiTheme="majorHAnsi" w:hAnsiTheme="majorHAnsi" w:cstheme="majorBidi"/>
          <w:bCs/>
          <w:kern w:val="2"/>
          <w:sz w:val="32"/>
          <w:szCs w:val="32"/>
          <w:lang w:val="en-US" w:eastAsia="zh-CN" w:bidi="ar-SA"/>
        </w:rPr>
        <w:t>（二）强化农村留守儿童关爱保护工作</w:t>
      </w:r>
      <w:bookmarkEnd w:id="43"/>
      <w:bookmarkEnd w:id="44"/>
      <w:bookmarkEnd w:id="45"/>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完善农村留守儿童关爱保护体系。</w:t>
      </w:r>
      <w:r>
        <w:rPr>
          <w:rFonts w:hint="eastAsia" w:ascii="仿宋" w:hAnsi="仿宋" w:eastAsia="仿宋" w:cs="仿宋"/>
          <w:kern w:val="2"/>
          <w:sz w:val="32"/>
          <w:szCs w:val="24"/>
          <w:lang w:val="en-US" w:bidi="ar-SA"/>
        </w:rPr>
        <w:t>结合实施乡村振兴战略，充分利用党建资源与力量，探索建立“党建+阵地+机制+服务”四位一体儿童关爱服务体系，强化农村留守儿童关爱保护工作。实施“</w:t>
      </w:r>
      <w:r>
        <w:rPr>
          <w:rFonts w:hint="eastAsia" w:ascii="仿宋" w:hAnsi="仿宋" w:eastAsia="仿宋" w:cs="仿宋"/>
          <w:kern w:val="2"/>
          <w:sz w:val="32"/>
          <w:szCs w:val="24"/>
          <w:lang w:val="en-US" w:eastAsia="zh-CN" w:bidi="ar-SA"/>
        </w:rPr>
        <w:t>足</w:t>
      </w:r>
      <w:r>
        <w:rPr>
          <w:rFonts w:hint="eastAsia" w:ascii="仿宋" w:hAnsi="仿宋" w:eastAsia="仿宋" w:cs="仿宋"/>
          <w:kern w:val="2"/>
          <w:sz w:val="32"/>
          <w:szCs w:val="24"/>
          <w:lang w:val="en-US" w:bidi="ar-SA"/>
        </w:rPr>
        <w:t>童成长”关爱服务项目，</w:t>
      </w:r>
      <w:r>
        <w:rPr>
          <w:rFonts w:hint="eastAsia" w:ascii="仿宋" w:hAnsi="仿宋" w:eastAsia="仿宋" w:cs="仿宋"/>
          <w:kern w:val="2"/>
          <w:sz w:val="32"/>
          <w:szCs w:val="32"/>
          <w:lang w:val="en-US" w:bidi="ar-SA"/>
        </w:rPr>
        <w:t>通过政府购买服务，组织搭建服务平台，开展业务能力培训、团队辅导活动、一对一个案辅导等，提供心理疏导、精准救助、关爱走访等服务，提升村（居）儿童主任服务能力，</w:t>
      </w:r>
      <w:r>
        <w:rPr>
          <w:rFonts w:hint="eastAsia" w:ascii="仿宋" w:hAnsi="仿宋" w:eastAsia="仿宋" w:cs="仿宋"/>
          <w:kern w:val="2"/>
          <w:sz w:val="32"/>
          <w:szCs w:val="24"/>
          <w:lang w:val="en-US" w:bidi="ar-SA"/>
        </w:rPr>
        <w:t>强化农村留守儿童监护、教育、医疗、心理健康等权益保障。</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加强农村留守儿童档案信息化建设。</w:t>
      </w:r>
      <w:r>
        <w:rPr>
          <w:rFonts w:hint="eastAsia" w:ascii="仿宋" w:hAnsi="仿宋" w:eastAsia="仿宋" w:cs="仿宋"/>
          <w:kern w:val="2"/>
          <w:sz w:val="32"/>
          <w:szCs w:val="24"/>
          <w:lang w:val="en-US" w:bidi="ar-SA"/>
        </w:rPr>
        <w:t>建立农村留守儿童信息台账和信息动态更新机制，持续开展“儿童福利信息动态管理精准化提升年”专项行动。对接教育部门，建立学校(幼儿园)农村留守儿童普查登记制度，准确标识学籍，</w:t>
      </w:r>
      <w:r>
        <w:rPr>
          <w:rFonts w:hint="eastAsia" w:ascii="仿宋" w:hAnsi="仿宋" w:eastAsia="仿宋" w:cs="仿宋"/>
          <w:kern w:val="2"/>
          <w:sz w:val="32"/>
          <w:szCs w:val="32"/>
          <w:lang w:val="en-US" w:bidi="ar-SA"/>
        </w:rPr>
        <w:t>为农村留守儿童精准化管理、个性化服务提供数据支持</w:t>
      </w:r>
      <w:r>
        <w:rPr>
          <w:rFonts w:hint="eastAsia" w:ascii="仿宋" w:hAnsi="仿宋" w:eastAsia="仿宋" w:cs="仿宋"/>
          <w:kern w:val="2"/>
          <w:sz w:val="32"/>
          <w:szCs w:val="24"/>
          <w:lang w:val="en-US" w:bidi="ar-SA"/>
        </w:rPr>
        <w:t>。</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健全农村留守儿童监护指导制度。</w:t>
      </w:r>
      <w:r>
        <w:rPr>
          <w:rFonts w:hint="eastAsia" w:ascii="仿宋" w:hAnsi="仿宋" w:eastAsia="仿宋" w:cs="仿宋"/>
          <w:kern w:val="2"/>
          <w:sz w:val="32"/>
          <w:szCs w:val="24"/>
          <w:lang w:val="en-US" w:bidi="ar-SA"/>
        </w:rPr>
        <w:t>加强农村留守儿童监护指导工作，指导村（居）委会监督、评估监护人依法履责情况。加强农村留守儿童亲情关爱指导工作，</w:t>
      </w:r>
      <w:r>
        <w:rPr>
          <w:rFonts w:hint="eastAsia" w:ascii="仿宋" w:hAnsi="仿宋" w:eastAsia="仿宋" w:cs="仿宋"/>
          <w:kern w:val="2"/>
          <w:sz w:val="32"/>
          <w:szCs w:val="32"/>
          <w:lang w:val="en-US" w:bidi="ar-SA"/>
        </w:rPr>
        <w:t>推动因外出务工等原因在一定期限内不能完全履行监护职责的父母或其他监护人依法确定被委托照护人，指导其签订“两单两书”。指导外出务工父母或其他监护人加强与留守子女亲情关爱和日常联络沟通。指导村（居）委会有效履行强制报告、预防干预等职责。</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引导社会力量参与。</w:t>
      </w:r>
      <w:r>
        <w:rPr>
          <w:rFonts w:hint="eastAsia" w:ascii="仿宋" w:hAnsi="仿宋" w:eastAsia="仿宋" w:cs="仿宋"/>
          <w:kern w:val="2"/>
          <w:sz w:val="32"/>
          <w:szCs w:val="32"/>
          <w:lang w:val="en-US" w:bidi="ar-SA"/>
        </w:rPr>
        <w:t>发挥群团组织作用，依托乡镇、村（居）委员会儿童之家等活动场地平台，</w:t>
      </w:r>
      <w:r>
        <w:rPr>
          <w:rFonts w:hint="eastAsia" w:ascii="仿宋" w:hAnsi="仿宋" w:eastAsia="仿宋" w:cs="仿宋"/>
          <w:kern w:val="2"/>
          <w:sz w:val="32"/>
          <w:szCs w:val="24"/>
          <w:lang w:val="en-US" w:bidi="ar-SA"/>
        </w:rPr>
        <w:t>在课后、周末、节假日、寒暑假等重点时段，为农村留守儿童提供课后辅导、自护教育、心理疏导等关爱服务。动员引导社会力量深入贫困地区，为农村留守儿童提供关爱服务。</w:t>
      </w:r>
      <w:r>
        <w:rPr>
          <w:rFonts w:hint="eastAsia" w:ascii="仿宋" w:hAnsi="仿宋" w:eastAsia="仿宋" w:cs="仿宋"/>
          <w:color w:val="000000"/>
          <w:kern w:val="2"/>
          <w:sz w:val="32"/>
          <w:szCs w:val="32"/>
          <w:lang w:val="en-US" w:bidi="ar-SA"/>
        </w:rPr>
        <w:t>实施“</w:t>
      </w:r>
      <w:r>
        <w:rPr>
          <w:rFonts w:hint="eastAsia" w:ascii="仿宋" w:hAnsi="仿宋" w:eastAsia="仿宋" w:cs="仿宋"/>
          <w:color w:val="000000"/>
          <w:kern w:val="2"/>
          <w:sz w:val="32"/>
          <w:szCs w:val="32"/>
          <w:lang w:val="en-US" w:eastAsia="zh-CN" w:bidi="ar-SA"/>
        </w:rPr>
        <w:t>足</w:t>
      </w:r>
      <w:r>
        <w:rPr>
          <w:rFonts w:hint="eastAsia" w:ascii="仿宋" w:hAnsi="仿宋" w:eastAsia="仿宋" w:cs="仿宋"/>
          <w:color w:val="000000"/>
          <w:kern w:val="2"/>
          <w:sz w:val="32"/>
          <w:szCs w:val="32"/>
          <w:lang w:val="en-US" w:bidi="ar-SA"/>
        </w:rPr>
        <w:t>童成长”关爱服务项目，形成具有影响力的农村留守儿童关爱服务项目。引导和支持社会工作者、法律工作者、心理咨询工作者等专业人员深入学校和家庭，开展监护指导、社会融入、权益维护、心理疏导等专业服务。</w:t>
      </w:r>
      <w:r>
        <w:rPr>
          <w:rFonts w:hint="eastAsia" w:ascii="仿宋" w:hAnsi="仿宋" w:eastAsia="仿宋" w:cs="仿宋"/>
          <w:kern w:val="2"/>
          <w:sz w:val="32"/>
          <w:szCs w:val="24"/>
          <w:lang w:val="en-US" w:bidi="ar-SA"/>
        </w:rPr>
        <w:t>鼓励企业等社会力量以慈善捐款、帮扶或公益项目等形式参与农村留守儿童关爱工作。</w:t>
      </w:r>
      <w:r>
        <w:rPr>
          <w:rFonts w:hint="eastAsia" w:ascii="仿宋" w:hAnsi="仿宋" w:eastAsia="仿宋" w:cs="仿宋"/>
          <w:color w:val="000000" w:themeColor="text1"/>
          <w:kern w:val="2"/>
          <w:sz w:val="32"/>
          <w:szCs w:val="24"/>
          <w:lang w:val="en-US" w:bidi="ar"/>
          <w14:textFill>
            <w14:solidFill>
              <w14:schemeClr w14:val="tx1"/>
            </w14:solidFill>
          </w14:textFill>
        </w:rPr>
        <w:t>到2025年底</w:t>
      </w:r>
      <w:r>
        <w:rPr>
          <w:rFonts w:hint="eastAsia" w:ascii="仿宋" w:hAnsi="仿宋" w:eastAsia="仿宋" w:cs="仿宋"/>
          <w:kern w:val="2"/>
          <w:sz w:val="32"/>
          <w:szCs w:val="24"/>
          <w:lang w:val="en-US" w:bidi="ar-SA"/>
        </w:rPr>
        <w:t>，全社会广泛关注、积极参与的农村留守儿童关爱服务氛围明显形成。</w:t>
      </w:r>
    </w:p>
    <w:p>
      <w:pPr>
        <w:pageBreakBefore w:val="0"/>
        <w:widowControl/>
        <w:kinsoku/>
        <w:wordWrap/>
        <w:overflowPunct/>
        <w:topLinePunct w:val="0"/>
        <w:autoSpaceDE/>
        <w:autoSpaceDN/>
        <w:bidi w:val="0"/>
        <w:snapToGrid/>
        <w:spacing w:before="0" w:after="0" w:line="240" w:lineRule="auto"/>
        <w:ind w:left="0" w:right="0" w:firstLine="640" w:firstLineChars="200"/>
        <w:jc w:val="center"/>
        <w:rPr>
          <w:rFonts w:ascii="仿宋" w:hAnsi="仿宋" w:eastAsia="仿宋" w:cs="仿宋"/>
          <w:bCs/>
          <w:color w:val="000000"/>
          <w:kern w:val="0"/>
          <w:sz w:val="32"/>
          <w:szCs w:val="32"/>
          <w:lang w:val="en-US" w:bidi="ar"/>
        </w:rPr>
      </w:pPr>
      <w:r>
        <w:rPr>
          <w:rFonts w:hint="eastAsia" w:ascii="仿宋" w:hAnsi="仿宋" w:eastAsia="仿宋" w:cs="仿宋"/>
          <w:bCs/>
          <w:color w:val="000000"/>
          <w:kern w:val="0"/>
          <w:sz w:val="32"/>
          <w:szCs w:val="32"/>
          <w:lang w:val="en-US" w:bidi="ar"/>
        </w:rPr>
        <w:t>专栏4 农村留守儿童关爱保护和困境儿童保障提升工程</w:t>
      </w:r>
    </w:p>
    <w:tbl>
      <w:tblPr>
        <w:tblStyle w:val="4"/>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snapToGrid/>
              <w:spacing w:before="0" w:after="0" w:line="240" w:lineRule="auto"/>
              <w:ind w:left="0" w:right="0" w:firstLine="562" w:firstLineChars="200"/>
              <w:jc w:val="both"/>
              <w:textAlignment w:val="baseline"/>
              <w:rPr>
                <w:rFonts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bidi="ar-SA"/>
              </w:rPr>
              <w:t>1.“</w:t>
            </w:r>
            <w:r>
              <w:rPr>
                <w:rFonts w:hint="eastAsia" w:ascii="仿宋" w:hAnsi="仿宋" w:eastAsia="仿宋" w:cs="仿宋"/>
                <w:b/>
                <w:color w:val="000000"/>
                <w:kern w:val="2"/>
                <w:sz w:val="28"/>
                <w:szCs w:val="28"/>
                <w:lang w:val="en-US" w:eastAsia="zh-CN" w:bidi="ar-SA"/>
              </w:rPr>
              <w:t>足</w:t>
            </w:r>
            <w:r>
              <w:rPr>
                <w:rFonts w:hint="eastAsia" w:ascii="仿宋" w:hAnsi="仿宋" w:eastAsia="仿宋" w:cs="仿宋"/>
                <w:b/>
                <w:color w:val="000000"/>
                <w:kern w:val="2"/>
                <w:sz w:val="28"/>
                <w:szCs w:val="28"/>
                <w:lang w:val="en-US" w:bidi="ar-SA"/>
              </w:rPr>
              <w:t>童成长”关爱服务工程：</w:t>
            </w:r>
            <w:r>
              <w:rPr>
                <w:rFonts w:hint="eastAsia" w:ascii="仿宋" w:hAnsi="仿宋" w:eastAsia="仿宋" w:cs="仿宋"/>
                <w:color w:val="000000"/>
                <w:kern w:val="0"/>
                <w:sz w:val="28"/>
                <w:szCs w:val="28"/>
                <w:lang w:val="en-US" w:bidi="ar-SA"/>
              </w:rPr>
              <w:t>以最有利于未成年人平等发展、儿童参与、愉快成长为原则，以社会工作的专业方法，通过政府购买服务，组织搭建服务平台，开展业务能力培训、团队辅导活动、一对一个案辅导等，提供心理疏导、精准救助、关爱走访等服务项目，提升村(居)儿童主任服务能力，增强农村留守儿童心理健康意识，引导留守儿童珍爱生命、提升抗逆力和情绪管理能力;帮助有困难者调试心理状态;探索专业帮扶力量引导下的“政府+家庭+社会”的关爱服务模式，营造儿童良好发展环境，促使儿童健康快乐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napToGrid/>
              <w:spacing w:before="0" w:after="0" w:line="240" w:lineRule="auto"/>
              <w:ind w:left="0" w:right="0" w:firstLine="562" w:firstLineChars="200"/>
              <w:jc w:val="both"/>
              <w:rPr>
                <w:rFonts w:ascii="仿宋" w:hAnsi="仿宋" w:eastAsia="仿宋" w:cs="仿宋"/>
                <w:b/>
                <w:bCs/>
                <w:color w:val="000000"/>
                <w:kern w:val="2"/>
                <w:sz w:val="28"/>
                <w:szCs w:val="28"/>
                <w:lang w:val="en-US" w:bidi="ar-SA"/>
              </w:rPr>
            </w:pPr>
            <w:r>
              <w:rPr>
                <w:rFonts w:hint="eastAsia" w:ascii="仿宋" w:hAnsi="仿宋" w:eastAsia="仿宋" w:cs="仿宋"/>
                <w:b/>
                <w:color w:val="000000"/>
                <w:kern w:val="2"/>
                <w:sz w:val="28"/>
                <w:szCs w:val="28"/>
                <w:lang w:val="en-US" w:bidi="ar-SA"/>
              </w:rPr>
              <w:t>2．</w:t>
            </w:r>
            <w:r>
              <w:rPr>
                <w:rFonts w:hint="eastAsia" w:ascii="仿宋" w:hAnsi="仿宋" w:eastAsia="仿宋" w:cs="仿宋"/>
                <w:b/>
                <w:color w:val="000000"/>
                <w:kern w:val="0"/>
                <w:sz w:val="28"/>
                <w:szCs w:val="28"/>
                <w:lang w:val="en-US" w:bidi="ar-SA"/>
              </w:rPr>
              <w:t>困境儿童全方位关爱服务工程：</w:t>
            </w:r>
            <w:r>
              <w:rPr>
                <w:rFonts w:hint="eastAsia" w:ascii="仿宋" w:hAnsi="仿宋" w:eastAsia="仿宋" w:cs="仿宋"/>
                <w:color w:val="000000"/>
                <w:kern w:val="0"/>
                <w:sz w:val="28"/>
                <w:szCs w:val="28"/>
                <w:lang w:val="en-US" w:bidi="ar-SA"/>
              </w:rPr>
              <w:t>建立全方位、全类别的困境儿童生活保障、医疗康复、辅具配置和关爱服务政策，将重病重残儿童、流浪儿童、贫困儿童等各类困境儿童纳入保障。注重加强心理服务，通过购买服务等方式引入社会工作专业人才和专业康复机构，改善困境儿童生活和心理健康状况。</w:t>
            </w:r>
          </w:p>
        </w:tc>
      </w:tr>
    </w:tbl>
    <w:p>
      <w:pPr>
        <w:keepNext/>
        <w:keepLines/>
        <w:pageBreakBefore w:val="0"/>
        <w:widowControl w:val="0"/>
        <w:kinsoku/>
        <w:wordWrap/>
        <w:overflowPunct/>
        <w:topLinePunct w:val="0"/>
        <w:bidi w:val="0"/>
        <w:snapToGrid/>
        <w:spacing w:before="0" w:beforeLines="0" w:after="0" w:afterLines="0" w:line="240" w:lineRule="auto"/>
        <w:ind w:firstLine="643" w:firstLineChars="200"/>
        <w:jc w:val="left"/>
        <w:outlineLvl w:val="0"/>
        <w:rPr>
          <w:rFonts w:ascii="方正小标宋_GBK" w:hAnsi="方正小标宋_GBK" w:eastAsia="黑体" w:cs="Times New Roman"/>
          <w:b/>
          <w:color w:val="000000"/>
          <w:kern w:val="0"/>
          <w:sz w:val="32"/>
          <w:szCs w:val="28"/>
          <w:lang w:val="zh-CN" w:eastAsia="zh-CN" w:bidi="ar-SA"/>
        </w:rPr>
      </w:pPr>
      <w:bookmarkStart w:id="46" w:name="_Toc73982175"/>
      <w:bookmarkStart w:id="47" w:name="_Toc74144947"/>
      <w:bookmarkStart w:id="48" w:name="_Toc2655"/>
      <w:r>
        <w:rPr>
          <w:rFonts w:hint="eastAsia" w:ascii="方正小标宋_GBK" w:hAnsi="方正小标宋_GBK" w:eastAsia="黑体" w:cs="Times New Roman"/>
          <w:b/>
          <w:color w:val="000000"/>
          <w:kern w:val="0"/>
          <w:sz w:val="32"/>
          <w:szCs w:val="28"/>
          <w:lang w:val="zh-CN" w:eastAsia="zh-CN" w:bidi="ar-SA"/>
        </w:rPr>
        <w:t>五、提高</w:t>
      </w:r>
      <w:r>
        <w:rPr>
          <w:rFonts w:ascii="方正小标宋_GBK" w:hAnsi="方正小标宋_GBK" w:eastAsia="黑体" w:cs="Times New Roman"/>
          <w:b/>
          <w:color w:val="000000"/>
          <w:kern w:val="0"/>
          <w:sz w:val="32"/>
          <w:szCs w:val="28"/>
          <w:lang w:val="zh-CN" w:eastAsia="zh-CN" w:bidi="ar-SA"/>
        </w:rPr>
        <w:t>儿童收养工作规范化</w:t>
      </w:r>
      <w:bookmarkEnd w:id="46"/>
      <w:bookmarkEnd w:id="47"/>
      <w:r>
        <w:rPr>
          <w:rFonts w:hint="eastAsia" w:ascii="方正小标宋_GBK" w:hAnsi="方正小标宋_GBK" w:eastAsia="黑体" w:cs="Times New Roman"/>
          <w:b/>
          <w:color w:val="000000"/>
          <w:kern w:val="0"/>
          <w:sz w:val="32"/>
          <w:szCs w:val="28"/>
          <w:lang w:val="zh-CN" w:eastAsia="zh-CN" w:bidi="ar-SA"/>
        </w:rPr>
        <w:t>水平</w:t>
      </w:r>
      <w:bookmarkEnd w:id="48"/>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49" w:name="_Toc73982176"/>
      <w:bookmarkStart w:id="50" w:name="_Toc9472"/>
      <w:bookmarkStart w:id="51" w:name="_Toc74144948"/>
      <w:r>
        <w:rPr>
          <w:rFonts w:hint="eastAsia" w:eastAsia="楷体" w:asciiTheme="majorHAnsi" w:hAnsiTheme="majorHAnsi" w:cstheme="majorBidi"/>
          <w:bCs/>
          <w:kern w:val="2"/>
          <w:sz w:val="32"/>
          <w:szCs w:val="32"/>
          <w:lang w:val="en-US" w:eastAsia="zh-CN" w:bidi="ar-SA"/>
        </w:rPr>
        <w:t>（</w:t>
      </w:r>
      <w:r>
        <w:rPr>
          <w:rFonts w:eastAsia="楷体" w:asciiTheme="majorHAnsi" w:hAnsiTheme="majorHAnsi" w:cstheme="majorBidi"/>
          <w:bCs/>
          <w:kern w:val="2"/>
          <w:sz w:val="32"/>
          <w:szCs w:val="32"/>
          <w:lang w:val="en-US" w:eastAsia="zh-CN" w:bidi="ar-SA"/>
        </w:rPr>
        <w:t>一</w:t>
      </w:r>
      <w:r>
        <w:rPr>
          <w:rFonts w:hint="eastAsia" w:eastAsia="楷体" w:asciiTheme="majorHAnsi" w:hAnsiTheme="majorHAnsi" w:cstheme="majorBidi"/>
          <w:bCs/>
          <w:kern w:val="2"/>
          <w:sz w:val="32"/>
          <w:szCs w:val="32"/>
          <w:lang w:val="en-US" w:eastAsia="zh-CN" w:bidi="ar-SA"/>
        </w:rPr>
        <w:t>）</w:t>
      </w:r>
      <w:r>
        <w:rPr>
          <w:rFonts w:eastAsia="楷体" w:asciiTheme="majorHAnsi" w:hAnsiTheme="majorHAnsi" w:cstheme="majorBidi"/>
          <w:bCs/>
          <w:kern w:val="2"/>
          <w:sz w:val="32"/>
          <w:szCs w:val="32"/>
          <w:lang w:val="en-US" w:eastAsia="zh-CN" w:bidi="ar-SA"/>
        </w:rPr>
        <w:t>完善儿童收养管理制度体系</w:t>
      </w:r>
      <w:bookmarkEnd w:id="49"/>
      <w:bookmarkEnd w:id="50"/>
      <w:bookmarkEnd w:id="51"/>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bidi="ar-SA"/>
          <w14:textFill>
            <w14:solidFill>
              <w14:schemeClr w14:val="tx1"/>
            </w14:solidFill>
          </w14:textFill>
        </w:rPr>
        <w:t>健全完善儿童收养相关政策。</w:t>
      </w:r>
      <w:r>
        <w:rPr>
          <w:rFonts w:hint="eastAsia" w:ascii="仿宋" w:hAnsi="仿宋" w:eastAsia="仿宋" w:cs="仿宋"/>
          <w:kern w:val="2"/>
          <w:sz w:val="32"/>
          <w:szCs w:val="24"/>
          <w:lang w:val="en-US" w:bidi="ar-SA"/>
        </w:rPr>
        <w:t>贯彻落实《中华人民共和国民法典》，围绕进一步规范收养登记办理程序、密切部门间协作配合、加强对儿童收养工作支持保障、更好维护被收养儿童权益等，细化相关配套措施。研究探索解决事实收养问题，切实保障被收养儿童合法权益。改进收养登记档案管理，规范立卷、归档、保管、移交和使用制度，以档案管理促规范登记。</w:t>
      </w:r>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color w:val="000000" w:themeColor="text1"/>
          <w:kern w:val="2"/>
          <w:sz w:val="32"/>
          <w:szCs w:val="24"/>
          <w:lang w:val="en-US" w:eastAsia="zh-CN" w:bidi="ar-SA"/>
          <w14:textFill>
            <w14:solidFill>
              <w14:schemeClr w14:val="tx1"/>
            </w14:solidFill>
          </w14:textFill>
        </w:rPr>
        <w:t>落实</w:t>
      </w:r>
      <w:r>
        <w:rPr>
          <w:rFonts w:hint="eastAsia" w:ascii="仿宋" w:hAnsi="仿宋" w:eastAsia="仿宋" w:cs="仿宋"/>
          <w:b/>
          <w:bCs/>
          <w:color w:val="000000" w:themeColor="text1"/>
          <w:kern w:val="2"/>
          <w:sz w:val="32"/>
          <w:szCs w:val="24"/>
          <w:lang w:val="en-US" w:bidi="ar-SA"/>
          <w14:textFill>
            <w14:solidFill>
              <w14:schemeClr w14:val="tx1"/>
            </w14:solidFill>
          </w14:textFill>
        </w:rPr>
        <w:t>实施儿童收养评估制度。</w:t>
      </w:r>
      <w:r>
        <w:rPr>
          <w:rFonts w:hint="eastAsia" w:ascii="仿宋" w:hAnsi="仿宋" w:eastAsia="仿宋" w:cs="仿宋"/>
          <w:kern w:val="2"/>
          <w:sz w:val="32"/>
          <w:szCs w:val="24"/>
          <w:lang w:val="en-US" w:bidi="ar-SA"/>
        </w:rPr>
        <w:t>全面实施收养评估，把评估结果作为判断收养人收养能力的重要依据，全面评估收养人抚养、教育和保护被收养人的能力。结合评估工作开展，引导、支持收养家庭做好收养前心理和物质准备，为被收养儿童在收养家庭健康成长奠定基础。</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52" w:name="_Toc25347"/>
      <w:bookmarkStart w:id="53" w:name="_Toc74144949"/>
      <w:bookmarkStart w:id="54" w:name="_Toc73982177"/>
      <w:r>
        <w:rPr>
          <w:rFonts w:hint="eastAsia" w:eastAsia="楷体" w:asciiTheme="majorHAnsi" w:hAnsiTheme="majorHAnsi" w:cstheme="majorBidi"/>
          <w:bCs/>
          <w:kern w:val="2"/>
          <w:sz w:val="32"/>
          <w:szCs w:val="32"/>
          <w:lang w:val="en-US" w:eastAsia="zh-CN" w:bidi="ar-SA"/>
        </w:rPr>
        <w:t>（</w:t>
      </w:r>
      <w:r>
        <w:rPr>
          <w:rFonts w:eastAsia="楷体" w:asciiTheme="majorHAnsi" w:hAnsiTheme="majorHAnsi" w:cstheme="majorBidi"/>
          <w:bCs/>
          <w:kern w:val="2"/>
          <w:sz w:val="32"/>
          <w:szCs w:val="32"/>
          <w:lang w:val="en-US" w:eastAsia="zh-CN" w:bidi="ar-SA"/>
        </w:rPr>
        <w:t>二</w:t>
      </w:r>
      <w:r>
        <w:rPr>
          <w:rFonts w:hint="eastAsia" w:eastAsia="楷体" w:asciiTheme="majorHAnsi" w:hAnsiTheme="majorHAnsi" w:cstheme="majorBidi"/>
          <w:bCs/>
          <w:kern w:val="2"/>
          <w:sz w:val="32"/>
          <w:szCs w:val="32"/>
          <w:lang w:val="en-US" w:eastAsia="zh-CN" w:bidi="ar-SA"/>
        </w:rPr>
        <w:t>）提升</w:t>
      </w:r>
      <w:r>
        <w:rPr>
          <w:rFonts w:eastAsia="楷体" w:asciiTheme="majorHAnsi" w:hAnsiTheme="majorHAnsi" w:cstheme="majorBidi"/>
          <w:bCs/>
          <w:kern w:val="2"/>
          <w:sz w:val="32"/>
          <w:szCs w:val="32"/>
          <w:lang w:val="en-US" w:eastAsia="zh-CN" w:bidi="ar-SA"/>
        </w:rPr>
        <w:t>儿童收养管理工作水平</w:t>
      </w:r>
      <w:bookmarkEnd w:id="52"/>
      <w:bookmarkEnd w:id="53"/>
      <w:bookmarkEnd w:id="54"/>
    </w:p>
    <w:p>
      <w:pPr>
        <w:pageBreakBefore w:val="0"/>
        <w:kinsoku/>
        <w:wordWrap/>
        <w:overflowPunct/>
        <w:topLinePunct w:val="0"/>
        <w:autoSpaceDE/>
        <w:autoSpaceDN/>
        <w:bidi w:val="0"/>
        <w:snapToGrid/>
        <w:spacing w:before="0" w:after="0" w:line="240" w:lineRule="auto"/>
        <w:ind w:left="0" w:right="0" w:firstLine="643" w:firstLineChars="200"/>
        <w:jc w:val="both"/>
        <w:rPr>
          <w:rFonts w:ascii="仿宋" w:hAnsi="仿宋" w:eastAsia="仿宋" w:cs="仿宋"/>
          <w:kern w:val="2"/>
          <w:sz w:val="32"/>
          <w:szCs w:val="24"/>
          <w:lang w:val="en-US" w:bidi="ar-SA"/>
        </w:rPr>
      </w:pPr>
      <w:r>
        <w:rPr>
          <w:rFonts w:hint="eastAsia" w:ascii="仿宋" w:hAnsi="仿宋" w:eastAsia="仿宋" w:cs="仿宋"/>
          <w:b/>
          <w:bCs/>
          <w:kern w:val="2"/>
          <w:sz w:val="32"/>
          <w:szCs w:val="24"/>
          <w:lang w:val="en-US" w:bidi="ar-SA"/>
        </w:rPr>
        <w:t>发挥民政牵头作用。</w:t>
      </w:r>
      <w:r>
        <w:rPr>
          <w:rFonts w:hint="eastAsia" w:ascii="仿宋" w:hAnsi="仿宋" w:eastAsia="仿宋" w:cs="仿宋"/>
          <w:kern w:val="2"/>
          <w:sz w:val="32"/>
          <w:szCs w:val="24"/>
          <w:lang w:val="en-US" w:bidi="ar-SA"/>
        </w:rPr>
        <w:t>民政部门切实发挥好牵头作用，全面理解把握儿童收养法律法规精神，</w:t>
      </w:r>
      <w:r>
        <w:rPr>
          <w:rFonts w:hint="eastAsia" w:ascii="仿宋" w:hAnsi="仿宋" w:eastAsia="仿宋" w:cs="仿宋"/>
          <w:kern w:val="2"/>
          <w:sz w:val="32"/>
          <w:szCs w:val="24"/>
          <w:lang w:val="zh-CN" w:bidi="ar-SA"/>
        </w:rPr>
        <w:t>协商处置疑难问题，</w:t>
      </w:r>
      <w:r>
        <w:rPr>
          <w:rFonts w:hint="eastAsia" w:ascii="仿宋" w:hAnsi="仿宋" w:eastAsia="仿宋" w:cs="仿宋"/>
          <w:kern w:val="2"/>
          <w:sz w:val="32"/>
          <w:szCs w:val="24"/>
          <w:lang w:val="en-US" w:bidi="ar-SA"/>
        </w:rPr>
        <w:t>在确保被收养儿童利益前提下，依法规范开展收养登记工作。加强收养登记管理工作培训，提升收养登记管理能力，强化收养工作职业道德伦理建设，推动收养工作持续健康发展。</w:t>
      </w:r>
    </w:p>
    <w:p>
      <w:pPr>
        <w:pageBreakBefore w:val="0"/>
        <w:widowControl w:val="0"/>
        <w:kinsoku/>
        <w:wordWrap/>
        <w:overflowPunct/>
        <w:topLinePunct w:val="0"/>
        <w:bidi w:val="0"/>
        <w:snapToGrid/>
        <w:spacing w:beforeAutospacing="0" w:afterAutospacing="0" w:line="240" w:lineRule="auto"/>
        <w:ind w:firstLine="643" w:firstLineChars="200"/>
        <w:jc w:val="both"/>
        <w:rPr>
          <w:rFonts w:ascii="仿宋" w:hAnsi="仿宋" w:eastAsia="仿宋" w:cs="仿宋"/>
          <w:kern w:val="0"/>
          <w:sz w:val="32"/>
          <w:szCs w:val="32"/>
          <w:lang w:val="en-US" w:eastAsia="zh-CN" w:bidi="ar-SA"/>
        </w:rPr>
      </w:pPr>
      <w:r>
        <w:rPr>
          <w:rFonts w:hint="eastAsia" w:ascii="仿宋" w:hAnsi="仿宋" w:eastAsia="仿宋" w:cs="仿宋"/>
          <w:b/>
          <w:bCs/>
          <w:kern w:val="2"/>
          <w:sz w:val="32"/>
          <w:szCs w:val="24"/>
          <w:lang w:val="en-US" w:eastAsia="zh-CN" w:bidi="ar-SA"/>
        </w:rPr>
        <w:t>扎实推进收养登记管理信息化建设。</w:t>
      </w:r>
      <w:r>
        <w:rPr>
          <w:rFonts w:hint="eastAsia" w:ascii="仿宋" w:hAnsi="仿宋" w:eastAsia="仿宋" w:cs="仿宋"/>
          <w:kern w:val="0"/>
          <w:sz w:val="32"/>
          <w:szCs w:val="32"/>
          <w:lang w:val="en-US" w:eastAsia="zh-CN" w:bidi="ar-SA"/>
        </w:rPr>
        <w:t>推进收养登记业务流程、收养儿童信息数字化、信息化。加强收养登记信息管理系统使用管理，明确专人负责，实行台账式管理，确保收养关系当事人信息安全，确保系统账号密码安全，确保人员更替衔接有序。</w:t>
      </w:r>
    </w:p>
    <w:p>
      <w:pPr>
        <w:pageBreakBefore w:val="0"/>
        <w:widowControl w:val="0"/>
        <w:kinsoku/>
        <w:wordWrap/>
        <w:overflowPunct/>
        <w:topLinePunct w:val="0"/>
        <w:bidi w:val="0"/>
        <w:snapToGrid/>
        <w:spacing w:beforeAutospacing="0" w:afterAutospacing="0" w:line="240" w:lineRule="auto"/>
        <w:ind w:firstLine="643" w:firstLineChars="200"/>
        <w:jc w:val="both"/>
        <w:rPr>
          <w:rFonts w:ascii="仿宋" w:hAnsi="仿宋" w:eastAsia="仿宋" w:cs="仿宋"/>
          <w:kern w:val="0"/>
          <w:sz w:val="32"/>
          <w:szCs w:val="32"/>
          <w:lang w:val="en-US" w:eastAsia="zh-CN" w:bidi="ar-SA"/>
        </w:rPr>
      </w:pPr>
      <w:r>
        <w:rPr>
          <w:rFonts w:hint="eastAsia" w:ascii="仿宋" w:hAnsi="仿宋" w:eastAsia="仿宋" w:cs="仿宋"/>
          <w:b/>
          <w:bCs/>
          <w:kern w:val="2"/>
          <w:sz w:val="32"/>
          <w:szCs w:val="24"/>
          <w:lang w:val="en-US" w:eastAsia="zh-CN" w:bidi="ar-SA"/>
        </w:rPr>
        <w:t>开展收养普法宣传。</w:t>
      </w:r>
      <w:r>
        <w:rPr>
          <w:rFonts w:hint="eastAsia" w:ascii="仿宋" w:hAnsi="仿宋" w:eastAsia="仿宋" w:cs="仿宋"/>
          <w:kern w:val="0"/>
          <w:sz w:val="32"/>
          <w:szCs w:val="32"/>
          <w:lang w:val="en-US" w:eastAsia="zh-CN" w:bidi="ar-SA"/>
        </w:rPr>
        <w:t>以收养人为重点开展儿童收养普法宣传，充分发挥普法宣传教育机制作用，强化收养关系当事人的法治观念，在全社会倡导形成关爱保护儿童的良好氛围。挖掘普法资源，拓展普法平台，充分利用网络媒体渠道开展收养普法教育活动。严格落实普法责任制，丰富载体，在工作实践中广泛开展以案释法和警示教育。</w:t>
      </w:r>
    </w:p>
    <w:p>
      <w:pPr>
        <w:pageBreakBefore w:val="0"/>
        <w:widowControl w:val="0"/>
        <w:kinsoku/>
        <w:wordWrap/>
        <w:overflowPunct/>
        <w:topLinePunct w:val="0"/>
        <w:bidi w:val="0"/>
        <w:snapToGrid/>
        <w:spacing w:beforeAutospacing="0" w:afterAutospacing="0" w:line="240" w:lineRule="auto"/>
        <w:ind w:firstLine="643" w:firstLineChars="200"/>
        <w:jc w:val="left"/>
        <w:rPr>
          <w:rFonts w:ascii="仿宋" w:hAnsi="仿宋" w:eastAsia="仿宋" w:cs="仿宋"/>
          <w:kern w:val="0"/>
          <w:sz w:val="32"/>
          <w:szCs w:val="32"/>
          <w:lang w:val="en-US" w:eastAsia="zh-CN" w:bidi="ar-SA"/>
        </w:rPr>
      </w:pPr>
      <w:r>
        <w:rPr>
          <w:rFonts w:hint="eastAsia" w:ascii="仿宋" w:hAnsi="仿宋" w:eastAsia="仿宋" w:cs="仿宋"/>
          <w:b/>
          <w:bCs/>
          <w:kern w:val="2"/>
          <w:sz w:val="32"/>
          <w:szCs w:val="24"/>
          <w:lang w:val="en-US" w:eastAsia="zh-CN" w:bidi="ar-SA"/>
        </w:rPr>
        <w:t>加强收养后跟踪服务。</w:t>
      </w:r>
      <w:r>
        <w:rPr>
          <w:rFonts w:hint="eastAsia" w:ascii="仿宋" w:hAnsi="仿宋" w:eastAsia="仿宋" w:cs="仿宋"/>
          <w:kern w:val="0"/>
          <w:sz w:val="32"/>
          <w:szCs w:val="32"/>
          <w:lang w:val="en-US" w:eastAsia="zh-CN" w:bidi="ar-SA"/>
        </w:rPr>
        <w:t>借助大数据等技术优势，积极探索加强收养后跟踪服务，维护被收养儿童合法权益，确保被收养儿童拥有适合其健康成长的家庭环境。积极帮助收养家庭链接资源，在建立信任与保护隐私的前提下，定期走访了解被收养儿童在收养家庭生活成长情况，在就学、就医及融入家庭、融入社会等方面予以支持。稳妥开展外国收养家庭“寻根回访”工作，规范接访流程，提高服务质量。</w:t>
      </w:r>
    </w:p>
    <w:p>
      <w:pPr>
        <w:pageBreakBefore w:val="0"/>
        <w:widowControl/>
        <w:kinsoku/>
        <w:wordWrap/>
        <w:overflowPunct/>
        <w:topLinePunct w:val="0"/>
        <w:autoSpaceDE/>
        <w:autoSpaceDN/>
        <w:bidi w:val="0"/>
        <w:snapToGrid/>
        <w:spacing w:before="0" w:after="0" w:line="240" w:lineRule="auto"/>
        <w:ind w:left="0" w:right="0" w:firstLine="640" w:firstLineChars="200"/>
        <w:jc w:val="center"/>
        <w:rPr>
          <w:rFonts w:ascii="仿宋" w:hAnsi="仿宋" w:eastAsia="仿宋" w:cs="仿宋"/>
          <w:bCs/>
          <w:color w:val="000000"/>
          <w:kern w:val="0"/>
          <w:sz w:val="32"/>
          <w:szCs w:val="32"/>
          <w:lang w:val="en-US" w:bidi="ar"/>
        </w:rPr>
      </w:pPr>
      <w:r>
        <w:rPr>
          <w:rFonts w:hint="eastAsia" w:ascii="仿宋" w:hAnsi="仿宋" w:eastAsia="仿宋" w:cs="仿宋"/>
          <w:bCs/>
          <w:color w:val="000000"/>
          <w:kern w:val="0"/>
          <w:sz w:val="32"/>
          <w:szCs w:val="32"/>
          <w:lang w:val="en-US" w:bidi="ar"/>
        </w:rPr>
        <w:t>专栏5儿童收养规范性提升工程</w:t>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shd w:val="clear" w:color="auto" w:fill="auto"/>
          </w:tcPr>
          <w:p>
            <w:pPr>
              <w:pageBreakBefore w:val="0"/>
              <w:widowControl/>
              <w:kinsoku/>
              <w:wordWrap/>
              <w:overflowPunct/>
              <w:topLinePunct w:val="0"/>
              <w:autoSpaceDE/>
              <w:autoSpaceDN/>
              <w:bidi w:val="0"/>
              <w:snapToGrid/>
              <w:spacing w:before="0" w:after="0" w:line="240" w:lineRule="auto"/>
              <w:ind w:left="0" w:right="0" w:firstLine="562" w:firstLineChars="200"/>
              <w:jc w:val="left"/>
              <w:textAlignment w:val="baseline"/>
              <w:rPr>
                <w:rFonts w:ascii="仿宋" w:hAnsi="仿宋" w:eastAsia="仿宋" w:cs="仿宋"/>
                <w:color w:val="000000"/>
                <w:kern w:val="0"/>
                <w:sz w:val="28"/>
                <w:szCs w:val="28"/>
                <w:lang w:val="en-US" w:bidi="ar-SA"/>
              </w:rPr>
            </w:pPr>
            <w:r>
              <w:rPr>
                <w:rFonts w:hint="eastAsia" w:ascii="仿宋" w:hAnsi="仿宋" w:eastAsia="仿宋" w:cs="仿宋"/>
                <w:b/>
                <w:bCs/>
                <w:color w:val="000000"/>
                <w:kern w:val="0"/>
                <w:sz w:val="28"/>
                <w:szCs w:val="28"/>
                <w:lang w:val="en-US" w:bidi="ar-SA"/>
              </w:rPr>
              <w:t>1.儿童收养评估能力提升工程：</w:t>
            </w:r>
            <w:r>
              <w:rPr>
                <w:rFonts w:hint="eastAsia" w:ascii="仿宋" w:hAnsi="仿宋" w:eastAsia="仿宋" w:cs="仿宋"/>
                <w:color w:val="000000"/>
                <w:kern w:val="0"/>
                <w:sz w:val="28"/>
                <w:szCs w:val="28"/>
                <w:lang w:val="zh-CN" w:bidi="ar-SA"/>
              </w:rPr>
              <w:t>全面推行收养评估制度，加强收养评估人员能力培训，优化收养登记管理，促进收养能力评估与收养登记程序有机融合、相互衔接，切实保障被收养儿童合法权益。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shd w:val="clear" w:color="auto" w:fill="auto"/>
          </w:tcPr>
          <w:p>
            <w:pPr>
              <w:pageBreakBefore w:val="0"/>
              <w:widowControl/>
              <w:kinsoku/>
              <w:wordWrap/>
              <w:overflowPunct/>
              <w:topLinePunct w:val="0"/>
              <w:autoSpaceDE/>
              <w:autoSpaceDN/>
              <w:bidi w:val="0"/>
              <w:snapToGrid/>
              <w:spacing w:before="0" w:after="0" w:line="240" w:lineRule="auto"/>
              <w:ind w:left="0" w:right="0" w:firstLine="562" w:firstLineChars="200"/>
              <w:jc w:val="left"/>
              <w:textAlignment w:val="baseline"/>
              <w:rPr>
                <w:rFonts w:ascii="仿宋" w:hAnsi="仿宋" w:eastAsia="仿宋" w:cs="仿宋"/>
                <w:b/>
                <w:bCs/>
                <w:color w:val="000000"/>
                <w:kern w:val="0"/>
                <w:sz w:val="28"/>
                <w:szCs w:val="28"/>
                <w:lang w:val="en-US" w:bidi="ar-SA"/>
              </w:rPr>
            </w:pPr>
            <w:r>
              <w:rPr>
                <w:rFonts w:hint="eastAsia" w:ascii="仿宋" w:hAnsi="仿宋" w:eastAsia="仿宋" w:cs="仿宋"/>
                <w:b/>
                <w:bCs/>
                <w:color w:val="000000"/>
                <w:kern w:val="0"/>
                <w:sz w:val="28"/>
                <w:szCs w:val="28"/>
                <w:lang w:val="en-US" w:bidi="ar-SA"/>
              </w:rPr>
              <w:t>2.儿童收养登记员能力培训工程。</w:t>
            </w:r>
            <w:r>
              <w:rPr>
                <w:rFonts w:hint="eastAsia" w:ascii="仿宋" w:hAnsi="仿宋" w:eastAsia="仿宋" w:cs="仿宋"/>
                <w:color w:val="000000"/>
                <w:kern w:val="0"/>
                <w:sz w:val="28"/>
                <w:szCs w:val="28"/>
                <w:lang w:val="en-US" w:bidi="ar-SA"/>
              </w:rPr>
              <w:t>开展收养登记管理工作培训，提升收养登记管理能力，推动收养工作持续健康发展。</w:t>
            </w:r>
          </w:p>
        </w:tc>
      </w:tr>
    </w:tbl>
    <w:p>
      <w:pPr>
        <w:keepNext/>
        <w:keepLines/>
        <w:pageBreakBefore w:val="0"/>
        <w:widowControl w:val="0"/>
        <w:kinsoku/>
        <w:wordWrap/>
        <w:overflowPunct/>
        <w:topLinePunct w:val="0"/>
        <w:bidi w:val="0"/>
        <w:snapToGrid/>
        <w:spacing w:before="0" w:beforeLines="0" w:after="0" w:afterLines="0" w:line="240" w:lineRule="auto"/>
        <w:ind w:firstLine="643" w:firstLineChars="200"/>
        <w:jc w:val="left"/>
        <w:outlineLvl w:val="0"/>
        <w:rPr>
          <w:rFonts w:ascii="方正小标宋_GBK" w:hAnsi="方正小标宋_GBK" w:eastAsia="黑体" w:cs="Times New Roman"/>
          <w:b/>
          <w:color w:val="000000"/>
          <w:kern w:val="0"/>
          <w:sz w:val="32"/>
          <w:szCs w:val="28"/>
          <w:lang w:val="zh-CN" w:eastAsia="zh-CN" w:bidi="ar-SA"/>
        </w:rPr>
      </w:pPr>
      <w:bookmarkStart w:id="55" w:name="_Toc11317"/>
      <w:bookmarkStart w:id="56" w:name="_Toc73982178"/>
      <w:bookmarkStart w:id="57" w:name="_Toc74144950"/>
      <w:r>
        <w:rPr>
          <w:rFonts w:hint="eastAsia" w:ascii="方正小标宋_GBK" w:hAnsi="方正小标宋_GBK" w:eastAsia="黑体" w:cs="Times New Roman"/>
          <w:b/>
          <w:color w:val="000000"/>
          <w:kern w:val="0"/>
          <w:sz w:val="32"/>
          <w:szCs w:val="28"/>
          <w:lang w:val="zh-CN" w:eastAsia="zh-CN" w:bidi="ar-SA"/>
        </w:rPr>
        <w:t>六、保障措施</w:t>
      </w:r>
      <w:bookmarkEnd w:id="55"/>
      <w:bookmarkEnd w:id="56"/>
      <w:bookmarkEnd w:id="57"/>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58" w:name="_Toc27"/>
      <w:bookmarkStart w:id="59" w:name="_Toc74144951"/>
      <w:bookmarkStart w:id="60" w:name="_Toc73982179"/>
      <w:r>
        <w:rPr>
          <w:rFonts w:hint="eastAsia" w:eastAsia="楷体" w:asciiTheme="majorHAnsi" w:hAnsiTheme="majorHAnsi" w:cstheme="majorBidi"/>
          <w:bCs/>
          <w:kern w:val="2"/>
          <w:sz w:val="32"/>
          <w:szCs w:val="32"/>
          <w:lang w:val="en-US" w:eastAsia="zh-CN" w:bidi="ar-SA"/>
        </w:rPr>
        <w:t>（一）加强党的领导</w:t>
      </w:r>
      <w:bookmarkEnd w:id="58"/>
      <w:bookmarkEnd w:id="59"/>
      <w:bookmarkEnd w:id="60"/>
    </w:p>
    <w:p>
      <w:pPr>
        <w:pageBreakBefore w:val="0"/>
        <w:kinsoku/>
        <w:wordWrap/>
        <w:overflowPunct/>
        <w:topLinePunct w:val="0"/>
        <w:autoSpaceDE/>
        <w:autoSpaceDN/>
        <w:bidi w:val="0"/>
        <w:snapToGrid/>
        <w:spacing w:before="0" w:after="0" w:line="240" w:lineRule="auto"/>
        <w:ind w:left="0" w:right="0" w:firstLine="640" w:firstLineChars="200"/>
        <w:jc w:val="both"/>
        <w:rPr>
          <w:kern w:val="2"/>
          <w:sz w:val="32"/>
          <w:szCs w:val="24"/>
          <w:lang w:val="en-US" w:bidi="ar-SA"/>
        </w:rPr>
      </w:pPr>
      <w:r>
        <w:rPr>
          <w:rFonts w:hint="eastAsia" w:ascii="仿宋" w:hAnsi="仿宋" w:eastAsia="仿宋" w:cs="仿宋"/>
          <w:kern w:val="2"/>
          <w:sz w:val="32"/>
          <w:szCs w:val="24"/>
          <w:lang w:val="en-US" w:bidi="ar-SA"/>
        </w:rPr>
        <w:t>深入学习贯彻习近平新时代中国特色社会主义思想，提高政治站位，紧紧围绕统筹推进“五位一体”总体布局和协调推进“四个全面”战略布局，增强“四个意识”，坚定“四个自信”，做到“两个维护”，切实加强对</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的组织领导和统筹协调，不断提高贯彻新发展理念、构建新发展格局的能力和水平，健全完善和坚决落实党全面领导</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改革发展的体制机制，着力补短板、强弱项，推动儿童福利和未成年人保护各项工作落到实处。</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61" w:name="_Toc74144952"/>
      <w:bookmarkStart w:id="62" w:name="_Toc2666"/>
      <w:bookmarkStart w:id="63" w:name="_Toc73982180"/>
      <w:r>
        <w:rPr>
          <w:rFonts w:hint="eastAsia" w:eastAsia="楷体" w:asciiTheme="majorHAnsi" w:hAnsiTheme="majorHAnsi" w:cstheme="majorBidi"/>
          <w:bCs/>
          <w:kern w:val="2"/>
          <w:sz w:val="32"/>
          <w:szCs w:val="32"/>
          <w:lang w:val="en-US" w:eastAsia="zh-CN" w:bidi="ar-SA"/>
        </w:rPr>
        <w:t>（二）加强资金保障</w:t>
      </w:r>
      <w:bookmarkEnd w:id="61"/>
      <w:bookmarkEnd w:id="62"/>
      <w:bookmarkEnd w:id="63"/>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s="仿宋"/>
          <w:kern w:val="2"/>
          <w:sz w:val="32"/>
          <w:szCs w:val="24"/>
          <w:lang w:val="en-US" w:bidi="ar-SA"/>
        </w:rPr>
      </w:pPr>
      <w:r>
        <w:rPr>
          <w:rFonts w:hint="eastAsia" w:ascii="仿宋" w:hAnsi="仿宋" w:eastAsia="仿宋" w:cs="仿宋"/>
          <w:kern w:val="2"/>
          <w:sz w:val="32"/>
          <w:szCs w:val="24"/>
          <w:lang w:val="en-US" w:bidi="ar-SA"/>
        </w:rPr>
        <w:t>加大对</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财政投入力度，建立与经济社会发展水平相适应，与宏观政策、社会政策相衔接的公共财政投入机制。加大政府购买服务力度，拓展目录清单，扶持儿童服务类专业社会组织和公益项目。综合运用税费减免、资金引导、培育孵化等手段，充分发挥公益慈善组织作用，畅通社会各界参与慈善的渠道，广泛吸引各类社会资金投入</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64" w:name="_Toc74144953"/>
      <w:bookmarkStart w:id="65" w:name="_Toc23593"/>
      <w:bookmarkStart w:id="66" w:name="_Toc73982181"/>
      <w:r>
        <w:rPr>
          <w:rFonts w:hint="eastAsia" w:eastAsia="楷体" w:asciiTheme="majorHAnsi" w:hAnsiTheme="majorHAnsi" w:cstheme="majorBidi"/>
          <w:bCs/>
          <w:kern w:val="2"/>
          <w:sz w:val="32"/>
          <w:szCs w:val="32"/>
          <w:lang w:val="en-US" w:eastAsia="zh-CN" w:bidi="ar-SA"/>
        </w:rPr>
        <w:t>（三）加强人才保障</w:t>
      </w:r>
      <w:bookmarkEnd w:id="64"/>
      <w:bookmarkEnd w:id="65"/>
      <w:bookmarkEnd w:id="66"/>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s="仿宋"/>
          <w:kern w:val="2"/>
          <w:sz w:val="32"/>
          <w:szCs w:val="24"/>
          <w:lang w:val="en-US" w:bidi="ar-SA"/>
        </w:rPr>
      </w:pPr>
      <w:r>
        <w:rPr>
          <w:rFonts w:hint="eastAsia" w:ascii="仿宋" w:hAnsi="仿宋" w:eastAsia="仿宋" w:cs="仿宋"/>
          <w:kern w:val="2"/>
          <w:sz w:val="32"/>
          <w:szCs w:val="24"/>
          <w:lang w:val="en-US" w:bidi="ar-SA"/>
        </w:rPr>
        <w:t>优化人才结构，培养紧缺型人才，统筹推进</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管理人才、专业技术人才、技能人才队伍建设。开展分层分类能力素质培训，开展儿童福利</w:t>
      </w:r>
      <w:r>
        <w:rPr>
          <w:rFonts w:hint="eastAsia" w:ascii="仿宋" w:hAnsi="仿宋" w:eastAsia="仿宋" w:cs="仿宋"/>
          <w:kern w:val="2"/>
          <w:sz w:val="32"/>
          <w:szCs w:val="24"/>
          <w:lang w:val="en-US" w:eastAsia="zh-CN" w:bidi="ar-SA"/>
        </w:rPr>
        <w:t>与未成年人保护工作者</w:t>
      </w:r>
      <w:r>
        <w:rPr>
          <w:rFonts w:hint="eastAsia" w:ascii="仿宋" w:hAnsi="仿宋" w:eastAsia="仿宋" w:cs="仿宋"/>
          <w:kern w:val="2"/>
          <w:sz w:val="32"/>
          <w:szCs w:val="24"/>
          <w:lang w:val="en-US" w:bidi="ar-SA"/>
        </w:rPr>
        <w:t>、镇街儿童督导员、村（居）儿童主任等儿童工作者能力培训，不断优化更新工作者知识结构，提高专业素养和综合素质。</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67" w:name="_Toc19669"/>
      <w:bookmarkStart w:id="68" w:name="_Toc74144955"/>
      <w:bookmarkStart w:id="69" w:name="_Toc73982183"/>
      <w:r>
        <w:rPr>
          <w:rFonts w:hint="eastAsia" w:eastAsia="楷体" w:asciiTheme="majorHAnsi" w:hAnsiTheme="majorHAnsi" w:cstheme="majorBidi"/>
          <w:bCs/>
          <w:kern w:val="2"/>
          <w:sz w:val="32"/>
          <w:szCs w:val="32"/>
          <w:lang w:val="en-US" w:eastAsia="zh-CN" w:bidi="ar-SA"/>
        </w:rPr>
        <w:t>（四）加强</w:t>
      </w:r>
      <w:r>
        <w:rPr>
          <w:rFonts w:eastAsia="楷体" w:asciiTheme="majorHAnsi" w:hAnsiTheme="majorHAnsi" w:cstheme="majorBidi"/>
          <w:bCs/>
          <w:kern w:val="2"/>
          <w:sz w:val="32"/>
          <w:szCs w:val="32"/>
          <w:lang w:val="en-US" w:eastAsia="zh-CN" w:bidi="ar-SA"/>
        </w:rPr>
        <w:t>风险防范保障</w:t>
      </w:r>
      <w:bookmarkEnd w:id="67"/>
      <w:bookmarkEnd w:id="68"/>
      <w:bookmarkEnd w:id="69"/>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s="仿宋"/>
          <w:color w:val="000000"/>
          <w:kern w:val="2"/>
          <w:sz w:val="32"/>
          <w:szCs w:val="32"/>
          <w:lang w:val="en-US" w:bidi="ar-SA"/>
        </w:rPr>
      </w:pPr>
      <w:r>
        <w:rPr>
          <w:rFonts w:hint="eastAsia" w:ascii="仿宋" w:hAnsi="仿宋" w:eastAsia="仿宋" w:cs="仿宋"/>
          <w:kern w:val="2"/>
          <w:sz w:val="32"/>
          <w:szCs w:val="24"/>
          <w:lang w:val="en-US" w:bidi="ar-SA"/>
        </w:rPr>
        <w:t>坚持生命至上、安全第一、预防为主，查找漏洞、加强防范，切实把儿童福利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kern w:val="2"/>
          <w:sz w:val="32"/>
          <w:szCs w:val="24"/>
          <w:lang w:val="en-US" w:bidi="ar-SA"/>
        </w:rPr>
        <w:t>领域安全风险隐患防范工作抓紧抓实抓细。</w:t>
      </w:r>
      <w:r>
        <w:rPr>
          <w:rFonts w:hint="eastAsia" w:ascii="仿宋" w:hAnsi="仿宋" w:eastAsia="仿宋" w:cs="仿宋"/>
          <w:color w:val="000000"/>
          <w:kern w:val="2"/>
          <w:sz w:val="32"/>
          <w:szCs w:val="32"/>
          <w:lang w:val="en-US" w:bidi="ar-SA"/>
        </w:rPr>
        <w:t>规范</w:t>
      </w:r>
      <w:r>
        <w:rPr>
          <w:rFonts w:hint="eastAsia" w:ascii="仿宋" w:hAnsi="仿宋" w:eastAsia="仿宋" w:cs="仿宋"/>
          <w:kern w:val="2"/>
          <w:sz w:val="32"/>
          <w:szCs w:val="24"/>
          <w:lang w:val="en-US" w:bidi="ar-SA"/>
        </w:rPr>
        <w:t>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color w:val="000000"/>
          <w:kern w:val="2"/>
          <w:sz w:val="32"/>
          <w:szCs w:val="32"/>
          <w:lang w:val="en-US" w:bidi="ar-SA"/>
        </w:rPr>
        <w:t>领域重大突发事件应急管理和处置程序，提高处置突发事件的能力，保障儿童福利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color w:val="000000"/>
          <w:kern w:val="2"/>
          <w:sz w:val="32"/>
          <w:szCs w:val="32"/>
          <w:lang w:val="en-US" w:bidi="ar-SA"/>
        </w:rPr>
        <w:t>工作服务对象生命财产安全。制定重大风险预防处置措施清单，持续推进儿童福利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color w:val="000000"/>
          <w:kern w:val="2"/>
          <w:sz w:val="32"/>
          <w:szCs w:val="32"/>
          <w:lang w:val="en-US" w:bidi="ar-SA"/>
        </w:rPr>
        <w:t>安全隐患问题整治。</w:t>
      </w:r>
      <w:r>
        <w:rPr>
          <w:rFonts w:hint="eastAsia" w:ascii="仿宋" w:hAnsi="仿宋" w:eastAsia="仿宋" w:cs="仿宋"/>
          <w:kern w:val="2"/>
          <w:sz w:val="32"/>
          <w:szCs w:val="24"/>
          <w:lang w:val="en-US" w:bidi="ar-SA"/>
        </w:rPr>
        <w:t>开展风险评估，采取有效措施，抓好风险防范的督促检查。</w:t>
      </w:r>
    </w:p>
    <w:p>
      <w:pPr>
        <w:keepNext/>
        <w:keepLines/>
        <w:pageBreakBefore w:val="0"/>
        <w:widowControl w:val="0"/>
        <w:kinsoku/>
        <w:wordWrap/>
        <w:overflowPunct/>
        <w:topLinePunct w:val="0"/>
        <w:bidi w:val="0"/>
        <w:snapToGrid/>
        <w:spacing w:line="240" w:lineRule="auto"/>
        <w:ind w:firstLine="640" w:firstLineChars="200"/>
        <w:jc w:val="both"/>
        <w:outlineLvl w:val="1"/>
        <w:rPr>
          <w:rFonts w:eastAsia="楷体" w:asciiTheme="majorHAnsi" w:hAnsiTheme="majorHAnsi" w:cstheme="majorBidi"/>
          <w:bCs/>
          <w:kern w:val="2"/>
          <w:sz w:val="32"/>
          <w:szCs w:val="32"/>
          <w:lang w:val="en-US" w:eastAsia="zh-CN" w:bidi="ar-SA"/>
        </w:rPr>
      </w:pPr>
      <w:bookmarkStart w:id="70" w:name="_Toc74144956"/>
      <w:bookmarkStart w:id="71" w:name="_Toc24905"/>
      <w:bookmarkStart w:id="72" w:name="_Toc73982184"/>
      <w:r>
        <w:rPr>
          <w:rFonts w:hint="eastAsia" w:eastAsia="楷体" w:asciiTheme="majorHAnsi" w:hAnsiTheme="majorHAnsi" w:cstheme="majorBidi"/>
          <w:bCs/>
          <w:kern w:val="2"/>
          <w:sz w:val="32"/>
          <w:szCs w:val="32"/>
          <w:lang w:val="en-US" w:eastAsia="zh-CN" w:bidi="ar-SA"/>
        </w:rPr>
        <w:t>（五）加强实施监测</w:t>
      </w:r>
      <w:bookmarkEnd w:id="70"/>
      <w:bookmarkEnd w:id="71"/>
      <w:bookmarkEnd w:id="72"/>
    </w:p>
    <w:p>
      <w:pPr>
        <w:pageBreakBefore w:val="0"/>
        <w:kinsoku/>
        <w:wordWrap/>
        <w:overflowPunct/>
        <w:topLinePunct w:val="0"/>
        <w:autoSpaceDE/>
        <w:autoSpaceDN/>
        <w:bidi w:val="0"/>
        <w:snapToGrid/>
        <w:spacing w:before="0" w:after="0" w:line="240" w:lineRule="auto"/>
        <w:ind w:left="0" w:right="0"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24"/>
          <w:lang w:val="en-US" w:bidi="ar-SA"/>
        </w:rPr>
        <w:t>强化</w:t>
      </w:r>
      <w:r>
        <w:rPr>
          <w:rFonts w:hint="eastAsia" w:ascii="仿宋" w:hAnsi="仿宋" w:eastAsia="仿宋" w:cs="仿宋"/>
          <w:kern w:val="2"/>
          <w:sz w:val="32"/>
          <w:szCs w:val="24"/>
          <w:lang w:val="en-US" w:eastAsia="zh-CN" w:bidi="ar-SA"/>
        </w:rPr>
        <w:t>儿童福利与未成年人保护事业</w:t>
      </w:r>
      <w:r>
        <w:rPr>
          <w:rFonts w:hint="eastAsia" w:ascii="仿宋" w:hAnsi="仿宋" w:eastAsia="仿宋" w:cs="仿宋"/>
          <w:kern w:val="2"/>
          <w:sz w:val="32"/>
          <w:szCs w:val="24"/>
          <w:lang w:val="en-US" w:bidi="ar-SA"/>
        </w:rPr>
        <w:t>规划目标、规划任务、重大工程的分解落实，建立年度监测分析、中期评估和总结评估的规划实施监测评估工作机制，将评估结果作为改进儿童福利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kern w:val="2"/>
          <w:sz w:val="32"/>
          <w:szCs w:val="24"/>
          <w:lang w:val="en-US" w:bidi="ar-SA"/>
        </w:rPr>
        <w:t>工作的重要依据。创新评估方式方法，通过引入第三方机构、综合运用大数据等方式，丰富评估内容，提升评估深度。</w:t>
      </w:r>
      <w:r>
        <w:rPr>
          <w:rFonts w:hint="eastAsia" w:ascii="仿宋" w:hAnsi="仿宋" w:eastAsia="仿宋" w:cs="仿宋"/>
          <w:kern w:val="2"/>
          <w:sz w:val="32"/>
          <w:szCs w:val="32"/>
          <w:lang w:val="en-US" w:bidi="ar-SA"/>
        </w:rPr>
        <w:t>区县民政部门要强化主体责任，对本规划和本地区儿童福利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kern w:val="2"/>
          <w:sz w:val="32"/>
          <w:szCs w:val="32"/>
          <w:lang w:val="en-US" w:bidi="ar-SA"/>
        </w:rPr>
        <w:t>相关规划计划的落实情况开展监测评估，对实施过程中出现的问题要及时上报。</w:t>
      </w:r>
      <w:r>
        <w:rPr>
          <w:rFonts w:hint="eastAsia" w:ascii="仿宋" w:hAnsi="仿宋" w:eastAsia="仿宋" w:cs="仿宋"/>
          <w:kern w:val="2"/>
          <w:sz w:val="32"/>
          <w:szCs w:val="24"/>
          <w:lang w:val="en-US" w:bidi="ar-SA"/>
        </w:rPr>
        <w:t>畅通群众诉求和意见表达渠道，发挥群众监督、媒体监督的积极作用。</w:t>
      </w:r>
      <w:r>
        <w:rPr>
          <w:rFonts w:hint="eastAsia" w:ascii="仿宋" w:hAnsi="仿宋" w:eastAsia="仿宋" w:cs="仿宋"/>
          <w:kern w:val="2"/>
          <w:sz w:val="32"/>
          <w:szCs w:val="32"/>
          <w:lang w:val="en-US" w:bidi="ar-SA"/>
        </w:rPr>
        <w:t>确需对本规划的重大目标任务进行调整时，由区民政局协商有关部门制定调整方案。</w:t>
      </w:r>
    </w:p>
    <w:p>
      <w:pPr>
        <w:pageBreakBefore w:val="0"/>
        <w:widowControl/>
        <w:kinsoku/>
        <w:wordWrap/>
        <w:overflowPunct/>
        <w:topLinePunct w:val="0"/>
        <w:autoSpaceDE/>
        <w:autoSpaceDN/>
        <w:bidi w:val="0"/>
        <w:snapToGrid/>
        <w:spacing w:before="0" w:after="0" w:line="240" w:lineRule="auto"/>
        <w:ind w:left="0" w:right="0" w:firstLine="640" w:firstLineChars="200"/>
        <w:jc w:val="center"/>
        <w:rPr>
          <w:rFonts w:ascii="仿宋" w:hAnsi="仿宋" w:eastAsia="仿宋" w:cs="仿宋"/>
          <w:bCs/>
          <w:color w:val="000000"/>
          <w:kern w:val="0"/>
          <w:sz w:val="32"/>
          <w:szCs w:val="32"/>
          <w:lang w:val="en-US" w:bidi="ar"/>
        </w:rPr>
      </w:pPr>
      <w:r>
        <w:rPr>
          <w:rFonts w:hint="eastAsia" w:ascii="仿宋" w:hAnsi="仿宋" w:eastAsia="仿宋" w:cs="仿宋"/>
          <w:bCs/>
          <w:color w:val="000000"/>
          <w:kern w:val="0"/>
          <w:sz w:val="32"/>
          <w:szCs w:val="32"/>
          <w:lang w:val="en-US" w:bidi="ar"/>
        </w:rPr>
        <w:t>专栏6儿童福利类社会组织培育孵化工程</w:t>
      </w:r>
    </w:p>
    <w:tbl>
      <w:tblPr>
        <w:tblStyle w:val="4"/>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866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napToGrid/>
              <w:spacing w:before="0" w:after="0" w:line="240" w:lineRule="auto"/>
              <w:ind w:left="0" w:right="0" w:firstLine="562" w:firstLineChars="200"/>
              <w:jc w:val="both"/>
              <w:rPr>
                <w:rFonts w:hAnsi="仿宋" w:cs="Times New Roman"/>
                <w:b/>
                <w:bCs/>
                <w:color w:val="000000" w:themeColor="text1"/>
                <w:kern w:val="2"/>
                <w:sz w:val="22"/>
                <w:szCs w:val="22"/>
                <w:lang w:val="en-US" w:bidi="ar-SA"/>
                <w14:textFill>
                  <w14:solidFill>
                    <w14:schemeClr w14:val="tx1"/>
                  </w14:solidFill>
                </w14:textFill>
              </w:rPr>
            </w:pPr>
            <w:r>
              <w:rPr>
                <w:rFonts w:hint="eastAsia" w:ascii="仿宋" w:hAnsi="仿宋" w:eastAsia="仿宋" w:cs="仿宋"/>
                <w:b/>
                <w:bCs/>
                <w:color w:val="000000" w:themeColor="text1"/>
                <w:kern w:val="2"/>
                <w:sz w:val="28"/>
                <w:szCs w:val="28"/>
                <w:lang w:val="en-US" w:bidi="ar-SA"/>
                <w14:textFill>
                  <w14:solidFill>
                    <w14:schemeClr w14:val="tx1"/>
                  </w14:solidFill>
                </w14:textFill>
              </w:rPr>
              <w:t>培育儿童福利类社会组织：</w:t>
            </w:r>
            <w:r>
              <w:rPr>
                <w:rFonts w:hint="eastAsia" w:ascii="仿宋" w:hAnsi="仿宋" w:eastAsia="仿宋" w:cs="仿宋"/>
                <w:color w:val="000000" w:themeColor="text1"/>
                <w:kern w:val="2"/>
                <w:sz w:val="28"/>
                <w:szCs w:val="28"/>
                <w:lang w:val="en-US" w:bidi="ar-SA"/>
                <w14:textFill>
                  <w14:solidFill>
                    <w14:schemeClr w14:val="tx1"/>
                  </w14:solidFill>
                </w14:textFill>
              </w:rPr>
              <w:t>通过政府委托、项目合作、重点推介、孵化扶持等多种方式，建设儿童福利类社会组织培育孵化基地，激发社会组织参与儿童福</w:t>
            </w:r>
            <w:r>
              <w:rPr>
                <w:rFonts w:hint="eastAsia" w:ascii="仿宋" w:hAnsi="仿宋" w:eastAsia="仿宋" w:cs="仿宋"/>
                <w:color w:val="000000" w:themeColor="text1"/>
                <w:kern w:val="2"/>
                <w:sz w:val="28"/>
                <w:szCs w:val="28"/>
                <w:lang w:val="en-US" w:eastAsia="zh-CN" w:bidi="ar-SA"/>
                <w14:textFill>
                  <w14:solidFill>
                    <w14:schemeClr w14:val="tx1"/>
                  </w14:solidFill>
                </w14:textFill>
              </w:rPr>
              <w:t>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color w:val="000000" w:themeColor="text1"/>
                <w:kern w:val="2"/>
                <w:sz w:val="28"/>
                <w:szCs w:val="28"/>
                <w:lang w:val="en-US" w:bidi="ar-SA"/>
                <w14:textFill>
                  <w14:solidFill>
                    <w14:schemeClr w14:val="tx1"/>
                  </w14:solidFill>
                </w14:textFill>
              </w:rPr>
              <w:t>的主动性和创造性，提高儿童福利</w:t>
            </w:r>
            <w:r>
              <w:rPr>
                <w:rFonts w:hint="eastAsia" w:ascii="仿宋" w:hAnsi="仿宋" w:eastAsia="仿宋" w:cs="仿宋"/>
                <w:kern w:val="2"/>
                <w:sz w:val="32"/>
                <w:szCs w:val="24"/>
                <w:lang w:val="en-US" w:eastAsia="zh-CN" w:bidi="ar-SA"/>
              </w:rPr>
              <w:t>与未成年人保护</w:t>
            </w:r>
            <w:r>
              <w:rPr>
                <w:rFonts w:hint="eastAsia" w:ascii="仿宋" w:hAnsi="仿宋" w:eastAsia="仿宋" w:cs="仿宋"/>
                <w:color w:val="000000" w:themeColor="text1"/>
                <w:kern w:val="2"/>
                <w:sz w:val="28"/>
                <w:szCs w:val="28"/>
                <w:lang w:val="en-US" w:bidi="ar-SA"/>
                <w14:textFill>
                  <w14:solidFill>
                    <w14:schemeClr w14:val="tx1"/>
                  </w14:solidFill>
                </w14:textFill>
              </w:rPr>
              <w:t>服务供给质量水平。</w:t>
            </w:r>
          </w:p>
        </w:tc>
      </w:tr>
    </w:tbl>
    <w:p>
      <w:pPr>
        <w:pStyle w:val="2"/>
        <w:rPr>
          <w:rFonts w:hint="default"/>
          <w:lang w:val="en-US" w:eastAsia="zh-CN"/>
        </w:rPr>
      </w:pPr>
    </w:p>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firstLine="0" w:firstLineChars="0"/>
      <w:jc w:val="left"/>
      <w:rPr>
        <w:rFonts w:ascii="方正仿宋_GBK" w:hAnsi="方正仿宋_GBK" w:eastAsia="方正仿宋_GBK" w:cs="方正仿宋_GBK"/>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firstLine="360" w:firstLineChars="200"/>
      <w:jc w:val="left"/>
      <w:rPr>
        <w:rFonts w:ascii="方正仿宋_GBK" w:hAnsi="方正仿宋_GBK" w:eastAsia="方正仿宋_GBK" w:cs="方正仿宋_GBK"/>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firstLine="360" w:firstLineChars="200"/>
      <w:jc w:val="left"/>
      <w:rPr>
        <w:rFonts w:ascii="方正仿宋_GBK" w:hAnsi="方正仿宋_GBK" w:eastAsia="方正仿宋_GBK" w:cs="方正仿宋_GBK"/>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firstLine="0" w:firstLineChars="0"/>
      <w:jc w:val="left"/>
      <w:rPr>
        <w:rFonts w:ascii="方正仿宋_GBK" w:hAnsi="方正仿宋_GBK" w:eastAsia="方正仿宋_GBK" w:cs="方正仿宋_GBK"/>
        <w:kern w:val="2"/>
        <w:sz w:val="18"/>
        <w:szCs w:val="24"/>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firstLine="0" w:firstLineChars="0"/>
      <w:jc w:val="left"/>
      <w:rPr>
        <w:rFonts w:ascii="方正仿宋_GBK" w:hAnsi="方正仿宋_GBK" w:eastAsia="方正仿宋_GBK" w:cs="方正仿宋_GBK"/>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580" w:lineRule="exact"/>
      <w:ind w:firstLine="360" w:firstLineChars="200"/>
      <w:jc w:val="both"/>
      <w:rPr>
        <w:rFonts w:ascii="方正仿宋_GBK" w:hAnsi="方正仿宋_GBK" w:eastAsia="方正仿宋_GBK" w:cs="方正仿宋_GBK"/>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580" w:lineRule="exact"/>
      <w:ind w:firstLine="360" w:firstLineChars="200"/>
      <w:jc w:val="both"/>
      <w:rPr>
        <w:rFonts w:ascii="方正仿宋_GBK" w:hAnsi="方正仿宋_GBK" w:eastAsia="方正仿宋_GBK" w:cs="方正仿宋_GBK"/>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580" w:lineRule="exact"/>
      <w:ind w:firstLine="360" w:firstLineChars="200"/>
      <w:jc w:val="both"/>
      <w:rPr>
        <w:rFonts w:ascii="方正仿宋_GBK" w:hAnsi="方正仿宋_GBK" w:eastAsia="方正仿宋_GBK" w:cs="方正仿宋_GBK"/>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580" w:lineRule="exact"/>
      <w:ind w:firstLine="360" w:firstLineChars="200"/>
      <w:jc w:val="both"/>
      <w:rPr>
        <w:rFonts w:ascii="方正仿宋_GBK" w:hAnsi="方正仿宋_GBK" w:eastAsia="方正仿宋_GBK" w:cs="方正仿宋_GBK"/>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B4406"/>
    <w:rsid w:val="798B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479" w:right="480"/>
      <w:jc w:val="center"/>
      <w:outlineLvl w:val="1"/>
    </w:pPr>
    <w:rPr>
      <w:rFonts w:ascii="方正小标宋_GBK" w:hAnsi="方正小标宋_GBK" w:eastAsia="方正小标宋_GBK" w:cs="方正小标宋_GBK"/>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2022-05-23T02:49:00Z</dcterms:created>
  <dc:creator>pc</dc:creator>
  <cp:lastModifiedBy>pc</cp:lastModifiedBy>
  <dcterms:modified xsi:type="dcterms:W3CDTF">2022-05-23T02:52:22Z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