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Times New Roman" w:eastAsia="方正黑体_GBK" w:cs="Times New Roman"/>
          <w:sz w:val="32"/>
          <w:szCs w:val="32"/>
          <w:lang w:val="en-US" w:eastAsia="zh-CN"/>
        </w:rPr>
      </w:pPr>
      <w:bookmarkStart w:id="0" w:name="_GoBack"/>
      <w:r>
        <w:rPr>
          <w:rFonts w:hint="eastAsia" w:ascii="方正黑体_GBK" w:hAnsi="Times New Roman" w:eastAsia="方正黑体_GBK" w:cs="Times New Roman"/>
          <w:sz w:val="32"/>
          <w:szCs w:val="32"/>
          <w:lang w:val="en-US" w:eastAsia="zh-CN"/>
        </w:rPr>
        <w:t>附件2：</w:t>
      </w:r>
    </w:p>
    <w:bookmarkEnd w:id="0"/>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bCs/>
          <w:kern w:val="2"/>
          <w:sz w:val="44"/>
          <w:szCs w:val="44"/>
          <w:lang w:val="en-US" w:eastAsia="zh-CN" w:bidi="ar"/>
        </w:rPr>
        <w:t>重庆市大足区科普基地创建及管理</w:t>
      </w:r>
      <w:r>
        <w:rPr>
          <w:rFonts w:hint="eastAsia" w:ascii="方正小标宋_GBK" w:hAnsi="方正小标宋_GBK" w:eastAsia="方正小标宋_GBK" w:cs="方正小标宋_GBK"/>
          <w:kern w:val="2"/>
          <w:sz w:val="44"/>
          <w:szCs w:val="44"/>
          <w:lang w:val="en-US" w:eastAsia="zh-CN" w:bidi="ar"/>
        </w:rPr>
        <w:t>办法</w:t>
      </w:r>
    </w:p>
    <w:p>
      <w:pPr>
        <w:pStyle w:val="2"/>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beforeAutospacing="0" w:afterAutospacing="0" w:line="594"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调动全社会力量参与科普工作的积极性，加强科普阵地建设、提升区域科普能力、弘扬科学精神、普及科学知识，根据《重庆市科普基地创建及管理办法》（渝府办发〔2015〕185号）和《重庆市科学技术普及条例》的有关规定，结合我区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重庆市大足区科普基地（以下简称“科普基地”）是开展社会性、群众性、经常性科普活动的有效平台，主要面向社会公众开放，是普及科学技术知识、倡导科学方法、弘扬科学精神、传播科学思想的重要场所，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由区科技局具体负责科普基地的创建、命名、发展、管理及评估等工作。</w:t>
      </w:r>
    </w:p>
    <w:p>
      <w:pPr>
        <w:pStyle w:val="2"/>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lang w:val="en-US" w:eastAsia="zh-CN"/>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第二章  分类和条件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科普基地按照自身功能，分为场馆类、人文自然类、科研教育类、生产示范类、传媒类、研发创作类等6个类别。不同类别的科普基地，均实行定量评价与定性评价相结合的方式，按类别申报和创建。</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申报科普基地的机构或组织应具备以下基本条件：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（一）在大足区管理范围内登记或注册的法人单位，或受法人单位正式委托，能独立开展科普活动的单位。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（二）在全区同行业中具有先进的科普展示水平、科学技术知识传播能力、科普创作能力、展品研发能力，并具有较强示范、带动和辐射作用。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（三）有具体的工作部门和完善的管理制度，有年度科普工作计划和中长期科普工作规划。</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（四）具有稳定的经费来源，科普经费列入单位年度预算，能保证科普活动的正常开展。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（五）具备与开展科普工作相匹配的资源、设施、场所等条件。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（六）专(兼)职科普工作者不少于2名。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（七）具备一定的开展对外科普合作与交流能力。</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（八）接受区科技局的指导和下达的科普工作任务。</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（九）近2年累计组织开展3次及以上科普活动。</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场馆类科普基地是指长期稳定面向公众开展科普活动的场所。申报场馆类科普基地的机构或组织除具备科普基地基本条件外，还应具备以下条件：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（一）科普场馆的建筑面积在400平方米以上，展厅面积占场馆建筑面积50%以上，并具备与展厅条件相匹配的科普设施和器材。</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250天，每年实行优惠或免费开放的天数不少于30天（含法定节假日），在科技活动周、全国科普日等重点科普活动期间对公众实行优惠或免费开放，并公布开放的具体日期和活动内容。</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（三）具备与场馆面积、展品数量、参观人次相应的科普讲解和指导人员，原则上不少于2名。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（四）具有科普活动策划、组织及执行能力，并能利用多种手段和载体开展科普活动。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人文自然类科普基地是指具有科普资源的游览场所。如动物园、植物园、自然保护区、文化保护地、旅游景点、人文景观等。申报人文自然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（一）具备与旅游参观线路相匹配的科普旅游观光导览、导视系统，能够通过文字、图片、实物、互动视频等形式展示景区内的科普元素。</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（二）配备3名以上专(兼)职科普导游，并配以专门的科普导游词（解说词）。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科研教育类科普基地是指针对科研机构、高等院校、医院等开展科普宣传示范活动的场所。申报科研教育类科普基地的机构或组织除具备科普基地基本条件外，还应具备以下条件：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（一）由相关行政管理部门批准成立，并设有专门从事科普教育培训的部门。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（二）专职教育培训人员不少于3名，并聘任一定数量的客座专家等兼职培训人员。</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（三）具备一定规模的用于科普教育培训的固定场所及设施设备，具有明确的工作目标和任务。</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（四）拥有主题内容明确、形式多样的科普展教资源。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生产示范类科普基地是指科技型企业、生产现场、大型工程技术设施场所、农业科技园区、科技种植养殖示范基地等。申报生产示范类科普基地的机构或组织除具备科普基地基本条件外，还应具备以下条件：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（一）场所面积在1000平方米以上，展厅面积200平方米以上。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（二）每年向公众开放的天数不少于100天。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（三）配备科普讲解和管理人员，原则上不少于2名</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传媒类科普基地是指具有全区覆盖能力，以电子媒介、印刷媒介等为载体，具备开展科普工作能力的机构。申报传媒类科普基地的机构或组织除具备科普基地基本条件外，还应具备以下条件：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（一）具备主管部门批准的传媒资质。</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（二）具有一定数量的广播、电视、网站、书籍等科普栏目或科普出版物。</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（三）设有专门从事科普内容策划、制作、编辑等业务的部门，配有5名以上的专（兼）职人员。</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（四）有固定的栏目或版面开展传播创新文化、报道科技新闻、普及科技知识、宣传科技成果、举办科普活动、解读科技政策等相关内容宣传。</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研发创作类科普基地是指专门从事用于科普活动的设备、作品、教育等科普产品研发和原创性科普作品创作、科普创意策划的机构。申报研发创作类科普基地的机构或组织除具备科普基地基本条件外，还应具备以下条件：</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（一）具有明确的科普产品研究开发、创作方向和年度研究开发、创作计划。</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（二）每年投入的科普产品研究开发经费应不低于本单位研发费用的20%。</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（三）具有固定从事科普研发与创作工作的队伍，其中专职人员不少于2名。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（四）具有固定的场所、仪器设备及其他必需的研发条件。</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（五）具有相应的研发产品投入科普活动。</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第三章  创建与申报</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有申报意向的机构、组织等应在申报通知规定的期限内向区科技局提交相应申报材料。</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申报科普基地的机构或组织应提交以下材料，并保证材料的真实性和准确性：</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（一）《重庆市大足区科普基地申报表》一式两份。</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（二）单位法人证书或营业执照及相关资质的证明材料。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（三）场地设施、仪器设备等证明材料。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（四）人员资质、学历等证明材料。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（五）近两年开展各类科普活动或从事科普工作原始档案等相关证明材料。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（六）科普工作管理制度和科普工作年度计划。</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（七）申报单位认为需要提交的其他材料。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 评审与命名</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区科技局组织人员对申报的科普基地进行评审，评审分为资格审查、现场考察、综合评议三个阶段，并提出年度科普基地建议名单（以下简称“建议名单”）。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建议名单经区科技局审定后形成年度科普基地拟认定名单（以下简称“拟认定名单”）。拟认定名单向社会公示，公示期不少于7个工作日。</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公示无异议的，由区科技局正式命名为“重庆市大足区科普基地”。公示期间，对拟认定名单持有异议的单位和个人，应以书面形式向区科技局提出，区科技局调查核实后作出决定。</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第五章  建设与发展</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科普基地应当遵守相关政策法规和社会准则，完善组织机构及工作制度，不断加强自身能力建设，积极组织开展科普活动，参加科技活动周、全国科普日等重大主题活动，主动做好信息报送和宣传推广工作。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科普基地的管理单位应当加大投入，为科普基地开展科普工作提供支撑和保障。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区科技局对科普基地申报的科普项目择优进行支持，同时择优推荐申报重庆市科普基地。</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第六章  管理与评估</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自觉接受区科技局的指导，实行“竞争入选、达标认定、定期评估、不合格淘汰”的动态管理机制。科普基地每年向主管单位和区科技局报送科普工作计划及工作总结。区科技局对科普基地开展科普工作情况进行年度评估考核，对考核结果不合格的科普基地提出整改意见并指导其在规定期限内完成整改工作。</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有下列情况之一的，取消“重庆市大足区科普基地”称号：</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（一）连续两年考核结果为不合格的。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（二）有损害公众利益的行为，经指出后仍不整改的。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（三）经专项评估不符合科普基地命名条件的。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（四）有违纪违法行为的。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（五）不接受区科技局的业务指导和科普任务，或未向区科技局提交年度工作计划和总结的。</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（六）科普基地发生重大变化且变化后不符合本办法规定条件的。</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 以上科普基地创建条件中有关人员配备的标准，不作为事业单位编制核定的依据。</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本办法自</w:t>
      </w:r>
      <w:r>
        <w:rPr>
          <w:rFonts w:hint="eastAsia" w:ascii="方正仿宋_GBK" w:hAnsi="方正仿宋_GBK" w:eastAsia="方正仿宋_GBK" w:cs="方正仿宋_GBK"/>
          <w:color w:val="333333"/>
          <w:kern w:val="0"/>
          <w:sz w:val="32"/>
          <w:szCs w:val="32"/>
          <w:shd w:val="clear" w:color="auto" w:fill="FFFFFF"/>
          <w:lang w:val="en-US" w:eastAsia="zh-CN" w:bidi="ar"/>
        </w:rPr>
        <w:t>2023年5月1日</w:t>
      </w:r>
      <w:r>
        <w:rPr>
          <w:rFonts w:hint="eastAsia" w:ascii="方正仿宋_GBK" w:hAnsi="方正仿宋_GBK" w:eastAsia="方正仿宋_GBK" w:cs="方正仿宋_GBK"/>
          <w:kern w:val="0"/>
          <w:sz w:val="32"/>
          <w:szCs w:val="32"/>
          <w:shd w:val="clear" w:color="auto" w:fill="FFFFFF"/>
          <w:lang w:val="en-US" w:eastAsia="zh-CN" w:bidi="ar-SA"/>
        </w:rPr>
        <w:t>起施行</w:t>
      </w:r>
      <w:r>
        <w:rPr>
          <w:rFonts w:hint="eastAsia" w:ascii="方正仿宋_GBK" w:hAnsi="方正仿宋_GBK" w:eastAsia="方正仿宋_GBK" w:cs="方正仿宋_GBK"/>
          <w:color w:val="333333"/>
          <w:kern w:val="0"/>
          <w:sz w:val="32"/>
          <w:szCs w:val="32"/>
          <w:shd w:val="clear" w:color="auto" w:fill="FFFFFF"/>
          <w:lang w:val="en-US" w:eastAsia="zh-CN" w:bidi="ar"/>
        </w:rPr>
        <w:t>。</w:t>
      </w:r>
    </w:p>
    <w:p>
      <w:pPr>
        <w:pStyle w:val="8"/>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widowControl w:val="0"/>
        <w:suppressLineNumbers w:val="0"/>
        <w:tabs>
          <w:tab w:val="left" w:pos="7839"/>
        </w:tabs>
        <w:kinsoku/>
        <w:wordWrap/>
        <w:overflowPunct/>
        <w:topLinePunct w:val="0"/>
        <w:autoSpaceDE w:val="0"/>
        <w:autoSpaceDN/>
        <w:bidi w:val="0"/>
        <w:adjustRightInd/>
        <w:snapToGrid/>
        <w:spacing w:before="0" w:beforeAutospacing="0" w:after="0" w:afterAutospacing="0" w:line="594" w:lineRule="exact"/>
        <w:ind w:right="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附件：重庆市大足区科普基地申报表</w:t>
      </w:r>
    </w:p>
    <w:p>
      <w:pPr>
        <w:pStyle w:val="2"/>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3"/>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3"/>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3"/>
        <w:ind w:left="0" w:leftChars="0" w:firstLine="0" w:firstLineChars="0"/>
        <w:rPr>
          <w:rFonts w:hint="eastAsia" w:ascii="方正仿宋_GBK" w:hAnsi="方正仿宋_GBK" w:eastAsia="方正仿宋_GBK" w:cs="方正仿宋_GBK"/>
          <w:color w:val="333333"/>
          <w:kern w:val="0"/>
          <w:sz w:val="32"/>
          <w:szCs w:val="32"/>
          <w:shd w:val="clear" w:color="auto" w:fill="FFFFFF"/>
          <w:lang w:val="en-US" w:eastAsia="zh-CN" w:bidi="ar"/>
        </w:rPr>
      </w:pPr>
    </w:p>
    <w:p>
      <w:pPr>
        <w:rPr>
          <w:rFonts w:ascii="方正仿宋_GBK"/>
          <w:spacing w:val="-12"/>
          <w:sz w:val="32"/>
          <w:szCs w:val="32"/>
        </w:rPr>
      </w:pPr>
      <w:r>
        <w:rPr>
          <w:rFonts w:hint="eastAsia" w:ascii="方正黑体_GBK" w:eastAsia="方正黑体_GBK"/>
          <w:sz w:val="32"/>
          <w:szCs w:val="32"/>
        </w:rPr>
        <w:t>附件</w:t>
      </w:r>
    </w:p>
    <w:p>
      <w:pPr>
        <w:jc w:val="center"/>
        <w:rPr>
          <w:rFonts w:hint="eastAsia" w:ascii="黑体" w:eastAsia="黑体"/>
          <w:sz w:val="30"/>
          <w:szCs w:val="30"/>
        </w:rPr>
      </w:pPr>
    </w:p>
    <w:p>
      <w:pPr>
        <w:jc w:val="center"/>
        <w:rPr>
          <w:rFonts w:hint="eastAsia" w:ascii="方正小标宋_GBK" w:eastAsia="方正小标宋_GBK"/>
          <w:sz w:val="52"/>
          <w:szCs w:val="52"/>
          <w:lang w:eastAsia="zh-CN"/>
        </w:rPr>
      </w:pPr>
      <w:r>
        <w:rPr>
          <w:rFonts w:hint="eastAsia" w:ascii="方正小标宋_GBK" w:eastAsia="方正小标宋_GBK"/>
          <w:sz w:val="52"/>
          <w:szCs w:val="52"/>
        </w:rPr>
        <w:t>重庆市</w:t>
      </w:r>
      <w:r>
        <w:rPr>
          <w:rFonts w:hint="eastAsia" w:ascii="方正小标宋_GBK" w:eastAsia="方正小标宋_GBK"/>
          <w:sz w:val="52"/>
          <w:szCs w:val="52"/>
          <w:lang w:val="en-US" w:eastAsia="zh-CN"/>
        </w:rPr>
        <w:t>大足区</w:t>
      </w:r>
      <w:r>
        <w:rPr>
          <w:rFonts w:hint="eastAsia" w:ascii="方正小标宋_GBK" w:eastAsia="方正小标宋_GBK"/>
          <w:sz w:val="52"/>
          <w:szCs w:val="52"/>
        </w:rPr>
        <w:t>科普基地申报表</w:t>
      </w:r>
    </w:p>
    <w:p>
      <w:pPr>
        <w:jc w:val="center"/>
        <w:rPr>
          <w:rFonts w:hint="eastAsia" w:ascii="方正楷体_GBK" w:eastAsia="方正楷体_GBK"/>
          <w:sz w:val="30"/>
          <w:szCs w:val="30"/>
        </w:rPr>
      </w:pPr>
      <w:r>
        <w:rPr>
          <w:rFonts w:hint="eastAsia" w:ascii="方正楷体_GBK" w:hAnsi="宋体" w:eastAsia="方正楷体_GBK"/>
          <w:sz w:val="30"/>
          <w:szCs w:val="30"/>
        </w:rPr>
        <w:t>（</w:t>
      </w:r>
      <w:r>
        <w:rPr>
          <w:rFonts w:hint="eastAsia" w:ascii="方正楷体_GBK" w:hAnsi="宋体" w:eastAsia="方正楷体_GBK"/>
          <w:sz w:val="30"/>
          <w:szCs w:val="30"/>
          <w:u w:val="single"/>
        </w:rPr>
        <w:t xml:space="preserve">         </w:t>
      </w:r>
      <w:r>
        <w:rPr>
          <w:rFonts w:hint="eastAsia" w:ascii="方正楷体_GBK" w:hAnsi="宋体" w:eastAsia="方正楷体_GBK"/>
          <w:sz w:val="30"/>
          <w:szCs w:val="30"/>
        </w:rPr>
        <w:t>类科普基地）</w:t>
      </w:r>
    </w:p>
    <w:p>
      <w:pPr>
        <w:jc w:val="center"/>
        <w:rPr>
          <w:rFonts w:hint="eastAsia" w:ascii="黑体" w:eastAsia="黑体"/>
          <w:sz w:val="30"/>
          <w:szCs w:val="30"/>
        </w:rPr>
      </w:pPr>
    </w:p>
    <w:p>
      <w:pPr>
        <w:ind w:firstLine="630" w:firstLineChars="300"/>
        <w:rPr>
          <w:rFonts w:hint="eastAsia" w:ascii="方正仿宋_GBK"/>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基地名称： </w:t>
      </w:r>
      <w:r>
        <w:rPr>
          <w:rFonts w:hint="eastAsia" w:ascii="方正仿宋_GBK" w:hAnsi="方正仿宋_GBK" w:eastAsia="方正仿宋_GBK" w:cs="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申报单位： </w:t>
      </w:r>
      <w:r>
        <w:rPr>
          <w:rFonts w:hint="eastAsia" w:ascii="方正仿宋_GBK" w:hAnsi="方正仿宋_GBK" w:eastAsia="方正仿宋_GBK" w:cs="方正仿宋_GBK"/>
          <w:color w:val="000000"/>
          <w:sz w:val="32"/>
          <w:szCs w:val="32"/>
          <w:u w:val="single"/>
        </w:rPr>
        <w:t xml:space="preserve">                     （公章）</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负 责 人： </w:t>
      </w:r>
      <w:r>
        <w:rPr>
          <w:rFonts w:hint="eastAsia" w:ascii="方正仿宋_GBK" w:hAnsi="方正仿宋_GBK" w:eastAsia="方正仿宋_GBK" w:cs="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主管单位： </w:t>
      </w:r>
      <w:r>
        <w:rPr>
          <w:rFonts w:hint="eastAsia" w:ascii="方正仿宋_GBK" w:hAnsi="方正仿宋_GBK" w:eastAsia="方正仿宋_GBK" w:cs="方正仿宋_GBK"/>
          <w:color w:val="000000"/>
          <w:sz w:val="32"/>
          <w:szCs w:val="32"/>
          <w:u w:val="single"/>
        </w:rPr>
        <w:t xml:space="preserve">                     （公章）</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申报日期： </w:t>
      </w:r>
      <w:r>
        <w:rPr>
          <w:rFonts w:hint="eastAsia" w:ascii="方正仿宋_GBK" w:hAnsi="方正仿宋_GBK" w:eastAsia="方正仿宋_GBK" w:cs="方正仿宋_GBK"/>
          <w:color w:val="000000"/>
          <w:sz w:val="32"/>
          <w:szCs w:val="32"/>
          <w:u w:val="single"/>
        </w:rPr>
        <w:t xml:space="preserve">                         　　</w:t>
      </w:r>
    </w:p>
    <w:p>
      <w:pPr>
        <w:jc w:val="center"/>
        <w:rPr>
          <w:rFonts w:hint="eastAsia" w:ascii="黑体" w:eastAsia="黑体"/>
          <w:sz w:val="30"/>
          <w:szCs w:val="30"/>
        </w:rPr>
      </w:pPr>
    </w:p>
    <w:p>
      <w:pPr>
        <w:jc w:val="both"/>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r>
        <w:rPr>
          <w:rFonts w:hint="eastAsia" w:ascii="方正黑体_GBK" w:eastAsia="方正黑体_GBK"/>
          <w:sz w:val="30"/>
          <w:szCs w:val="30"/>
        </w:rPr>
        <w:t>重庆市</w:t>
      </w:r>
      <w:r>
        <w:rPr>
          <w:rFonts w:hint="eastAsia" w:ascii="方正黑体_GBK" w:eastAsia="方正黑体_GBK"/>
          <w:sz w:val="30"/>
          <w:szCs w:val="30"/>
          <w:lang w:val="en-US" w:eastAsia="zh-CN"/>
        </w:rPr>
        <w:t>大足区</w:t>
      </w:r>
      <w:r>
        <w:rPr>
          <w:rFonts w:hint="eastAsia" w:ascii="方正黑体_GBK" w:eastAsia="方正黑体_GBK"/>
          <w:sz w:val="30"/>
          <w:szCs w:val="30"/>
        </w:rPr>
        <w:t>科学技术局 制</w:t>
      </w:r>
    </w:p>
    <w:p>
      <w:pPr>
        <w:jc w:val="center"/>
        <w:rPr>
          <w:rFonts w:hint="eastAsia" w:ascii="方正黑体_GBK" w:eastAsia="方正黑体_GBK"/>
          <w:sz w:val="30"/>
          <w:szCs w:val="30"/>
        </w:rPr>
      </w:pPr>
      <w:r>
        <w:rPr>
          <w:rFonts w:hint="eastAsia" w:ascii="方正黑体_GBK" w:eastAsia="方正黑体_GBK"/>
          <w:sz w:val="30"/>
          <w:szCs w:val="30"/>
        </w:rPr>
        <w:t>二○二</w:t>
      </w:r>
      <w:r>
        <w:rPr>
          <w:rFonts w:hint="eastAsia" w:ascii="方正黑体_GBK" w:eastAsia="方正黑体_GBK"/>
          <w:sz w:val="30"/>
          <w:szCs w:val="30"/>
          <w:lang w:val="en-US" w:eastAsia="zh-CN"/>
        </w:rPr>
        <w:t>三</w:t>
      </w:r>
      <w:r>
        <w:rPr>
          <w:rFonts w:hint="eastAsia" w:ascii="方正黑体_GBK" w:eastAsia="方正黑体_GBK"/>
          <w:sz w:val="30"/>
          <w:szCs w:val="30"/>
        </w:rPr>
        <w:t>年</w:t>
      </w:r>
      <w:r>
        <w:rPr>
          <w:rFonts w:hint="eastAsia" w:ascii="方正黑体_GBK" w:eastAsia="方正黑体_GBK"/>
          <w:sz w:val="30"/>
          <w:szCs w:val="30"/>
          <w:lang w:val="en-US" w:eastAsia="zh-CN"/>
        </w:rPr>
        <w:t>三</w:t>
      </w:r>
      <w:r>
        <w:rPr>
          <w:rFonts w:hint="eastAsia" w:ascii="方正黑体_GBK" w:eastAsia="方正黑体_GBK"/>
          <w:sz w:val="30"/>
          <w:szCs w:val="30"/>
        </w:rPr>
        <w:t>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本申报书是重庆市</w:t>
      </w:r>
      <w:r>
        <w:rPr>
          <w:rFonts w:hint="eastAsia" w:ascii="方正仿宋_GBK" w:hAnsi="方正仿宋_GBK" w:eastAsia="方正仿宋_GBK" w:cs="方正仿宋_GBK"/>
          <w:sz w:val="32"/>
          <w:szCs w:val="32"/>
          <w:lang w:val="en-US" w:eastAsia="zh-CN"/>
        </w:rPr>
        <w:t>大足区</w:t>
      </w:r>
      <w:r>
        <w:rPr>
          <w:rFonts w:hint="eastAsia" w:ascii="方正仿宋_GBK" w:hAnsi="方正仿宋_GBK" w:eastAsia="方正仿宋_GBK" w:cs="方正仿宋_GBK"/>
          <w:sz w:val="32"/>
          <w:szCs w:val="32"/>
        </w:rPr>
        <w:t>科普基地认定的重要依据。所列各条内容，必须实事求是，逐条认真填写，表达要明确、严谨，并提供真实而必要的证明材料。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二、申报单位请明确自身所申报的科普基地类型。不符合《重庆市</w:t>
      </w:r>
      <w:r>
        <w:rPr>
          <w:rFonts w:hint="eastAsia" w:ascii="方正仿宋_GBK" w:hAnsi="方正仿宋_GBK" w:eastAsia="方正仿宋_GBK" w:cs="方正仿宋_GBK"/>
          <w:sz w:val="32"/>
          <w:szCs w:val="32"/>
          <w:lang w:val="en-US" w:eastAsia="zh-CN"/>
        </w:rPr>
        <w:t>大足区</w:t>
      </w:r>
      <w:r>
        <w:rPr>
          <w:rFonts w:hint="eastAsia" w:ascii="方正仿宋_GBK" w:hAnsi="方正仿宋_GBK" w:eastAsia="方正仿宋_GBK" w:cs="方正仿宋_GBK"/>
          <w:sz w:val="32"/>
          <w:szCs w:val="32"/>
        </w:rPr>
        <w:t>科普基地创建及管理办法》要求的单位，不予受理。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三、填写内容涉及到外文名称，要写清全称和缩写字母，并标注规范的中文翻译。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四、请从</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科技局官网下载本申报书电子表格，按照表格格式和要求填写，不得自行改变版式，取消和增加条目。</w:t>
      </w:r>
    </w:p>
    <w:p>
      <w:pPr>
        <w:rPr>
          <w:rFonts w:hint="eastAsia" w:ascii="方正仿宋_GBK" w:hAnsi="方正仿宋_GBK" w:cs="方正仿宋_GBK"/>
          <w:szCs w:val="32"/>
        </w:rPr>
      </w:pPr>
      <w:r>
        <w:rPr>
          <w:rFonts w:hint="eastAsia" w:ascii="方正仿宋_GBK" w:hAnsi="方正仿宋_GBK" w:cs="方正仿宋_GBK"/>
          <w:szCs w:val="32"/>
        </w:rPr>
        <w:t xml:space="preserve">  </w:t>
      </w:r>
    </w:p>
    <w:p>
      <w:pPr>
        <w:ind w:firstLine="420" w:firstLineChars="200"/>
        <w:rPr>
          <w:rFonts w:hint="eastAsia" w:ascii="方正仿宋_GBK"/>
          <w:sz w:val="32"/>
          <w:szCs w:val="32"/>
        </w:rPr>
      </w:pPr>
      <w:r>
        <w:rPr>
          <w:rFonts w:ascii="方正黑体_GBK" w:eastAsia="方正黑体_GBK"/>
          <w:szCs w:val="32"/>
        </w:rPr>
        <w:br w:type="page"/>
      </w:r>
      <w:r>
        <w:rPr>
          <w:rFonts w:hint="eastAsia" w:ascii="方正黑体_GBK" w:eastAsia="方正黑体_GBK"/>
          <w:bCs/>
          <w:color w:val="000000"/>
          <w:sz w:val="32"/>
          <w:szCs w:val="32"/>
        </w:rPr>
        <w:t>一、基本情况</w:t>
      </w:r>
    </w:p>
    <w:tbl>
      <w:tblPr>
        <w:tblStyle w:val="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88"/>
        <w:gridCol w:w="1567"/>
        <w:gridCol w:w="1995"/>
        <w:gridCol w:w="128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6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科普基地名称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w:t>
            </w:r>
          </w:p>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w:t>
            </w:r>
          </w:p>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信息</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申报类别</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依托单位名称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单位地址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单位性质</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事业单位□    企业单位□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主营业务</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单位负责人</w:t>
            </w:r>
          </w:p>
        </w:tc>
        <w:tc>
          <w:tcPr>
            <w:tcW w:w="35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联系方式</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单位网址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联系人信息</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  名</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  话</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手  机</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  真</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邮  箱</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邮  编</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单位年收入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情况</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财政拨款</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经营收入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其他收入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年科普投入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情况</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财政经费</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其他投入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892"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申报单位简介及近年来科普工作介绍</w:t>
            </w:r>
          </w:p>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（300字以内）</w:t>
            </w:r>
          </w:p>
        </w:tc>
        <w:tc>
          <w:tcPr>
            <w:tcW w:w="6439" w:type="dxa"/>
            <w:gridSpan w:val="4"/>
            <w:tcBorders>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主管部门信息</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单位地址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92"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8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r>
    </w:tbl>
    <w:p>
      <w:pPr>
        <w:ind w:firstLine="640" w:firstLineChars="200"/>
        <w:rPr>
          <w:rFonts w:hint="eastAsia" w:ascii="方正黑体_GBK" w:eastAsia="方正黑体_GBK"/>
          <w:bCs/>
          <w:color w:val="000000"/>
          <w:sz w:val="32"/>
          <w:szCs w:val="32"/>
        </w:rPr>
      </w:pPr>
      <w:r>
        <w:rPr>
          <w:rFonts w:hint="eastAsia" w:ascii="方正黑体_GBK" w:eastAsia="方正黑体_GBK"/>
          <w:bCs/>
          <w:color w:val="000000"/>
          <w:sz w:val="32"/>
          <w:szCs w:val="32"/>
        </w:rPr>
        <w:t>二、资源与能力状况</w:t>
      </w:r>
    </w:p>
    <w:tbl>
      <w:tblPr>
        <w:tblStyle w:val="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载体与资源情况（科普资源数量、质量及特色）</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场地条件、工作平台、设施设备、文化氛围、开放情况等</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及队伍</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w:t>
            </w:r>
          </w:p>
          <w:p>
            <w:pPr>
              <w:snapToGrid w:val="0"/>
              <w:jc w:val="center"/>
              <w:rPr>
                <w:rFonts w:ascii="方正仿宋_GBK"/>
                <w:sz w:val="24"/>
                <w:szCs w:val="24"/>
              </w:rPr>
            </w:pPr>
            <w:r>
              <w:rPr>
                <w:rFonts w:hint="eastAsia" w:ascii="方正仿宋_GBK" w:hAnsi="方正仿宋_GBK" w:eastAsia="方正仿宋_GBK" w:cs="方正仿宋_GBK"/>
                <w:sz w:val="24"/>
                <w:szCs w:val="24"/>
              </w:rPr>
              <w:t>创新能力</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rPr>
          <w:rFonts w:hint="eastAsia" w:ascii="方正黑体_GBK" w:eastAsia="方正黑体_GBK"/>
          <w:bCs/>
          <w:color w:val="000000"/>
          <w:szCs w:val="32"/>
        </w:rPr>
      </w:pPr>
      <w:r>
        <w:br w:type="page"/>
      </w:r>
      <w:r>
        <w:rPr>
          <w:rFonts w:hint="eastAsia" w:ascii="方正黑体_GBK" w:eastAsia="方正黑体_GBK"/>
          <w:bCs/>
          <w:color w:val="000000"/>
          <w:sz w:val="32"/>
          <w:szCs w:val="32"/>
        </w:rPr>
        <w:t>三、科普工作综合绩效及规划</w:t>
      </w:r>
    </w:p>
    <w:tbl>
      <w:tblPr>
        <w:tblStyle w:val="9"/>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1"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sz w:val="24"/>
                <w:szCs w:val="24"/>
              </w:rPr>
              <w:t xml:space="preserve"> </w:t>
            </w:r>
            <w:r>
              <w:rPr>
                <w:rFonts w:hint="eastAsia" w:ascii="方正仿宋_GBK" w:hAnsi="方正仿宋_GBK" w:eastAsia="方正仿宋_GBK" w:cs="方正仿宋_GBK"/>
                <w:sz w:val="24"/>
                <w:szCs w:val="24"/>
              </w:rPr>
              <w:t>科普工作综合绩效(科普活动开展情况、科普研发创作情况、面向公众开放程度、科普效果及经济和社会效益</w:t>
            </w:r>
            <w:r>
              <w:rPr>
                <w:rFonts w:hint="eastAsia" w:ascii="方正仿宋_GBK"/>
                <w:sz w:val="24"/>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8"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hAnsi="方正仿宋_GBK" w:eastAsia="方正仿宋_GBK" w:cs="方正仿宋_GBK"/>
                <w:sz w:val="24"/>
                <w:szCs w:val="24"/>
              </w:rPr>
              <w:t>科普工作规划及相关工作制度</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ind w:firstLine="640" w:firstLineChars="200"/>
        <w:rPr>
          <w:rFonts w:hint="eastAsia" w:ascii="方正黑体_GBK" w:eastAsia="方正黑体_GBK"/>
          <w:bCs/>
          <w:color w:val="000000"/>
          <w:sz w:val="32"/>
          <w:szCs w:val="32"/>
        </w:rPr>
      </w:pPr>
      <w:r>
        <w:rPr>
          <w:rFonts w:hint="eastAsia" w:ascii="方正黑体_GBK" w:eastAsia="方正黑体_GBK"/>
          <w:bCs/>
          <w:color w:val="000000"/>
          <w:sz w:val="32"/>
          <w:szCs w:val="32"/>
        </w:rPr>
        <w:t>四、评审认定意见</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4560" w:firstLineChars="19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法人签字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单位盖章</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4560" w:firstLineChars="19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负责人</w:t>
            </w:r>
            <w:r>
              <w:rPr>
                <w:rFonts w:hint="eastAsia" w:ascii="方正仿宋_GBK" w:hAnsi="方正仿宋_GBK" w:eastAsia="方正仿宋_GBK" w:cs="方正仿宋_GBK"/>
                <w:sz w:val="24"/>
                <w:szCs w:val="24"/>
              </w:rPr>
              <w:t>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单位盖章</w:t>
            </w: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区科技局（党组）</w:t>
            </w:r>
            <w:r>
              <w:rPr>
                <w:rFonts w:hint="eastAsia" w:ascii="方正仿宋_GBK" w:hAnsi="方正仿宋_GBK" w:eastAsia="方正仿宋_GBK" w:cs="方正仿宋_GBK"/>
                <w:sz w:val="24"/>
              </w:rPr>
              <w:t>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5040" w:firstLineChars="21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负责人</w:t>
            </w:r>
            <w:r>
              <w:rPr>
                <w:rFonts w:hint="eastAsia" w:ascii="方正仿宋_GBK" w:hAnsi="方正仿宋_GBK" w:eastAsia="方正仿宋_GBK" w:cs="方正仿宋_GBK"/>
                <w:sz w:val="24"/>
                <w:szCs w:val="24"/>
              </w:rPr>
              <w:t>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单位盖章</w:t>
            </w:r>
          </w:p>
          <w:p>
            <w:pPr>
              <w:snapToGrid w:val="0"/>
              <w:spacing w:line="288" w:lineRule="auto"/>
              <w:rPr>
                <w:rFonts w:ascii="仿宋_GB2312" w:eastAsia="仿宋_GB2312"/>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tabs>
          <w:tab w:val="left" w:pos="640"/>
        </w:tabs>
        <w:bidi w:val="0"/>
        <w:jc w:val="left"/>
        <w:rPr>
          <w:rFonts w:hint="eastAsia"/>
          <w:lang w:val="en-US" w:eastAsia="zh-CN"/>
        </w:rPr>
        <w:sectPr>
          <w:headerReference r:id="rId3" w:type="default"/>
          <w:footerReference r:id="rId4" w:type="default"/>
          <w:pgSz w:w="11906" w:h="16838"/>
          <w:pgMar w:top="1984" w:right="1446" w:bottom="1644" w:left="1446" w:header="851" w:footer="992" w:gutter="0"/>
          <w:pgNumType w:fmt="numberInDash" w:start="1"/>
          <w:cols w:space="0" w:num="1"/>
          <w:rtlGutter w:val="0"/>
          <w:docGrid w:type="lines" w:linePitch="316" w:charSpace="0"/>
        </w:sectPr>
      </w:pPr>
    </w:p>
    <w:p>
      <w:pPr>
        <w:bidi w:val="0"/>
        <w:jc w:val="left"/>
        <w:rPr>
          <w:rFonts w:hint="eastAsia" w:asciiTheme="minorHAnsi" w:hAnsiTheme="minorHAnsi" w:eastAsiaTheme="minorEastAsia" w:cstheme="minorBidi"/>
          <w:kern w:val="2"/>
          <w:sz w:val="21"/>
          <w:szCs w:val="24"/>
          <w:lang w:val="en-US"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rFonts w:hint="eastAsia"/>
        <w:color w:val="FAFAFA"/>
        <w:sz w:val="32"/>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jUyYTc3OGE0NmI0NzIwZmI3OGI2YWIyN2ViYzcifQ=="/>
    <w:docVar w:name="KSO_WPS_MARK_KEY" w:val="fcb2a579-5527-4494-a4fa-e45798dc61de"/>
  </w:docVars>
  <w:rsids>
    <w:rsidRoot w:val="00172A27"/>
    <w:rsid w:val="019E71BD"/>
    <w:rsid w:val="01E93D58"/>
    <w:rsid w:val="03E01A69"/>
    <w:rsid w:val="04B679C3"/>
    <w:rsid w:val="0582443C"/>
    <w:rsid w:val="05F07036"/>
    <w:rsid w:val="0698153B"/>
    <w:rsid w:val="06E00104"/>
    <w:rsid w:val="080F63D8"/>
    <w:rsid w:val="0831655F"/>
    <w:rsid w:val="09341458"/>
    <w:rsid w:val="098254C2"/>
    <w:rsid w:val="0A766EDE"/>
    <w:rsid w:val="0AD64BE8"/>
    <w:rsid w:val="0B0912D7"/>
    <w:rsid w:val="0E025194"/>
    <w:rsid w:val="0EEF0855"/>
    <w:rsid w:val="103B0BC0"/>
    <w:rsid w:val="111874E7"/>
    <w:rsid w:val="11DB7C71"/>
    <w:rsid w:val="152D2DCA"/>
    <w:rsid w:val="187168EA"/>
    <w:rsid w:val="196673CA"/>
    <w:rsid w:val="1CF734C9"/>
    <w:rsid w:val="1DEC284C"/>
    <w:rsid w:val="1E6523AC"/>
    <w:rsid w:val="20E35566"/>
    <w:rsid w:val="22440422"/>
    <w:rsid w:val="22BB4BBB"/>
    <w:rsid w:val="25EB1AF4"/>
    <w:rsid w:val="26C13031"/>
    <w:rsid w:val="2DD05FE1"/>
    <w:rsid w:val="2EAE3447"/>
    <w:rsid w:val="2EFF4694"/>
    <w:rsid w:val="31A15F24"/>
    <w:rsid w:val="33D4015C"/>
    <w:rsid w:val="36FB1DF0"/>
    <w:rsid w:val="393E4EBF"/>
    <w:rsid w:val="395347B5"/>
    <w:rsid w:val="39A232A0"/>
    <w:rsid w:val="39E745AA"/>
    <w:rsid w:val="3B5A6BBB"/>
    <w:rsid w:val="3CA154E3"/>
    <w:rsid w:val="3E645F41"/>
    <w:rsid w:val="3EDA13A6"/>
    <w:rsid w:val="3FF56C14"/>
    <w:rsid w:val="417B75E9"/>
    <w:rsid w:val="42430A63"/>
    <w:rsid w:val="42F058B7"/>
    <w:rsid w:val="436109F6"/>
    <w:rsid w:val="441A38D4"/>
    <w:rsid w:val="4504239D"/>
    <w:rsid w:val="45C55974"/>
    <w:rsid w:val="48374F16"/>
    <w:rsid w:val="4BC77339"/>
    <w:rsid w:val="4C9236C5"/>
    <w:rsid w:val="4E250A85"/>
    <w:rsid w:val="4FFD4925"/>
    <w:rsid w:val="505C172E"/>
    <w:rsid w:val="506405EA"/>
    <w:rsid w:val="52F46F0B"/>
    <w:rsid w:val="532B6A10"/>
    <w:rsid w:val="539E4E99"/>
    <w:rsid w:val="53D8014D"/>
    <w:rsid w:val="550C209A"/>
    <w:rsid w:val="55E064E0"/>
    <w:rsid w:val="572C6D10"/>
    <w:rsid w:val="5B9A6411"/>
    <w:rsid w:val="5DC34279"/>
    <w:rsid w:val="5FCD688E"/>
    <w:rsid w:val="5FF9BDAA"/>
    <w:rsid w:val="608816D1"/>
    <w:rsid w:val="60EF4E7F"/>
    <w:rsid w:val="648B0A32"/>
    <w:rsid w:val="658F6764"/>
    <w:rsid w:val="665233C1"/>
    <w:rsid w:val="69AC0D42"/>
    <w:rsid w:val="6A9E48DB"/>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4037</Words>
  <Characters>4072</Characters>
  <Lines>1</Lines>
  <Paragraphs>1</Paragraphs>
  <TotalTime>18</TotalTime>
  <ScaleCrop>false</ScaleCrop>
  <LinksUpToDate>false</LinksUpToDate>
  <CharactersWithSpaces>4675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闻名</cp:lastModifiedBy>
  <cp:lastPrinted>2022-06-06T16:09:00Z</cp:lastPrinted>
  <dcterms:modified xsi:type="dcterms:W3CDTF">2023-05-06T02:21:59Z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D20E80B2BE2F4CEEAAF8D5547A382A54_13</vt:lpwstr>
  </property>
</Properties>
</file>