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宋体" w:eastAsia="方正黑体_GBK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 w:cs="宋体"/>
          <w:b/>
          <w:bCs/>
          <w:color w:val="000000"/>
          <w:kern w:val="0"/>
          <w:sz w:val="32"/>
          <w:szCs w:val="32"/>
          <w:lang w:val="en-US" w:eastAsia="zh-CN"/>
        </w:rPr>
        <w:t>附件3：</w:t>
      </w:r>
    </w:p>
    <w:tbl>
      <w:tblPr>
        <w:tblStyle w:val="2"/>
        <w:tblpPr w:leftFromText="180" w:rightFromText="180" w:vertAnchor="page" w:horzAnchor="page" w:tblpX="1875" w:tblpY="3016"/>
        <w:tblOverlap w:val="never"/>
        <w:tblW w:w="84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330"/>
        <w:gridCol w:w="1629"/>
        <w:gridCol w:w="1162"/>
        <w:gridCol w:w="1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年检结果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重庆市大足迪涛学校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杨  飞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民办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重庆市大足城南中学校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郑海燕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民办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重庆市龙水湖育才中学校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杨汉川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民办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重庆市大足区春晖学校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赵  晓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民办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重庆市大足区世纪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星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杨昌宏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民办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重庆市大足育新学校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周千余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民办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重庆市大足区龙兴小学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龙  伟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民办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重庆市大足区利民学校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何  强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民办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重庆市大足区三新学校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李世清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民办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不合格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（限期整改）</w:t>
            </w:r>
          </w:p>
        </w:tc>
      </w:tr>
    </w:tbl>
    <w:p>
      <w:pPr>
        <w:jc w:val="center"/>
        <w:rPr>
          <w:rFonts w:hint="default" w:ascii="方正黑体_GBK" w:hAnsi="宋体" w:eastAsia="方正黑体_GBK" w:cs="宋体"/>
          <w:b/>
          <w:bCs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-10"/>
          <w:sz w:val="36"/>
          <w:szCs w:val="36"/>
        </w:rPr>
        <w:t>大足区2020</w:t>
      </w: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年民办中小学年检结果表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13"/>
    <w:rsid w:val="004C64E4"/>
    <w:rsid w:val="00FE6213"/>
    <w:rsid w:val="42C116E5"/>
    <w:rsid w:val="45D2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313</Characters>
  <Lines>2</Lines>
  <Paragraphs>1</Paragraphs>
  <TotalTime>3</TotalTime>
  <ScaleCrop>false</ScaleCrop>
  <LinksUpToDate>false</LinksUpToDate>
  <CharactersWithSpaces>366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2021-12-03T08:50:00Z</dcterms:created>
  <dc:creator>xb21cn</dc:creator>
  <cp:lastModifiedBy>蒋昌毅</cp:lastModifiedBy>
  <dcterms:modified xsi:type="dcterms:W3CDTF">2021-12-04T01:41:09Z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8DB26D6D187A4875B569269C405F990E</vt:lpwstr>
  </property>
</Properties>
</file>