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pict>
          <v:shape id="_x0000_s1027" o:spid="_x0000_s1027" o:spt="136" type="#_x0000_t136" style="position:absolute;left:0pt;margin-top:11.3pt;height:53.85pt;width:411pt;mso-position-horizontal:center;z-index:251660288;mso-width-relative:page;mso-height-relative:page;" fillcolor="#FF0000" filled="t" stroked="t" coordsize="21600,21600">
            <v:path/>
            <v:fill on="t" focussize="0,0"/>
            <v:stroke color="#FF0000"/>
            <v:imagedata o:title=""/>
            <o:lock v:ext="edit"/>
            <v:textpath on="t" fitshape="t" fitpath="t" trim="t" xscale="f" string="重庆市大足区教育委员会文件" style="font-family:方正小标宋_GBK;font-size:36pt;font-weight:bold;v-text-align:center;v-text-spacing:62260f;"/>
          </v:shape>
        </w:pic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336" w:lineRule="auto"/>
        <w:jc w:val="center"/>
        <w:rPr>
          <w:rFonts w:ascii="Times New Roman" w:hAnsi="Times New Roman" w:eastAsia="方正仿宋_GBK"/>
          <w:sz w:val="32"/>
          <w:szCs w:val="32"/>
        </w:rPr>
      </w:pPr>
      <w:r>
        <w:rPr>
          <w:rFonts w:hint="eastAsia" w:ascii="Times New Roman" w:hAnsi="Times New Roman" w:eastAsia="方正仿宋_GBK"/>
          <w:sz w:val="32"/>
          <w:szCs w:val="32"/>
        </w:rPr>
        <w:t>大足教发〔</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88</w:t>
      </w:r>
      <w:r>
        <w:rPr>
          <w:rFonts w:hint="eastAsia" w:ascii="Times New Roman" w:hAnsi="Times New Roman" w:eastAsia="方正仿宋_GBK"/>
          <w:sz w:val="32"/>
          <w:szCs w:val="32"/>
        </w:rPr>
        <w:t>号</w:t>
      </w:r>
    </w:p>
    <w:p>
      <w:pPr>
        <w:rPr>
          <w:rFonts w:ascii="Times New Roman" w:hAnsi="Times New Roman"/>
        </w:rPr>
      </w:pPr>
      <w:r>
        <w:rPr>
          <w:rFonts w:hint="eastAsia" w:ascii="Times New Roman" w:hAnsi="Times New Roma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111125</wp:posOffset>
                </wp:positionV>
                <wp:extent cx="5723890" cy="0"/>
                <wp:effectExtent l="13335" t="15875" r="15875" b="12700"/>
                <wp:wrapNone/>
                <wp:docPr id="3" name="Line 2"/>
                <wp:cNvGraphicFramePr/>
                <a:graphic xmlns:a="http://schemas.openxmlformats.org/drawingml/2006/main">
                  <a:graphicData uri="http://schemas.microsoft.com/office/word/2010/wordprocessingShape">
                    <wps:wsp>
                      <wps:cNvCnPr>
                        <a:cxnSpLocks noChangeShapeType="1"/>
                      </wps:cNvCnPr>
                      <wps:spPr bwMode="auto">
                        <a:xfrm flipV="1">
                          <a:off x="0" y="0"/>
                          <a:ext cx="5723890" cy="0"/>
                        </a:xfrm>
                        <a:prstGeom prst="line">
                          <a:avLst/>
                        </a:prstGeom>
                        <a:noFill/>
                        <a:ln w="19812">
                          <a:solidFill>
                            <a:srgbClr val="FF0000"/>
                          </a:solidFill>
                          <a:round/>
                        </a:ln>
                      </wps:spPr>
                      <wps:bodyPr/>
                    </wps:wsp>
                  </a:graphicData>
                </a:graphic>
              </wp:anchor>
            </w:drawing>
          </mc:Choice>
          <mc:Fallback>
            <w:pict>
              <v:line id="Line 2" o:spid="_x0000_s1026" o:spt="20" style="position:absolute;left:0pt;flip:y;margin-top:8.75pt;height:0pt;width:450.7pt;mso-position-horizontal:center;z-index:251659264;mso-width-relative:page;mso-height-relative:page;" filled="f" stroked="t" coordsize="21600,21600" o:gfxdata="UEsDBAoAAAAAAIdO4kAAAAAAAAAAAAAAAAAEAAAAZHJzL1BLAwQUAAAACACHTuJAKYg5+tQAAAAG&#10;AQAADwAAAGRycy9kb3ducmV2LnhtbE2PwU7DMBBE70j8g7WVeqN2ogJtGqcHJCQQcKAg9erG2zhq&#10;vI5iNw1/zyIOcJyZ1czbcjv5Tow4xDaQhmyhQCDVwbbUaPj8eLxZgYjJkDVdINTwhRG21fVVaQob&#10;LvSO4y41gksoFkaDS6kvpIy1Q2/iIvRInB3D4E1iOTTSDubC5b6TuVJ30puWeMGZHh8c1qfd2Wt4&#10;bqe31VM+Jnxdxzyol710/V7r+SxTGxAJp/R3DD/4jA4VMx3CmWwUnQZ+JLF7fwuC07XKliAOv4as&#10;Svkfv/oGUEsDBBQAAAAIAIdO4kDmE7M+0gEAAKoDAAAOAAAAZHJzL2Uyb0RvYy54bWytU7Fu2zAQ&#10;3Qv0HwjutWwFbR3BcgYb7uK2BpJ0pylKIkryCB5t2X/fI+U4abJkiAaC5N17d+8dtbg7WcOOKqAG&#10;V/PZZMqZchIa7bqaPz5svsw5wyhcIww4VfOzQn63/PxpMfhKldCDaVRgROKwGnzN+xh9VRQoe2UF&#10;TsArR8EWghWRjqErmiAGYremKKfTb8UAofEBpEKk2/UY5BfG8B5CaFst1RrkwSoXR9agjIgkCXvt&#10;kS9zt22rZPzdtqgiMzUnpTGvVIT2+7QWy4WouiB8r+WlBfGeFl5pskI7KnqlWoso2CHoN1RWywAI&#10;bZxIsMUoJDtCKmbTV97c98KrrIWsRn81HT+OVv467gLTTc1vOHPC0sC32ilWJmcGjxUlrNwuJG3y&#10;5O79FuRfZA5WvXCdyh0+nD3BZglR/AdJB/TEvx9+QkM54hAh23Rqg2Wt0f5PAiZysoKd8lzO17mo&#10;U2SSLr9+L2/mtzQy+RQrRJUoEtAHjD8UWJY2NTfUfSYUxy3G1NJzSkp3sNHG5LEbxwYqfzuflRmB&#10;YHSToikPQ7dfmcCOgl7OZjOlLwukyMu0AAfXjFWMu+hPkkfz9tCcd+HJFxphbufy3NIbeXnO6Odf&#10;bP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Yg5+tQAAAAGAQAADwAAAAAAAAABACAAAAAiAAAA&#10;ZHJzL2Rvd25yZXYueG1sUEsBAhQAFAAAAAgAh07iQOYTsz7SAQAAqgMAAA4AAAAAAAAAAQAgAAAA&#10;IwEAAGRycy9lMm9Eb2MueG1sUEsFBgAAAAAGAAYAWQEAAGcFAAAAAA==&#10;">
                <v:fill on="f" focussize="0,0"/>
                <v:stroke weight="1.56pt" color="#FF0000" joinstyle="round"/>
                <v:imagedata o:title=""/>
                <o:lock v:ext="edit" aspectratio="f"/>
              </v:line>
            </w:pict>
          </mc:Fallback>
        </mc:AlternateContent>
      </w:r>
    </w:p>
    <w:p>
      <w:pPr>
        <w:rPr>
          <w:rFonts w:ascii="Times New Roman" w:hAnsi="Times New Roman"/>
        </w:rPr>
      </w:pP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_GBK"/>
          <w:b w:val="0"/>
          <w:bCs w:val="0"/>
          <w:sz w:val="44"/>
          <w:szCs w:val="44"/>
        </w:rPr>
      </w:pPr>
      <w:r>
        <w:rPr>
          <w:rFonts w:hint="eastAsia" w:ascii="Times New Roman" w:hAnsi="Times New Roman" w:eastAsia="方正小标宋_GBK"/>
          <w:b w:val="0"/>
          <w:bCs w:val="0"/>
          <w:sz w:val="44"/>
          <w:szCs w:val="44"/>
        </w:rPr>
        <w:t>重庆市大足区教育委员会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关于印发《大足区义务教育阶段减轻学生过重作业负担工作实施方案》的通知</w:t>
      </w:r>
    </w:p>
    <w:p>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both"/>
        <w:textAlignment w:val="auto"/>
        <w:rPr>
          <w:rFonts w:ascii="Times New Roman" w:hAnsi="Times New Roman" w:eastAsia="方正仿宋_GBK"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right="0" w:firstLine="0" w:firstLineChars="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机关</w:t>
      </w:r>
      <w:r>
        <w:rPr>
          <w:rFonts w:hint="eastAsia" w:ascii="方正仿宋_GBK" w:hAnsi="方正仿宋_GBK" w:eastAsia="方正仿宋_GBK" w:cs="方正仿宋_GBK"/>
          <w:color w:val="000000" w:themeColor="text1"/>
          <w:sz w:val="32"/>
          <w:szCs w:val="32"/>
          <w14:textFill>
            <w14:solidFill>
              <w14:schemeClr w14:val="tx1"/>
            </w14:solidFill>
          </w14:textFill>
        </w:rPr>
        <w:t>各科室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各学区办（督导办），各中小学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及</w:t>
      </w:r>
      <w:r>
        <w:rPr>
          <w:rFonts w:hint="eastAsia" w:ascii="方正仿宋_GBK" w:hAnsi="方正仿宋_GBK" w:eastAsia="方正仿宋_GBK" w:cs="方正仿宋_GBK"/>
          <w:color w:val="000000" w:themeColor="text1"/>
          <w:sz w:val="32"/>
          <w:szCs w:val="32"/>
          <w14:textFill>
            <w14:solidFill>
              <w14:schemeClr w14:val="tx1"/>
            </w14:solidFill>
          </w14:textFill>
        </w:rPr>
        <w:t>直属单位：</w:t>
      </w:r>
    </w:p>
    <w:p>
      <w:pPr>
        <w:keepNext w:val="0"/>
        <w:keepLines w:val="0"/>
        <w:pageBreakBefore w:val="0"/>
        <w:widowControl w:val="0"/>
        <w:tabs>
          <w:tab w:val="left" w:pos="645"/>
        </w:tabs>
        <w:kinsoku/>
        <w:wordWrap/>
        <w:overflowPunct/>
        <w:topLinePunct w:val="0"/>
        <w:autoSpaceDE/>
        <w:autoSpaceDN/>
        <w:bidi w:val="0"/>
        <w:adjustRightInd/>
        <w:snapToGrid/>
        <w:spacing w:line="600" w:lineRule="atLeast"/>
        <w:ind w:left="0" w:right="0"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为贯彻落实中共中央办公厅、国务院办公厅《关于进一步减轻义务教育阶段学生作业负担和校外培训负担的意见》（中办发〔2021〕40号）文件要求，切实提升学校育人水平，有效减轻义务教育阶段学生过重作业负担和校外培训负担（以下简称“双减”），根据本区实际，区教委特制定《大足区义务教育阶段减轻学生过重作业负担工作实施方案》，现正式印发给你们，请各单位结合实际认真贯彻落实。 </w:t>
      </w:r>
    </w:p>
    <w:p>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附件：《大足区义务教育阶段减轻学生过重作业负担工作实施方案》</w:t>
      </w:r>
    </w:p>
    <w:p>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right"/>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重庆市大足区教育委员会</w:t>
      </w:r>
    </w:p>
    <w:p>
      <w:pPr>
        <w:keepNext w:val="0"/>
        <w:keepLines w:val="0"/>
        <w:pageBreakBefore w:val="0"/>
        <w:widowControl w:val="0"/>
        <w:kinsoku/>
        <w:wordWrap/>
        <w:overflowPunct/>
        <w:topLinePunct w:val="0"/>
        <w:autoSpaceDE/>
        <w:autoSpaceDN/>
        <w:bidi w:val="0"/>
        <w:adjustRightInd/>
        <w:snapToGrid/>
        <w:spacing w:line="600" w:lineRule="atLeast"/>
        <w:ind w:left="0" w:right="0" w:firstLine="640" w:firstLineChars="200"/>
        <w:jc w:val="center"/>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2021年9月1日</w:t>
      </w: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p>
    <w:p>
      <w:pPr>
        <w:spacing w:line="600" w:lineRule="exact"/>
        <w:jc w:val="left"/>
        <w:rPr>
          <w:rFonts w:ascii="方正仿宋_GBK" w:hAnsi="方正小标宋_GBK" w:eastAsia="方正仿宋_GBK" w:cs="方正小标宋_GBK"/>
          <w:color w:val="000000" w:themeColor="text1"/>
          <w:sz w:val="32"/>
          <w:szCs w:val="32"/>
          <w14:textFill>
            <w14:solidFill>
              <w14:schemeClr w14:val="tx1"/>
            </w14:solidFill>
          </w14:textFill>
        </w:rPr>
      </w:pPr>
      <w:r>
        <w:rPr>
          <w:rFonts w:hint="eastAsia" w:ascii="方正仿宋_GBK" w:hAnsi="方正小标宋_GBK" w:eastAsia="方正仿宋_GBK" w:cs="方正小标宋_GBK"/>
          <w:color w:val="000000" w:themeColor="text1"/>
          <w:sz w:val="32"/>
          <w:szCs w:val="32"/>
          <w14:textFill>
            <w14:solidFill>
              <w14:schemeClr w14:val="tx1"/>
            </w14:solidFill>
          </w14:textFill>
        </w:rPr>
        <w:t>附件</w:t>
      </w:r>
    </w:p>
    <w:p>
      <w:pPr>
        <w:spacing w:line="600" w:lineRule="exact"/>
        <w:jc w:val="center"/>
        <w:rPr>
          <w:rFonts w:ascii="方正小标宋_GBK" w:hAnsi="方正小标宋_GBK" w:eastAsia="方正小标宋_GBK" w:cs="方正小标宋_GBK"/>
          <w:bCs/>
          <w:color w:val="000000" w:themeColor="text1"/>
          <w:spacing w:val="-8"/>
          <w:kern w:val="0"/>
          <w:sz w:val="44"/>
          <w:szCs w:val="44"/>
          <w:lang w:val="zh-CN"/>
          <w14:textFill>
            <w14:solidFill>
              <w14:schemeClr w14:val="tx1"/>
            </w14:solidFill>
          </w14:textFill>
        </w:rPr>
      </w:pPr>
      <w:r>
        <w:rPr>
          <w:rFonts w:hint="eastAsia" w:ascii="方正小标宋_GBK" w:hAnsi="方正小标宋_GBK" w:eastAsia="方正小标宋_GBK" w:cs="方正小标宋_GBK"/>
          <w:bCs/>
          <w:color w:val="000000" w:themeColor="text1"/>
          <w:spacing w:val="-8"/>
          <w:kern w:val="0"/>
          <w:sz w:val="44"/>
          <w:szCs w:val="44"/>
          <w:lang w:val="zh-CN"/>
          <w14:textFill>
            <w14:solidFill>
              <w14:schemeClr w14:val="tx1"/>
            </w14:solidFill>
          </w14:textFill>
        </w:rPr>
        <w:t>大足区义务教育阶段减轻学生过重作业负担</w:t>
      </w:r>
    </w:p>
    <w:p>
      <w:pPr>
        <w:spacing w:line="60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pacing w:val="-8"/>
          <w:kern w:val="0"/>
          <w:sz w:val="44"/>
          <w:szCs w:val="44"/>
          <w:lang w:val="zh-CN"/>
          <w14:textFill>
            <w14:solidFill>
              <w14:schemeClr w14:val="tx1"/>
            </w14:solidFill>
          </w14:textFill>
        </w:rPr>
        <w:t>工作实施方案</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为深入贯彻习近平总书记“七一”重要讲话精神和关于“双减”工作的重要指示批示精神，认真落实中共中央办公厅、国务院办公厅《关于进一步减轻义务教育阶段学生作业负担和校外培训负担的意见》文件精神，深入推进素质教育，全面提高教育质量，促进学生生动活泼学习，健康快乐成长，为学生终身学习与发展奠定基础，办人民满意的教育。根据市“双减”工作推进会议精神，为切实减轻学生过重作业负担，结合我区实际情况，特制定此方案。 </w:t>
      </w:r>
    </w:p>
    <w:p>
      <w:pPr>
        <w:spacing w:line="600" w:lineRule="exact"/>
        <w:ind w:firstLine="640" w:firstLineChars="200"/>
        <w:rPr>
          <w:rFonts w:ascii="方正黑体_GBK" w:hAnsi="方正仿宋_GBK" w:eastAsia="方正黑体_GBK" w:cs="方正仿宋_GBK"/>
          <w:color w:val="000000" w:themeColor="text1"/>
          <w:sz w:val="32"/>
          <w:szCs w:val="32"/>
          <w14:textFill>
            <w14:solidFill>
              <w14:schemeClr w14:val="tx1"/>
            </w14:solidFill>
          </w14:textFill>
        </w:rPr>
      </w:pPr>
      <w:r>
        <w:rPr>
          <w:rFonts w:hint="eastAsia" w:ascii="方正黑体_GBK" w:hAnsi="方正仿宋_GBK" w:eastAsia="方正黑体_GBK" w:cs="方正仿宋_GBK"/>
          <w:color w:val="000000" w:themeColor="text1"/>
          <w:sz w:val="32"/>
          <w:szCs w:val="32"/>
          <w14:textFill>
            <w14:solidFill>
              <w14:schemeClr w14:val="tx1"/>
            </w14:solidFill>
          </w14:textFill>
        </w:rPr>
        <w:t>一、指导思想</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坚持以习近平新时代中国特色社会主义思想为指导，全面贯彻党的教育方针，落实立德树人根本任务。强化学校教育主阵地作用，进一步加强中小学管理，规范办学行为，切实减轻学生过重作业负担，构建良好教育生态，促进学生全面发展、健康成长。</w:t>
      </w:r>
    </w:p>
    <w:p>
      <w:pPr>
        <w:spacing w:line="600" w:lineRule="exact"/>
        <w:ind w:firstLine="640" w:firstLineChars="200"/>
        <w:rPr>
          <w:rFonts w:ascii="方正黑体_GBK" w:hAnsi="方正仿宋_GBK" w:eastAsia="方正黑体_GBK" w:cs="方正仿宋_GBK"/>
          <w:color w:val="000000" w:themeColor="text1"/>
          <w:sz w:val="32"/>
          <w:szCs w:val="32"/>
          <w14:textFill>
            <w14:solidFill>
              <w14:schemeClr w14:val="tx1"/>
            </w14:solidFill>
          </w14:textFill>
        </w:rPr>
      </w:pPr>
      <w:r>
        <w:rPr>
          <w:rFonts w:hint="eastAsia" w:ascii="方正黑体_GBK" w:hAnsi="方正仿宋_GBK" w:eastAsia="方正黑体_GBK" w:cs="方正仿宋_GBK"/>
          <w:color w:val="000000" w:themeColor="text1"/>
          <w:sz w:val="32"/>
          <w:szCs w:val="32"/>
          <w14:textFill>
            <w14:solidFill>
              <w14:schemeClr w14:val="tx1"/>
            </w14:solidFill>
          </w14:textFill>
        </w:rPr>
        <w:t>二、工作目标</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学校教育教学质量和服务水平进一步提升，作业布置更加科学合理，学校课后延时服务基本满足学生需要，学生学习更好回归校园。学生过重作业负担、家庭教育支出和家长相应精力负担1年内有效减轻、3年内成效显著，人民群众教育满意度明显提升。</w:t>
      </w:r>
    </w:p>
    <w:p>
      <w:pPr>
        <w:spacing w:line="600" w:lineRule="exact"/>
        <w:ind w:firstLine="640" w:firstLineChars="200"/>
        <w:rPr>
          <w:rFonts w:ascii="方正黑体_GBK" w:hAnsi="方正仿宋_GBK" w:eastAsia="方正黑体_GBK" w:cs="方正仿宋_GBK"/>
          <w:color w:val="000000" w:themeColor="text1"/>
          <w:sz w:val="32"/>
          <w:szCs w:val="32"/>
          <w14:textFill>
            <w14:solidFill>
              <w14:schemeClr w14:val="tx1"/>
            </w14:solidFill>
          </w14:textFill>
        </w:rPr>
      </w:pPr>
      <w:r>
        <w:rPr>
          <w:rFonts w:hint="eastAsia" w:ascii="方正黑体_GBK" w:hAnsi="方正仿宋_GBK" w:eastAsia="方正黑体_GBK" w:cs="方正仿宋_GBK"/>
          <w:color w:val="000000" w:themeColor="text1"/>
          <w:sz w:val="32"/>
          <w:szCs w:val="32"/>
          <w14:textFill>
            <w14:solidFill>
              <w14:schemeClr w14:val="tx1"/>
            </w14:solidFill>
          </w14:textFill>
        </w:rPr>
        <w:t>三、工作措施</w:t>
      </w:r>
    </w:p>
    <w:p>
      <w:pPr>
        <w:spacing w:line="600" w:lineRule="exact"/>
        <w:ind w:firstLine="643" w:firstLineChars="200"/>
        <w:rPr>
          <w:rFonts w:ascii="方正楷体_GBK" w:hAnsi="方正仿宋_GBK" w:eastAsia="方正楷体_GBK" w:cs="方正仿宋_GBK"/>
          <w:b/>
          <w:color w:val="000000" w:themeColor="text1"/>
          <w:sz w:val="32"/>
          <w:szCs w:val="32"/>
          <w14:textFill>
            <w14:solidFill>
              <w14:schemeClr w14:val="tx1"/>
            </w14:solidFill>
          </w14:textFill>
        </w:rPr>
      </w:pPr>
      <w:r>
        <w:rPr>
          <w:rFonts w:hint="eastAsia" w:ascii="方正楷体_GBK" w:hAnsi="方正仿宋_GBK" w:eastAsia="方正楷体_GBK" w:cs="方正仿宋_GBK"/>
          <w:b/>
          <w:color w:val="000000" w:themeColor="text1"/>
          <w:sz w:val="32"/>
          <w:szCs w:val="32"/>
          <w14:textFill>
            <w14:solidFill>
              <w14:schemeClr w14:val="tx1"/>
            </w14:solidFill>
          </w14:textFill>
        </w:rPr>
        <w:t>（一）加强领导，建立组织机构</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1.组建大足区义务教育阶段“双减”工作领导小组。</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组  长：印国建</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副组长：郭永红、尹光成、易兰、唐帮勇</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成  员：刘波、龚伦、邹洪亮、覃定建、何治民、张明强、何勇、蔡国龙、袁位、瞿利华</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领导小组负责义务教育阶段“双减”工作的统筹、规划、组织、指导、协调和管理。</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领导小组下设办公室，唐帮勇任主任，刘波、龚伦、邹洪亮、覃定建、何治民、张明强、何勇、蔡国龙、袁位、瞿利华任副主任，李锋、余斌、蒋昌毅、何文忠、杨伟为成员。领导小组办公室是义务教育阶段“双减”工作的日常办事机构，设在基础教育科，其主要职责是：组织领导“双减”工作的实施， 负责政策制定、工作推进、工作督查等工作。</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2.组建义务教育阶段“双减”工作督查组。</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组  长：覃定建</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副组长：何治民、张明强、何  勇</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成  员：督导办公室、安监科、督导中心、考核办、基教科、民办科及各片区督导室等相关人员。</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双减”工作督查组是办公室领导下的对“双减”工作推进情况进行督查指导的机构，具体负责组织区内相关人员组成督查组，对“双减”工作情况进行督查、指导和通报，收集社会、家长对“双减”工作的反馈，有针对性的进行督查，对“双减”工作推进不力的单位或个人提出处罚建议，组织迎接市督查组对我区“双减”工作的督查等相关工作。</w:t>
      </w:r>
    </w:p>
    <w:p>
      <w:pPr>
        <w:spacing w:line="600" w:lineRule="exact"/>
        <w:ind w:firstLine="643" w:firstLineChars="200"/>
        <w:rPr>
          <w:rFonts w:ascii="方正楷体_GBK" w:hAnsi="方正仿宋_GBK" w:eastAsia="方正楷体_GBK" w:cs="方正仿宋_GBK"/>
          <w:b/>
          <w:color w:val="000000" w:themeColor="text1"/>
          <w:sz w:val="32"/>
          <w:szCs w:val="32"/>
          <w14:textFill>
            <w14:solidFill>
              <w14:schemeClr w14:val="tx1"/>
            </w14:solidFill>
          </w14:textFill>
        </w:rPr>
      </w:pPr>
      <w:r>
        <w:rPr>
          <w:rFonts w:hint="eastAsia" w:ascii="方正楷体_GBK" w:hAnsi="方正仿宋_GBK" w:eastAsia="方正楷体_GBK" w:cs="方正仿宋_GBK"/>
          <w:b/>
          <w:color w:val="000000" w:themeColor="text1"/>
          <w:sz w:val="32"/>
          <w:szCs w:val="32"/>
          <w14:textFill>
            <w14:solidFill>
              <w14:schemeClr w14:val="tx1"/>
            </w14:solidFill>
          </w14:textFill>
        </w:rPr>
        <w:t>（二）细化措施，确保“减轻学生作业负担”工作落实到位。</w:t>
      </w:r>
    </w:p>
    <w:p>
      <w:pPr>
        <w:spacing w:line="600" w:lineRule="exact"/>
        <w:ind w:firstLine="643" w:firstLineChars="200"/>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1. 压减作业总量和时长。</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健全作业管理制度。健全作业统筹管理机制，学校要制定作业管理办法，建立作业校内公示制度，分年级公示作业内容构成、完成时长等，促进教、练、考一致。严禁给家长布置或变相布置作业，严禁要求家长检查、批改作业。</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（2）提高作业设计质量。教委、学校组织教研人员加强作业设计，重视校本作业资源建设，鼓励教师通过选编、改编、自主创编等方式设计高质量</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作业。鼓励布置分层、弹性、个性化作业。对完成基础作业有困难的学生开展个别化辅导。依托信息化手段构建作业和学习资源推送机制。</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（3）分类控制作业总量。由学校年级组统筹各科目作业总量，确保小学一、二年级不布置家庭书面作业，小学三至六年级书面作业平均完成时间不超过60分钟，初中书面作业平均完成时间不超过90分钟。</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（4）加强作业完成指导。教师要指导小学生在校内基本完成书面作业，初中生在校内完成大部分书面作业；掌握学生学情，加强作业集体讲评、个别面批的针对性，做好答疑辅导。不得要求学生自批自改作业。</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建立作业监督机制。各校要出台学校作业管理监测办法，将作业管理情况纳入教师绩效考核范围。教委要将作业设计、批改、讲评、辅导等情况作为学校考核重要内容。教育督导部门将作业管理情况纳入学校常规性督导重点内容。</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（6）科学利用课余时间。发挥共青团、少先队等群团组织作用，引导学生利用课余时间从事家务劳动，开展体育锻炼、阅读和文艺活动，合理使用电子产品和网络。</w:t>
      </w:r>
    </w:p>
    <w:p>
      <w:pPr>
        <w:spacing w:line="600" w:lineRule="exact"/>
        <w:ind w:firstLine="643" w:firstLineChars="200"/>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2. 提升学校课后服务水平。</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保证课后服务时间。推进义务教育阶段校内课后服务公民办学校全覆盖、学生愿留尽留全覆盖、工作日全覆盖，服务时间一般不少于2个小时，结束时间一般不早于当地正常下班时间。初中学校可在工作日晚上开设自习班。支持学校统筹实行教师“弹性上下班制”。</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提高课后服务质量。学校要制定本校课后服务实施方案，明确实施方式、管理制度、保障机制等。利用课后服务时间指导学生在校完成作业，原则上不得把书面作业带回家。对学习有困难的学生进行补习辅导，为学有余力的学生拓展学习空间，开展丰富多彩的科普、文体、艺术、劳动、阅读、兴趣小组及社团活动，不得利用课后服务时间讲授新课。</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拓展课后服务渠道。鼓励各校建立课后服务支持系统。工作日课后服务一般由本校教师承担，教师力量不足的，可聘请本区内优秀教师、退休教师、具备资质的社会专业人员等参与。鼓励学校在国家法定节假日、休息日及寒暑假期向学生开放图书馆、文体场馆等设施。</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做优免费线上学习服务。建设、开发丰富优质的线上教育教学资源，利用国家、市和本区教育教学资源平台以及优质学校网络平台，免费向学生提供高质量专题教育资源和覆盖各年级各学科的学习资源，为教师针对性备课和学生个性化学习提供高质量、全免费的资源支撑。</w:t>
      </w:r>
    </w:p>
    <w:p>
      <w:pPr>
        <w:spacing w:line="600" w:lineRule="exact"/>
        <w:ind w:firstLine="643" w:firstLineChars="200"/>
        <w:rPr>
          <w:rFonts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3. 提升教育教学质量。</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（1）促进教育优质均衡发展。</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进一步推进学区制和集团化办学，扩大优质资源覆盖面。持续开展领雁工程，加强弱校扶持力度，促进城乡教育一体化发展。常态化开展教师和管理干部跨校流动工作，高质量共享优质课程教学资源、教科研成果等，促进教育全要素有序流动。</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（2）提高课堂教学效率。</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学校要健全教学管理规程，优化教学方式，强化教学管理，提升学生在校学习效率。进修校及各校教科研部门要加强课堂教学模式等研究，强化高效课堂观念，优化促进教育教学的基本途径和手段，积极推进课堂教学改革，打造“卓越课堂”“精品课堂”。 进修校、各中小学要积极开展教师教学能力研训活动，通过课堂大练兵、说课上课比赛、教学基本功大赛、课例研究等活动，促进教师的教学设计能力、教学实施能力和教学反思能力的提升。建立优质课堂教学资源共享机制，让全区中小学教师能有效学习借鉴优秀课例、课件、微课、微视频、基础性作业、弹性作业、实践性作业等优质资源开展教学，扩大优质教育资源的使用率和覆盖面，推进全区中小学课堂教学质量不断提升。</w:t>
      </w:r>
    </w:p>
    <w:p>
      <w:pPr>
        <w:spacing w:line="600" w:lineRule="exact"/>
        <w:ind w:firstLine="640" w:firstLineChars="200"/>
        <w:rPr>
          <w:rFonts w:ascii="方正黑体_GBK" w:hAnsi="方正仿宋_GBK" w:eastAsia="方正黑体_GBK" w:cs="方正仿宋_GBK"/>
          <w:color w:val="000000" w:themeColor="text1"/>
          <w:sz w:val="32"/>
          <w:szCs w:val="32"/>
          <w14:textFill>
            <w14:solidFill>
              <w14:schemeClr w14:val="tx1"/>
            </w14:solidFill>
          </w14:textFill>
        </w:rPr>
      </w:pPr>
      <w:r>
        <w:rPr>
          <w:rFonts w:hint="eastAsia" w:ascii="方正黑体_GBK" w:hAnsi="方正仿宋_GBK" w:eastAsia="方正黑体_GBK" w:cs="方正仿宋_GBK"/>
          <w:color w:val="000000" w:themeColor="text1"/>
          <w:sz w:val="32"/>
          <w:szCs w:val="32"/>
          <w14:textFill>
            <w14:solidFill>
              <w14:schemeClr w14:val="tx1"/>
            </w14:solidFill>
          </w14:textFill>
        </w:rPr>
        <w:t>四、实施步骤</w:t>
      </w:r>
    </w:p>
    <w:p>
      <w:pPr>
        <w:spacing w:line="600" w:lineRule="exact"/>
        <w:ind w:firstLine="643" w:firstLineChars="200"/>
        <w:rPr>
          <w:rFonts w:ascii="方正楷体_GBK" w:hAnsi="方正仿宋_GBK" w:eastAsia="方正楷体_GBK" w:cs="方正仿宋_GBK"/>
          <w:b/>
          <w:color w:val="000000" w:themeColor="text1"/>
          <w:sz w:val="32"/>
          <w:szCs w:val="32"/>
          <w14:textFill>
            <w14:solidFill>
              <w14:schemeClr w14:val="tx1"/>
            </w14:solidFill>
          </w14:textFill>
        </w:rPr>
      </w:pPr>
      <w:r>
        <w:rPr>
          <w:rFonts w:hint="eastAsia" w:ascii="方正楷体_GBK" w:hAnsi="方正仿宋_GBK" w:eastAsia="方正楷体_GBK" w:cs="方正仿宋_GBK"/>
          <w:b/>
          <w:color w:val="000000" w:themeColor="text1"/>
          <w:sz w:val="32"/>
          <w:szCs w:val="32"/>
          <w14:textFill>
            <w14:solidFill>
              <w14:schemeClr w14:val="tx1"/>
            </w14:solidFill>
          </w14:textFill>
        </w:rPr>
        <w:t>（一）宣传整改阶段（2021年8月-2021年12月）</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利用区内主流媒体、官微等新媒体，制作专门宣传内容，教委和各中小学校、社会培训机构和广大家长，通过集体学习、专家报告、家长会等多种形式，全面学习理解中共中央办公厅、国务院办公厅“减负”30条的重要内容，力争做到人人知晓、人人支持、各负其责，积极落实，加大对“双减”政策的宣传解读，加强舆论引导，使“双减”政策家喻户晓、深入人心，引导家长树立科学育人观念，正确对待“减轻学生过重作业负担”工作，努力形成“减负”共识。</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要逐条逐项压实责任，组织各中小学校对照中共中央办公厅、国务院办公厅“减负”30条和本实施方案，进行自检自查。列出具体问题清单，制定整改计划。力争到2021年底，中小学生作业负担过重情况得到有效缓解。</w:t>
      </w:r>
    </w:p>
    <w:p>
      <w:pPr>
        <w:spacing w:line="600" w:lineRule="exact"/>
        <w:ind w:firstLine="643" w:firstLineChars="200"/>
        <w:rPr>
          <w:rFonts w:ascii="方正楷体_GBK" w:hAnsi="方正仿宋_GBK" w:eastAsia="方正楷体_GBK" w:cs="方正仿宋_GBK"/>
          <w:b/>
          <w:color w:val="000000" w:themeColor="text1"/>
          <w:sz w:val="32"/>
          <w:szCs w:val="32"/>
          <w14:textFill>
            <w14:solidFill>
              <w14:schemeClr w14:val="tx1"/>
            </w14:solidFill>
          </w14:textFill>
        </w:rPr>
      </w:pPr>
      <w:r>
        <w:rPr>
          <w:rFonts w:hint="eastAsia" w:ascii="方正楷体_GBK" w:hAnsi="方正仿宋_GBK" w:eastAsia="方正楷体_GBK" w:cs="方正仿宋_GBK"/>
          <w:b/>
          <w:color w:val="000000" w:themeColor="text1"/>
          <w:sz w:val="32"/>
          <w:szCs w:val="32"/>
          <w14:textFill>
            <w14:solidFill>
              <w14:schemeClr w14:val="tx1"/>
            </w14:solidFill>
          </w14:textFill>
        </w:rPr>
        <w:t>（二）督查落实阶段（2021年9月-2022年6月）</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1.片区督导办开展常规性督查，逐一对所辖各中小学校学生作业情况进行督查并建立台账，指导各校按本实施方案措施逐一落实。对发现的问题，明确整改时间，压实整改责任，实行销号管理，确保整改到位。</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双减”工作督查组开展多轮专项督查，建立问题台账，发布督查通报，实行限期销号管理。力争到2022年6月前，全区中小学校全部达到减轻学生过重作业负担的要求。对“减负”工作不力，群众反映强烈的依法依规予以严肃问责。</w:t>
      </w:r>
    </w:p>
    <w:p>
      <w:pPr>
        <w:spacing w:line="600" w:lineRule="exact"/>
        <w:ind w:firstLine="643" w:firstLineChars="200"/>
        <w:rPr>
          <w:rFonts w:ascii="方正楷体_GBK" w:hAnsi="方正仿宋_GBK" w:eastAsia="方正楷体_GBK" w:cs="方正仿宋_GBK"/>
          <w:b/>
          <w:color w:val="000000" w:themeColor="text1"/>
          <w:sz w:val="32"/>
          <w:szCs w:val="32"/>
          <w14:textFill>
            <w14:solidFill>
              <w14:schemeClr w14:val="tx1"/>
            </w14:solidFill>
          </w14:textFill>
        </w:rPr>
      </w:pPr>
      <w:r>
        <w:rPr>
          <w:rFonts w:hint="eastAsia" w:ascii="方正楷体_GBK" w:hAnsi="方正仿宋_GBK" w:eastAsia="方正楷体_GBK" w:cs="方正仿宋_GBK"/>
          <w:b/>
          <w:color w:val="000000" w:themeColor="text1"/>
          <w:sz w:val="32"/>
          <w:szCs w:val="32"/>
          <w14:textFill>
            <w14:solidFill>
              <w14:schemeClr w14:val="tx1"/>
            </w14:solidFill>
          </w14:textFill>
        </w:rPr>
        <w:t>（三）总结巩固阶段（2022年7月-2024年8月）</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1.通过督查、指导、整改等，评比认定一批“减轻学生作业负担”典型学校，组织召开经验交流会以及通过广播、电视及其他新闻媒体广泛宣传，积极推广本区“减负”工作有益经验，基本形成社会各界充分尊重教育教学规律，共同促进中小学生健康成长的良好氛围。 </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2.“减轻学生作业负担”工作进入常态化管理，保持良好的社会、学校、家长科学育人氛围。坚持督查、处罚力度不放松，防止妨碍“减负”工作的不良行为反弹。</w:t>
      </w:r>
    </w:p>
    <w:p>
      <w:pPr>
        <w:spacing w:line="600" w:lineRule="exact"/>
        <w:ind w:firstLine="640" w:firstLineChars="200"/>
        <w:rPr>
          <w:rFonts w:ascii="方正黑体_GBK" w:hAnsi="方正仿宋_GBK" w:eastAsia="方正黑体_GBK" w:cs="方正仿宋_GBK"/>
          <w:color w:val="000000" w:themeColor="text1"/>
          <w:sz w:val="32"/>
          <w:szCs w:val="32"/>
          <w14:textFill>
            <w14:solidFill>
              <w14:schemeClr w14:val="tx1"/>
            </w14:solidFill>
          </w14:textFill>
        </w:rPr>
      </w:pPr>
      <w:r>
        <w:rPr>
          <w:rFonts w:hint="eastAsia" w:ascii="方正黑体_GBK" w:hAnsi="方正仿宋_GBK" w:eastAsia="方正黑体_GBK" w:cs="方正仿宋_GBK"/>
          <w:color w:val="000000" w:themeColor="text1"/>
          <w:sz w:val="32"/>
          <w:szCs w:val="32"/>
          <w14:textFill>
            <w14:solidFill>
              <w14:schemeClr w14:val="tx1"/>
            </w14:solidFill>
          </w14:textFill>
        </w:rPr>
        <w:t>五、工作要求</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1.要压紧压实责任。各单位要明确责任，高度重视，统一思想认识，切实减轻中小学学生作业负担。要结合实际制定好专项治理工作实施方案，稳妥有序推进“减轻学生作业负担”工作。</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要凝聚工作合力。各单位要认真履行职责，积极协作配合，强化政策配套，形成上下联动、齐抓共管的格局。要加强宣传，营造氛围，形成学校、家长、社会“减负”共识。各单位要强化监管力量，选优配强人员，专责推动“减轻学生作业负担”工作。</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3.要强化督促检查。“双减”工作是今年教育督导的1号工程。要建立督导通报机制，对作业时间、课后服务时间等进行定期通报。对责任不落实、措施不到位的，要严肃追责问责。</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4.要维护社会稳定。要加强形势研判和建立应急反应机制，抓好舆情监测，及时化解不稳定因素，妥善处置突发事件，确保社会稳定。</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hint="eastAsia" w:ascii="Times New Roman" w:hAnsi="Times New Roman"/>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173355</wp:posOffset>
                </wp:positionV>
                <wp:extent cx="5723890" cy="0"/>
                <wp:effectExtent l="13970" t="11430" r="5715" b="7620"/>
                <wp:wrapNone/>
                <wp:docPr id="2" name="Line 13"/>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4445">
                          <a:solidFill>
                            <a:srgbClr val="000000"/>
                          </a:solidFill>
                          <a:round/>
                        </a:ln>
                      </wps:spPr>
                      <wps:bodyPr/>
                    </wps:wsp>
                  </a:graphicData>
                </a:graphic>
              </wp:anchor>
            </w:drawing>
          </mc:Choice>
          <mc:Fallback>
            <w:pict>
              <v:line id="Line 13" o:spid="_x0000_s1026" o:spt="20" style="position:absolute;left:0pt;margin-top:13.65pt;height:0pt;width:450.7pt;mso-position-horizontal:center;z-index:251662336;mso-width-relative:page;mso-height-relative:page;" filled="f" stroked="t" coordsize="21600,21600" o:gfxdata="UEsDBAoAAAAAAIdO4kAAAAAAAAAAAAAAAAAEAAAAZHJzL1BLAwQUAAAACACHTuJAh5qiDtYAAAAG&#10;AQAADwAAAGRycy9kb3ducmV2LnhtbE2PQU/CQBCF7yb+h82YeJPdIilYuyXGqBcSCWjkOnSHtrE7&#10;23QXCv+eNRzkOO+9vPdNPj/aVhyo941jDclIgSAunWm40vD99f4wA+EDssHWMWk4kYd5cXuTY2bc&#10;wCs6rEMlYgn7DDXUIXSZlL6syaIfuY44ejvXWwzx7CtpehxiuW3lWKlUWmw4LtTY0WtN5e96bzXM&#10;Njgs35qXdFJWm3T3eZp+/CwXWt/fJeoZRKBj+A/DH35EhyIybd2ejRethvhI0DCePoKI7pNKJiC2&#10;F0EWubzGL85QSwMEFAAAAAgAh07iQETGGUDLAQAAoAMAAA4AAABkcnMvZTJvRG9jLnhtbK1TwXLb&#10;IBC9d6b/wHCvZTtOm2gs52BPenFbzyT9AIyQxBRYhsWW/PddkO2k6SWH6MAAu/v2vbdo+TBYw44q&#10;oAZX8dlkyplyEmrt2or/fn78cscZRuFqYcCpip8U8ofV50/L3pdqDh2YWgVGIA7L3le8i9GXRYGy&#10;U1bgBLxyFGwgWBHpGNqiDqIndGuK+XT6tegh1D6AVIh0uxmD/IwY3gMITaOl2oA8WOXiiBqUEZEk&#10;Yac98lVm2zRKxl9NgyoyU3FSGvNKTWi/T2uxWoqyDcJ3Wp4piPdQeKPJCu2o6RVqI6Jgh6D/g7Ja&#10;BkBo4kSCLUYh2RFSMZu+8eapE15lLWQ1+qvp+HGw8udxF5iuKz7nzAlLA99qp9jsJlnTeywpY+12&#10;IYmTg3vyW5B/kDlYd8K1KlN8Pnmqm6WK4p+SdEBPDfb9D6gpRxwiZJ+GJtgESQ6wIY/jdB2HGiKT&#10;dHn7bX5zd0+TkpdYIcpLoQ8YvyuwLG0qboh0BhbHLcZERJSXlNTHwaM2Jk/bONZXfLFY3OYCBKPr&#10;FExpGNr92gR2FOm95C+rosjrtAAHV49NjDuLTjpHx/ZQn3bhYgYNLrM5P7L0Ml6fc/XLj7X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eaog7WAAAABgEAAA8AAAAAAAAAAQAgAAAAIgAAAGRycy9k&#10;b3ducmV2LnhtbFBLAQIUABQAAAAIAIdO4kBExhlAywEAAKADAAAOAAAAAAAAAAEAIAAAACUBAABk&#10;cnMvZTJvRG9jLnhtbFBLBQYAAAAABgAGAFkBAABiBQAAAAA=&#10;">
                <v:fill on="f" focussize="0,0"/>
                <v:stroke weight="0.35pt" color="#000000" joinstyle="round"/>
                <v:imagedata o:title=""/>
                <o:lock v:ext="edit" aspectratio="f"/>
              </v:line>
            </w:pict>
          </mc:Fallback>
        </mc:AlternateContent>
      </w:r>
    </w:p>
    <w:p>
      <w:pPr>
        <w:jc w:val="center"/>
        <w:rPr>
          <w:rFonts w:ascii="Times New Roman" w:hAnsi="Times New Roman" w:eastAsia="方正仿宋_GBK"/>
          <w:sz w:val="28"/>
          <w:szCs w:val="28"/>
        </w:rPr>
      </w:pPr>
      <w:r>
        <w:rPr>
          <w:rFonts w:hint="eastAsia"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389255</wp:posOffset>
                </wp:positionV>
                <wp:extent cx="5723890" cy="0"/>
                <wp:effectExtent l="5715" t="8255" r="13970" b="10795"/>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4445">
                          <a:solidFill>
                            <a:srgbClr val="000000"/>
                          </a:solidFill>
                          <a:round/>
                        </a:ln>
                      </wps:spPr>
                      <wps:bodyPr/>
                    </wps:wsp>
                  </a:graphicData>
                </a:graphic>
              </wp:anchor>
            </w:drawing>
          </mc:Choice>
          <mc:Fallback>
            <w:pict>
              <v:line id="Line 9" o:spid="_x0000_s1026" o:spt="20" style="position:absolute;left:0pt;margin-top:30.65pt;height:0pt;width:450.7pt;mso-position-horizontal:center;z-index:251661312;mso-width-relative:page;mso-height-relative:page;" filled="f" stroked="t" coordsize="21600,21600" o:gfxdata="UEsDBAoAAAAAAIdO4kAAAAAAAAAAAAAAAAAEAAAAZHJzL1BLAwQUAAAACACHTuJAYoAKd9YAAAAG&#10;AQAADwAAAGRycy9kb3ducmV2LnhtbE2PQU/CQBCF7yb+h82QeJPdKilQuiXGqBcTCWjgOnSHtrE7&#10;23QXCv/eNRz0OO+9vPdNvjzbVpyo941jDclYgSAunWm40vD1+Xo/A+EDssHWMWm4kIdlcXuTY2bc&#10;wGs6bUIlYgn7DDXUIXSZlL6syaIfu444egfXWwzx7CtpehxiuW3lg1KptNhwXKixo+eayu/N0WqY&#10;7XBYvTRP6aSsdunh4zJ9267etb4bJWoBItA5/IXhFz+iQxGZ9u7IxotWQ3wkaEiTRxDRnatkAmJ/&#10;FWSRy//4xQ9QSwMEFAAAAAgAh07iQDqYz9HKAQAAnwMAAA4AAABkcnMvZTJvRG9jLnhtbK1TwW7b&#10;MAy9D9g/CLovTrJ0a404PSToLtkWoN0HKLJsC5NEQVRi5+9HyUnatZce6oMgiuQj3yO9vB+sYUcV&#10;UIOr+Gwy5Uw5CbV2bcX/PD18ueUMo3C1MOBUxU8K+f3q86dl70s1hw5MrQIjEIdl7yvexejLokDZ&#10;KStwAl45cjYQrIhkhraog+gJ3ZpiPp1+K3oItQ8gFSK9bkYnPyOG9wBC02ipNiAPVrk4ogZlRCRK&#10;2GmPfJW7bRol4++mQRWZqTgxjfmkInTfp7NYLUXZBuE7Lc8tiPe08IqTFdpR0SvURkTBDkG/gbJa&#10;BkBo4kSCLUYiWRFiMZu+0uaxE15lLiQ1+qvo+HGw8tdxF5iuaRM4c8LSwLfaKXaXlOk9lhSwdruQ&#10;uMnBPfotyL/IHKw74VqVO3w6eUqbpYziv5RkoCf8ff8TaooRhwhZpqEJNkGSAGzI0zhdp6GGyCQ9&#10;3nyff729o0HJi68Q5SXRB4w/FFiWLhU31HMGFsctxtSIKC8hqY6DB21MHrZxrK/4YrG4yQkIRtfJ&#10;mcIwtPu1Cewo0rrkL7Miz8uwAAdXj0WMO5NOPEfF9lCfduEiBs0td3PesbQYL+2c/fxfr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oAKd9YAAAAGAQAADwAAAAAAAAABACAAAAAiAAAAZHJzL2Rv&#10;d25yZXYueG1sUEsBAhQAFAAAAAgAh07iQDqYz9HKAQAAnwMAAA4AAAAAAAAAAQAgAAAAJQEAAGRy&#10;cy9lMm9Eb2MueG1sUEsFBgAAAAAGAAYAWQEAAGEFAAAAAA==&#10;">
                <v:fill on="f" focussize="0,0"/>
                <v:stroke weight="0.35pt" color="#000000" joinstyle="round"/>
                <v:imagedata o:title=""/>
                <o:lock v:ext="edit" aspectratio="f"/>
              </v:line>
            </w:pict>
          </mc:Fallback>
        </mc:AlternateContent>
      </w:r>
      <w:r>
        <w:rPr>
          <w:rFonts w:hint="eastAsia" w:ascii="Times New Roman" w:hAnsi="Times New Roman" w:eastAsia="方正仿宋_GBK"/>
          <w:sz w:val="28"/>
          <w:szCs w:val="28"/>
        </w:rPr>
        <w:t>重庆市大足区教育委员会办公室            20</w:t>
      </w:r>
      <w:r>
        <w:rPr>
          <w:rFonts w:hint="eastAsia" w:ascii="Times New Roman" w:hAnsi="Times New Roman" w:eastAsia="方正仿宋_GBK"/>
          <w:sz w:val="28"/>
          <w:szCs w:val="28"/>
          <w:lang w:val="en-US" w:eastAsia="zh-CN"/>
        </w:rPr>
        <w:t>21</w:t>
      </w:r>
      <w:r>
        <w:rPr>
          <w:rFonts w:hint="eastAsia" w:ascii="Times New Roman" w:hAnsi="Times New Roman" w:eastAsia="方正仿宋_GBK"/>
          <w:sz w:val="28"/>
          <w:szCs w:val="28"/>
        </w:rPr>
        <w:t>年</w:t>
      </w:r>
      <w:r>
        <w:rPr>
          <w:rFonts w:hint="eastAsia" w:ascii="Times New Roman" w:hAnsi="Times New Roman" w:eastAsia="方正仿宋_GBK"/>
          <w:sz w:val="28"/>
          <w:szCs w:val="28"/>
          <w:lang w:val="en-US" w:eastAsia="zh-CN"/>
        </w:rPr>
        <w:t>9</w:t>
      </w:r>
      <w:r>
        <w:rPr>
          <w:rFonts w:hint="eastAsia" w:ascii="Times New Roman" w:hAnsi="Times New Roman" w:eastAsia="方正仿宋_GBK"/>
          <w:sz w:val="28"/>
          <w:szCs w:val="28"/>
        </w:rPr>
        <w:t>月</w:t>
      </w:r>
      <w:r>
        <w:rPr>
          <w:rFonts w:hint="eastAsia" w:ascii="Times New Roman" w:hAnsi="Times New Roman" w:eastAsia="方正仿宋_GBK"/>
          <w:sz w:val="28"/>
          <w:szCs w:val="28"/>
          <w:lang w:val="en-US" w:eastAsia="zh-CN"/>
        </w:rPr>
        <w:t>1</w:t>
      </w:r>
      <w:r>
        <w:rPr>
          <w:rFonts w:hint="eastAsia" w:ascii="Times New Roman" w:hAnsi="Times New Roman" w:eastAsia="方正仿宋_GBK"/>
          <w:sz w:val="28"/>
          <w:szCs w:val="28"/>
        </w:rPr>
        <w:t>日印发</w:t>
      </w:r>
    </w:p>
    <w:sectPr>
      <w:headerReference r:id="rId3" w:type="default"/>
      <w:footerReference r:id="rId4" w:type="default"/>
      <w:footerReference r:id="rId5" w:type="even"/>
      <w:pgSz w:w="11906" w:h="16838"/>
      <w:pgMar w:top="1985" w:right="1446" w:bottom="1644" w:left="1446"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36" w:y="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- 13 -</w:t>
    </w:r>
    <w:r>
      <w:rPr>
        <w:rStyle w:val="10"/>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76" w:y="5"/>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- 14 -</w:t>
    </w:r>
    <w:r>
      <w:rPr>
        <w:rStyle w:val="10"/>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D9"/>
    <w:rsid w:val="00010BDA"/>
    <w:rsid w:val="000130F3"/>
    <w:rsid w:val="00014D81"/>
    <w:rsid w:val="000227FA"/>
    <w:rsid w:val="000376BE"/>
    <w:rsid w:val="00040B9B"/>
    <w:rsid w:val="000422B8"/>
    <w:rsid w:val="00046034"/>
    <w:rsid w:val="00056D64"/>
    <w:rsid w:val="000A5256"/>
    <w:rsid w:val="000A6288"/>
    <w:rsid w:val="000B4499"/>
    <w:rsid w:val="000C5395"/>
    <w:rsid w:val="000D7D57"/>
    <w:rsid w:val="000F1A52"/>
    <w:rsid w:val="001213ED"/>
    <w:rsid w:val="001217E9"/>
    <w:rsid w:val="001258B8"/>
    <w:rsid w:val="00143F70"/>
    <w:rsid w:val="00162CF4"/>
    <w:rsid w:val="001710F8"/>
    <w:rsid w:val="00190868"/>
    <w:rsid w:val="00195140"/>
    <w:rsid w:val="001B1851"/>
    <w:rsid w:val="001B1951"/>
    <w:rsid w:val="001B23AB"/>
    <w:rsid w:val="001D0445"/>
    <w:rsid w:val="001E020A"/>
    <w:rsid w:val="001F0274"/>
    <w:rsid w:val="00200431"/>
    <w:rsid w:val="00213705"/>
    <w:rsid w:val="002209EE"/>
    <w:rsid w:val="002220BB"/>
    <w:rsid w:val="00223EAD"/>
    <w:rsid w:val="00225A9A"/>
    <w:rsid w:val="0022694B"/>
    <w:rsid w:val="00231329"/>
    <w:rsid w:val="00237075"/>
    <w:rsid w:val="00242A2A"/>
    <w:rsid w:val="0025132E"/>
    <w:rsid w:val="00261365"/>
    <w:rsid w:val="002729B9"/>
    <w:rsid w:val="002768BE"/>
    <w:rsid w:val="00280AD7"/>
    <w:rsid w:val="00284D80"/>
    <w:rsid w:val="00291807"/>
    <w:rsid w:val="002A483C"/>
    <w:rsid w:val="002C6018"/>
    <w:rsid w:val="002D6747"/>
    <w:rsid w:val="00306C85"/>
    <w:rsid w:val="003139C4"/>
    <w:rsid w:val="00313D2D"/>
    <w:rsid w:val="00324149"/>
    <w:rsid w:val="0032536B"/>
    <w:rsid w:val="00334F13"/>
    <w:rsid w:val="0033526A"/>
    <w:rsid w:val="00352916"/>
    <w:rsid w:val="00360B9B"/>
    <w:rsid w:val="00367EBB"/>
    <w:rsid w:val="003723B7"/>
    <w:rsid w:val="003805C6"/>
    <w:rsid w:val="00381434"/>
    <w:rsid w:val="00390167"/>
    <w:rsid w:val="00390AF9"/>
    <w:rsid w:val="003973B1"/>
    <w:rsid w:val="003A1773"/>
    <w:rsid w:val="003A284C"/>
    <w:rsid w:val="003A2F48"/>
    <w:rsid w:val="003A41E8"/>
    <w:rsid w:val="003A6FC7"/>
    <w:rsid w:val="003B1A94"/>
    <w:rsid w:val="003D2692"/>
    <w:rsid w:val="003D6DE0"/>
    <w:rsid w:val="003D7C47"/>
    <w:rsid w:val="003E374F"/>
    <w:rsid w:val="003F048F"/>
    <w:rsid w:val="003F6D56"/>
    <w:rsid w:val="00401C44"/>
    <w:rsid w:val="004028C8"/>
    <w:rsid w:val="00412DFD"/>
    <w:rsid w:val="004246F0"/>
    <w:rsid w:val="00424B22"/>
    <w:rsid w:val="00424E65"/>
    <w:rsid w:val="004355E2"/>
    <w:rsid w:val="00444D8C"/>
    <w:rsid w:val="004450DB"/>
    <w:rsid w:val="00451A30"/>
    <w:rsid w:val="004536E8"/>
    <w:rsid w:val="00454A56"/>
    <w:rsid w:val="00463715"/>
    <w:rsid w:val="0046562C"/>
    <w:rsid w:val="00471436"/>
    <w:rsid w:val="0047229F"/>
    <w:rsid w:val="00475B98"/>
    <w:rsid w:val="00475F3D"/>
    <w:rsid w:val="00477BCD"/>
    <w:rsid w:val="00477EE2"/>
    <w:rsid w:val="004810AB"/>
    <w:rsid w:val="0048690C"/>
    <w:rsid w:val="00487C20"/>
    <w:rsid w:val="00490810"/>
    <w:rsid w:val="004E4A18"/>
    <w:rsid w:val="004F756D"/>
    <w:rsid w:val="005026C4"/>
    <w:rsid w:val="00515C26"/>
    <w:rsid w:val="005178BC"/>
    <w:rsid w:val="005512FA"/>
    <w:rsid w:val="00551881"/>
    <w:rsid w:val="00572414"/>
    <w:rsid w:val="0057253A"/>
    <w:rsid w:val="00575054"/>
    <w:rsid w:val="00576F42"/>
    <w:rsid w:val="0058178B"/>
    <w:rsid w:val="0058249D"/>
    <w:rsid w:val="00586AFF"/>
    <w:rsid w:val="005B31C2"/>
    <w:rsid w:val="005B62A0"/>
    <w:rsid w:val="005B7CF9"/>
    <w:rsid w:val="005C5F26"/>
    <w:rsid w:val="005D6A5A"/>
    <w:rsid w:val="005E2A0E"/>
    <w:rsid w:val="005E3054"/>
    <w:rsid w:val="005E374E"/>
    <w:rsid w:val="005E55E2"/>
    <w:rsid w:val="005E665C"/>
    <w:rsid w:val="005F1730"/>
    <w:rsid w:val="005F2247"/>
    <w:rsid w:val="00606F79"/>
    <w:rsid w:val="006175C2"/>
    <w:rsid w:val="006337FE"/>
    <w:rsid w:val="00640DE5"/>
    <w:rsid w:val="006426F1"/>
    <w:rsid w:val="006457B4"/>
    <w:rsid w:val="00650FB8"/>
    <w:rsid w:val="006760A2"/>
    <w:rsid w:val="0068056A"/>
    <w:rsid w:val="006970B1"/>
    <w:rsid w:val="006A5B91"/>
    <w:rsid w:val="006A617B"/>
    <w:rsid w:val="006B3719"/>
    <w:rsid w:val="006B3862"/>
    <w:rsid w:val="006C02A0"/>
    <w:rsid w:val="006D0031"/>
    <w:rsid w:val="006E00C0"/>
    <w:rsid w:val="006E081A"/>
    <w:rsid w:val="006E1E07"/>
    <w:rsid w:val="006F02C5"/>
    <w:rsid w:val="006F3162"/>
    <w:rsid w:val="0070198D"/>
    <w:rsid w:val="0070673F"/>
    <w:rsid w:val="0071049C"/>
    <w:rsid w:val="0071686B"/>
    <w:rsid w:val="00723E41"/>
    <w:rsid w:val="00730276"/>
    <w:rsid w:val="0073214C"/>
    <w:rsid w:val="00732328"/>
    <w:rsid w:val="00734D92"/>
    <w:rsid w:val="00737521"/>
    <w:rsid w:val="007414B0"/>
    <w:rsid w:val="00745F2F"/>
    <w:rsid w:val="00752938"/>
    <w:rsid w:val="00757740"/>
    <w:rsid w:val="00764DF5"/>
    <w:rsid w:val="00765A19"/>
    <w:rsid w:val="007742FF"/>
    <w:rsid w:val="0077641F"/>
    <w:rsid w:val="0078286C"/>
    <w:rsid w:val="00793FB4"/>
    <w:rsid w:val="007A04A1"/>
    <w:rsid w:val="007A59E5"/>
    <w:rsid w:val="007A62C2"/>
    <w:rsid w:val="007E3A1F"/>
    <w:rsid w:val="007F43A1"/>
    <w:rsid w:val="007F715E"/>
    <w:rsid w:val="0081041C"/>
    <w:rsid w:val="008170F0"/>
    <w:rsid w:val="0082145F"/>
    <w:rsid w:val="008331A4"/>
    <w:rsid w:val="00836365"/>
    <w:rsid w:val="008533BB"/>
    <w:rsid w:val="008613FD"/>
    <w:rsid w:val="00862650"/>
    <w:rsid w:val="00863DE5"/>
    <w:rsid w:val="0086434C"/>
    <w:rsid w:val="00874B46"/>
    <w:rsid w:val="008825EA"/>
    <w:rsid w:val="008903B0"/>
    <w:rsid w:val="0089502B"/>
    <w:rsid w:val="0089736D"/>
    <w:rsid w:val="008A1746"/>
    <w:rsid w:val="008A4DAC"/>
    <w:rsid w:val="008D3478"/>
    <w:rsid w:val="008D5ADC"/>
    <w:rsid w:val="008E298C"/>
    <w:rsid w:val="008E66AD"/>
    <w:rsid w:val="00902369"/>
    <w:rsid w:val="00912759"/>
    <w:rsid w:val="00912F99"/>
    <w:rsid w:val="00916334"/>
    <w:rsid w:val="0092149E"/>
    <w:rsid w:val="00931EDE"/>
    <w:rsid w:val="0093646A"/>
    <w:rsid w:val="00936AF4"/>
    <w:rsid w:val="009378F1"/>
    <w:rsid w:val="00946CCA"/>
    <w:rsid w:val="00956B16"/>
    <w:rsid w:val="00960814"/>
    <w:rsid w:val="00976CCF"/>
    <w:rsid w:val="00987C72"/>
    <w:rsid w:val="00996206"/>
    <w:rsid w:val="009B6767"/>
    <w:rsid w:val="009B6AAA"/>
    <w:rsid w:val="009D31C5"/>
    <w:rsid w:val="009E1571"/>
    <w:rsid w:val="009E3339"/>
    <w:rsid w:val="009E4686"/>
    <w:rsid w:val="009F01EC"/>
    <w:rsid w:val="00A02114"/>
    <w:rsid w:val="00A055A8"/>
    <w:rsid w:val="00A20E8A"/>
    <w:rsid w:val="00A322AC"/>
    <w:rsid w:val="00A404A3"/>
    <w:rsid w:val="00A45169"/>
    <w:rsid w:val="00A70FA2"/>
    <w:rsid w:val="00A7220C"/>
    <w:rsid w:val="00A74CDC"/>
    <w:rsid w:val="00A85EB3"/>
    <w:rsid w:val="00A97108"/>
    <w:rsid w:val="00AA6259"/>
    <w:rsid w:val="00AA7DFA"/>
    <w:rsid w:val="00B124D2"/>
    <w:rsid w:val="00B15E27"/>
    <w:rsid w:val="00B20E6D"/>
    <w:rsid w:val="00B500D9"/>
    <w:rsid w:val="00B52A38"/>
    <w:rsid w:val="00B53362"/>
    <w:rsid w:val="00B55F58"/>
    <w:rsid w:val="00B57368"/>
    <w:rsid w:val="00B602E9"/>
    <w:rsid w:val="00B730B4"/>
    <w:rsid w:val="00B733A2"/>
    <w:rsid w:val="00B804C6"/>
    <w:rsid w:val="00B8306F"/>
    <w:rsid w:val="00B878A0"/>
    <w:rsid w:val="00BA45CA"/>
    <w:rsid w:val="00BA7026"/>
    <w:rsid w:val="00BB0918"/>
    <w:rsid w:val="00BB4B28"/>
    <w:rsid w:val="00BC25EF"/>
    <w:rsid w:val="00BD3B2F"/>
    <w:rsid w:val="00BE0484"/>
    <w:rsid w:val="00BE4799"/>
    <w:rsid w:val="00BF1F20"/>
    <w:rsid w:val="00BF3F1B"/>
    <w:rsid w:val="00C148F2"/>
    <w:rsid w:val="00C166D4"/>
    <w:rsid w:val="00C17C39"/>
    <w:rsid w:val="00C51242"/>
    <w:rsid w:val="00C56177"/>
    <w:rsid w:val="00C71A68"/>
    <w:rsid w:val="00C72DBE"/>
    <w:rsid w:val="00C75346"/>
    <w:rsid w:val="00C758A0"/>
    <w:rsid w:val="00C7680B"/>
    <w:rsid w:val="00C84369"/>
    <w:rsid w:val="00C85CBC"/>
    <w:rsid w:val="00C9187A"/>
    <w:rsid w:val="00C9209E"/>
    <w:rsid w:val="00C9700A"/>
    <w:rsid w:val="00CB6C53"/>
    <w:rsid w:val="00CD31FB"/>
    <w:rsid w:val="00CD752B"/>
    <w:rsid w:val="00CE673C"/>
    <w:rsid w:val="00CF18AE"/>
    <w:rsid w:val="00D12CF8"/>
    <w:rsid w:val="00D24B1F"/>
    <w:rsid w:val="00D3162E"/>
    <w:rsid w:val="00D317CE"/>
    <w:rsid w:val="00D330A3"/>
    <w:rsid w:val="00D4043A"/>
    <w:rsid w:val="00D41422"/>
    <w:rsid w:val="00D46FF8"/>
    <w:rsid w:val="00D47313"/>
    <w:rsid w:val="00D525BA"/>
    <w:rsid w:val="00D56022"/>
    <w:rsid w:val="00D626AB"/>
    <w:rsid w:val="00D62BAB"/>
    <w:rsid w:val="00D82DEF"/>
    <w:rsid w:val="00D86257"/>
    <w:rsid w:val="00D9210B"/>
    <w:rsid w:val="00D93DF7"/>
    <w:rsid w:val="00D95F1F"/>
    <w:rsid w:val="00D97BE3"/>
    <w:rsid w:val="00D97FA9"/>
    <w:rsid w:val="00DA4399"/>
    <w:rsid w:val="00DA7721"/>
    <w:rsid w:val="00DB42D9"/>
    <w:rsid w:val="00DB577C"/>
    <w:rsid w:val="00DE2F38"/>
    <w:rsid w:val="00DE6686"/>
    <w:rsid w:val="00DF1232"/>
    <w:rsid w:val="00DF6C5D"/>
    <w:rsid w:val="00DF7A2E"/>
    <w:rsid w:val="00E0058D"/>
    <w:rsid w:val="00E04631"/>
    <w:rsid w:val="00E12306"/>
    <w:rsid w:val="00E14DDE"/>
    <w:rsid w:val="00E178CC"/>
    <w:rsid w:val="00E2166C"/>
    <w:rsid w:val="00E32FA7"/>
    <w:rsid w:val="00E365EA"/>
    <w:rsid w:val="00E42A93"/>
    <w:rsid w:val="00E45189"/>
    <w:rsid w:val="00E467B2"/>
    <w:rsid w:val="00E4682F"/>
    <w:rsid w:val="00E726BB"/>
    <w:rsid w:val="00E7787A"/>
    <w:rsid w:val="00E90C81"/>
    <w:rsid w:val="00E91E7F"/>
    <w:rsid w:val="00E97AC8"/>
    <w:rsid w:val="00EA4D38"/>
    <w:rsid w:val="00EC313C"/>
    <w:rsid w:val="00EE1856"/>
    <w:rsid w:val="00EE3DAB"/>
    <w:rsid w:val="00EF3921"/>
    <w:rsid w:val="00F031B0"/>
    <w:rsid w:val="00F03FA8"/>
    <w:rsid w:val="00F05BFF"/>
    <w:rsid w:val="00F10749"/>
    <w:rsid w:val="00F14F9B"/>
    <w:rsid w:val="00F24FAE"/>
    <w:rsid w:val="00F2711F"/>
    <w:rsid w:val="00F4180E"/>
    <w:rsid w:val="00F450DE"/>
    <w:rsid w:val="00F61BBD"/>
    <w:rsid w:val="00F654F2"/>
    <w:rsid w:val="00F749F8"/>
    <w:rsid w:val="00FA205B"/>
    <w:rsid w:val="00FB6E84"/>
    <w:rsid w:val="00FC11F8"/>
    <w:rsid w:val="00FD55D1"/>
    <w:rsid w:val="00FF5D59"/>
    <w:rsid w:val="00FF60F6"/>
    <w:rsid w:val="0418372D"/>
    <w:rsid w:val="0F8C5A02"/>
    <w:rsid w:val="26610A5C"/>
    <w:rsid w:val="6323050F"/>
    <w:rsid w:val="6A66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Date"/>
    <w:basedOn w:val="1"/>
    <w:next w:val="1"/>
    <w:link w:val="13"/>
    <w:qFormat/>
    <w:uiPriority w:val="0"/>
    <w:pPr>
      <w:ind w:left="100" w:leftChars="2500"/>
    </w:pPr>
    <w:rPr>
      <w:rFonts w:ascii="Times New Roman" w:hAnsi="Times New Roman"/>
      <w:szCs w:val="24"/>
    </w:rPr>
  </w:style>
  <w:style w:type="paragraph" w:styleId="4">
    <w:name w:val="footer"/>
    <w:basedOn w:val="1"/>
    <w:link w:val="15"/>
    <w:semiHidden/>
    <w:qFormat/>
    <w:uiPriority w:val="0"/>
    <w:pPr>
      <w:tabs>
        <w:tab w:val="center" w:pos="4153"/>
        <w:tab w:val="right" w:pos="8306"/>
      </w:tabs>
      <w:snapToGrid w:val="0"/>
      <w:jc w:val="left"/>
    </w:pPr>
    <w:rPr>
      <w:sz w:val="18"/>
      <w:szCs w:val="18"/>
    </w:rPr>
  </w:style>
  <w:style w:type="paragraph" w:styleId="5">
    <w:name w:val="header"/>
    <w:basedOn w:val="1"/>
    <w:link w:val="14"/>
    <w:semiHidden/>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9">
    <w:name w:val="Strong"/>
    <w:qFormat/>
    <w:locked/>
    <w:uiPriority w:val="0"/>
    <w:rPr>
      <w:b/>
      <w:bCs/>
    </w:rPr>
  </w:style>
  <w:style w:type="character" w:styleId="10">
    <w:name w:val="page number"/>
    <w:basedOn w:val="8"/>
    <w:qFormat/>
    <w:uiPriority w:val="0"/>
  </w:style>
  <w:style w:type="paragraph" w:customStyle="1" w:styleId="11">
    <w:name w:val="列出段落1"/>
    <w:basedOn w:val="1"/>
    <w:qFormat/>
    <w:uiPriority w:val="0"/>
    <w:pPr>
      <w:ind w:firstLine="420" w:firstLineChars="200"/>
    </w:pPr>
  </w:style>
  <w:style w:type="character" w:customStyle="1" w:styleId="12">
    <w:name w:val="纯文本 Char"/>
    <w:link w:val="2"/>
    <w:qFormat/>
    <w:locked/>
    <w:uiPriority w:val="0"/>
    <w:rPr>
      <w:rFonts w:ascii="宋体" w:hAnsi="Courier New" w:eastAsia="宋体" w:cs="Courier New"/>
      <w:sz w:val="21"/>
      <w:szCs w:val="21"/>
    </w:rPr>
  </w:style>
  <w:style w:type="character" w:customStyle="1" w:styleId="13">
    <w:name w:val="日期 Char"/>
    <w:link w:val="3"/>
    <w:qFormat/>
    <w:locked/>
    <w:uiPriority w:val="0"/>
    <w:rPr>
      <w:rFonts w:ascii="Times New Roman" w:hAnsi="Times New Roman" w:eastAsia="宋体" w:cs="Times New Roman"/>
      <w:sz w:val="24"/>
      <w:szCs w:val="24"/>
    </w:rPr>
  </w:style>
  <w:style w:type="character" w:customStyle="1" w:styleId="14">
    <w:name w:val="页眉 Char"/>
    <w:link w:val="5"/>
    <w:semiHidden/>
    <w:qFormat/>
    <w:locked/>
    <w:uiPriority w:val="0"/>
    <w:rPr>
      <w:rFonts w:cs="Times New Roman"/>
      <w:sz w:val="18"/>
      <w:szCs w:val="18"/>
    </w:rPr>
  </w:style>
  <w:style w:type="character" w:customStyle="1" w:styleId="15">
    <w:name w:val="页脚 Char"/>
    <w:link w:val="4"/>
    <w:semiHidden/>
    <w:qFormat/>
    <w:locked/>
    <w:uiPriority w:val="0"/>
    <w:rPr>
      <w:rFonts w:cs="Times New Roman"/>
      <w:sz w:val="18"/>
      <w:szCs w:val="18"/>
    </w:rPr>
  </w:style>
  <w:style w:type="paragraph" w:customStyle="1" w:styleId="16">
    <w:name w:val="彩色列表1"/>
    <w:basedOn w:val="1"/>
    <w:qFormat/>
    <w:uiPriority w:val="0"/>
    <w:pPr>
      <w:ind w:firstLine="420" w:firstLineChars="200"/>
    </w:pPr>
  </w:style>
  <w:style w:type="character" w:customStyle="1" w:styleId="17">
    <w:name w:val="Char Char2"/>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1260</Words>
  <Characters>7182</Characters>
  <Lines>59</Lines>
  <Paragraphs>16</Paragraphs>
  <TotalTime>3</TotalTime>
  <ScaleCrop>false</ScaleCrop>
  <LinksUpToDate>false</LinksUpToDate>
  <CharactersWithSpaces>8426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2019-05-13T07:17:00Z</dcterms:created>
  <dc:creator>Administrator</dc:creator>
  <cp:lastModifiedBy>谢慈玉</cp:lastModifiedBy>
  <cp:lastPrinted>2015-01-14T01:24:00Z</cp:lastPrinted>
  <dcterms:modified xsi:type="dcterms:W3CDTF">2021-09-06T02:31:44Z</dcterms:modified>
  <dc:title>大足教发﹝2014﹞112号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F99BB937180A44C68182307E5D2CFCEC</vt:lpwstr>
  </property>
</Properties>
</file>