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重庆市大足区区本级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年“三公”经费预算汇总情况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按照《预算法》和《重庆市预决算信息公开管理办法》要求，汇总公开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本级“三公”经费预算。</w:t>
      </w:r>
      <w:r>
        <w:rPr>
          <w:rFonts w:hint="eastAsia" w:ascii="方正仿宋_GBK" w:eastAsia="方正仿宋_GBK"/>
          <w:sz w:val="32"/>
          <w:szCs w:val="32"/>
          <w:lang w:eastAsia="zh-CN"/>
        </w:rPr>
        <w:t>经汇总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年区本级公共财政预算中“三公”经费为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3507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比上年减少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1万元</w:t>
      </w:r>
      <w:r>
        <w:rPr>
          <w:rFonts w:hint="eastAsia" w:ascii="方正仿宋_GBK" w:eastAsia="方正仿宋_GBK"/>
          <w:sz w:val="32"/>
          <w:szCs w:val="32"/>
        </w:rPr>
        <w:t>，严格落实了</w:t>
      </w:r>
      <w:r>
        <w:rPr>
          <w:rFonts w:hint="eastAsia" w:ascii="方正仿宋_GBK" w:eastAsia="方正仿宋_GBK"/>
          <w:sz w:val="32"/>
          <w:szCs w:val="32"/>
          <w:lang w:eastAsia="zh-CN"/>
        </w:rPr>
        <w:t>中央八项规定</w:t>
      </w:r>
      <w:r>
        <w:rPr>
          <w:rFonts w:hint="eastAsia" w:ascii="方正仿宋_GBK" w:eastAsia="方正仿宋_GBK"/>
          <w:sz w:val="32"/>
          <w:szCs w:val="32"/>
        </w:rPr>
        <w:t>和政府过“紧日子”十条相关要求，严控“三公”经费支出预算。其中：公务接待费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734</w:t>
      </w:r>
      <w:r>
        <w:rPr>
          <w:rFonts w:hint="eastAsia" w:ascii="方正仿宋_GBK" w:eastAsia="方正仿宋_GBK"/>
          <w:sz w:val="32"/>
          <w:szCs w:val="32"/>
        </w:rPr>
        <w:t>万元，公务用车运行维护费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53</w:t>
      </w:r>
      <w:r>
        <w:rPr>
          <w:rFonts w:hint="eastAsia" w:ascii="方正仿宋_GBK" w:eastAsia="方正仿宋_GBK"/>
          <w:sz w:val="32"/>
          <w:szCs w:val="32"/>
        </w:rPr>
        <w:t>万元，公务用车购置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321</w:t>
      </w:r>
      <w:r>
        <w:rPr>
          <w:rFonts w:hint="eastAsia" w:ascii="方正仿宋_GBK" w:eastAsia="方正仿宋_GBK"/>
          <w:sz w:val="32"/>
          <w:szCs w:val="32"/>
        </w:rPr>
        <w:t>万元，因公出国（境）费用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99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大足区区本</w:t>
      </w:r>
      <w:r>
        <w:rPr>
          <w:rFonts w:hint="eastAsia" w:ascii="方正仿宋_GBK" w:eastAsia="方正仿宋_GBK"/>
          <w:sz w:val="32"/>
          <w:szCs w:val="32"/>
        </w:rPr>
        <w:t>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年“三公”经费预算表</w:t>
      </w:r>
    </w:p>
    <w:p>
      <w:pPr>
        <w:ind w:firstLine="6720" w:firstLineChars="24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单位：</w:t>
      </w:r>
      <w:r>
        <w:rPr>
          <w:rFonts w:hint="eastAsia" w:ascii="方正仿宋_GBK" w:eastAsia="方正仿宋_GBK"/>
          <w:sz w:val="28"/>
          <w:szCs w:val="28"/>
          <w:lang w:eastAsia="zh-CN"/>
        </w:rPr>
        <w:t>万</w:t>
      </w:r>
      <w:r>
        <w:rPr>
          <w:rFonts w:hint="eastAsia" w:ascii="方正仿宋_GBK" w:eastAsia="方正仿宋_GBK"/>
          <w:sz w:val="28"/>
          <w:szCs w:val="28"/>
        </w:rPr>
        <w:t>元</w:t>
      </w:r>
    </w:p>
    <w:tbl>
      <w:tblPr>
        <w:tblStyle w:val="2"/>
        <w:tblW w:w="857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25"/>
        <w:gridCol w:w="1515"/>
        <w:gridCol w:w="1515"/>
        <w:gridCol w:w="1515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因公出国出境费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公务车购置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3507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2674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321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2353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734</w:t>
            </w:r>
          </w:p>
        </w:tc>
      </w:tr>
    </w:tbl>
    <w:p>
      <w:pPr>
        <w:ind w:firstLine="420" w:firstLineChars="200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DMxMWM5MjBlMjg4NDM1YjQxMTU1ZTIwZWI4MDcifQ=="/>
  </w:docVars>
  <w:rsids>
    <w:rsidRoot w:val="14CC5591"/>
    <w:rsid w:val="130B1945"/>
    <w:rsid w:val="149914AD"/>
    <w:rsid w:val="14CC5591"/>
    <w:rsid w:val="4A7B662E"/>
    <w:rsid w:val="757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296</Characters>
  <Lines>0</Lines>
  <Paragraphs>0</Paragraphs>
  <TotalTime>132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2023-02-14T01:11:00Z</dcterms:created>
  <dc:creator>Administrator</dc:creator>
  <cp:lastModifiedBy>荼蘼</cp:lastModifiedBy>
  <dcterms:modified xsi:type="dcterms:W3CDTF">2024-02-18T07:23:01Z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39507817ABE141C49CE733FD0FBD0CFA</vt:lpwstr>
  </property>
</Properties>
</file>