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73"/>
        </w:tabs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tabs>
          <w:tab w:val="center" w:pos="4873"/>
        </w:tabs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关于重庆市大足区2017年财政预算</w:t>
      </w:r>
    </w:p>
    <w:p>
      <w:pPr>
        <w:tabs>
          <w:tab w:val="center" w:pos="4873"/>
        </w:tabs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执行情况和2018年财政预算（草案）的报告</w:t>
      </w:r>
    </w:p>
    <w:p>
      <w:pPr>
        <w:tabs>
          <w:tab w:val="center" w:pos="4873"/>
        </w:tabs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楷体_GBK" w:hAnsi="宋体" w:eastAsia="方正楷体_GBK"/>
          <w:snapToGrid w:val="0"/>
          <w:kern w:val="0"/>
          <w:szCs w:val="32"/>
        </w:rPr>
      </w:pPr>
      <w:r>
        <w:rPr>
          <w:rFonts w:hint="eastAsia" w:ascii="方正楷体_GBK" w:hAnsi="宋体" w:eastAsia="方正楷体_GBK"/>
          <w:snapToGrid w:val="0"/>
          <w:kern w:val="0"/>
          <w:szCs w:val="32"/>
        </w:rPr>
        <w:t>重庆市大足区财政局</w:t>
      </w:r>
    </w:p>
    <w:p>
      <w:pPr>
        <w:spacing w:line="600" w:lineRule="exact"/>
        <w:rPr>
          <w:rFonts w:hint="eastAsia"/>
          <w:kern w:val="0"/>
        </w:rPr>
      </w:pPr>
    </w:p>
    <w:p>
      <w:pPr>
        <w:spacing w:line="600" w:lineRule="exact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各位代表：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受区人民政府委托，现将重庆市大足区2017年财政预算执行情况和2018年财政预算（草案）的报告提请大会审议，并请各位政协委员提出意见。</w:t>
      </w:r>
    </w:p>
    <w:p>
      <w:pPr>
        <w:spacing w:line="600" w:lineRule="exact"/>
        <w:ind w:firstLine="642" w:firstLineChars="200"/>
        <w:rPr>
          <w:rFonts w:hint="eastAsia" w:ascii="方正黑体_GBK" w:hAnsi="仿宋" w:eastAsia="方正黑体_GBK" w:cs="方正黑体_GBK"/>
          <w:szCs w:val="32"/>
        </w:rPr>
      </w:pPr>
      <w:r>
        <w:rPr>
          <w:rFonts w:hint="eastAsia" w:ascii="方正黑体_GBK" w:hAnsi="仿宋" w:eastAsia="方正黑体_GBK" w:cs="方正黑体_GBK"/>
          <w:szCs w:val="32"/>
        </w:rPr>
        <w:t>一、2017年预算执行情况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2017年，在区委的坚强领导下，在区人大的监督指导下，在区政协的关心支持下，区财政认真贯彻区委的决策部署，围绕“稳增长、促改革、调结构、惠民生、防风险”任务，认真实施积极财政政策，调整优化支出结构，不断深化财政改革，加强财政监督，较好完成各项财政工作任务，促进了全区经济社会持续健康发展。按照区第二届人民代表大会第一次会议批准的《关于重庆市大足区2016年财政预算执行情况和2017年财政预算（草案）的报告》，以及区</w:t>
      </w:r>
      <w:bookmarkStart w:id="0" w:name="_GoBack"/>
      <w:bookmarkEnd w:id="0"/>
      <w:r>
        <w:rPr>
          <w:rFonts w:hint="eastAsia" w:ascii="方正仿宋_GBK" w:hAnsi="仿宋"/>
          <w:szCs w:val="32"/>
        </w:rPr>
        <w:t>二届人大常委会第五次会议批准的调整预算，2017年全区预算执行情况如下：</w:t>
      </w:r>
    </w:p>
    <w:p>
      <w:pPr>
        <w:spacing w:line="600" w:lineRule="exact"/>
        <w:ind w:firstLine="642" w:firstLineChars="200"/>
        <w:rPr>
          <w:rFonts w:hint="eastAsia" w:ascii="方正楷体_GBK" w:hAnsi="仿宋" w:eastAsia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（一）全区财政收支执行情况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全区地方财政收入完成657,174万元，为预算的100%，同口径增长2.1%。其中：一般公共预算收入完成376,927万元，为预算的100.1%，同口径增长0.3%；政府性基金预算收入完成279,247</w:t>
      </w:r>
      <w:r>
        <w:rPr>
          <w:rFonts w:hint="eastAsia" w:ascii="方正仿宋_GBK" w:hAnsi="仿宋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1714500</wp:posOffset>
            </wp:positionV>
            <wp:extent cx="5715000" cy="2486025"/>
            <wp:effectExtent l="0" t="0" r="0" b="9525"/>
            <wp:wrapSquare wrapText="bothSides"/>
            <wp:docPr id="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仿宋"/>
          <w:szCs w:val="32"/>
        </w:rPr>
        <w:t>万元，为预算的100%，增长4.6%；国有资本经营预算收入完成1,000万元，为预算的100%。</w:t>
      </w:r>
    </w:p>
    <w:p>
      <w:pPr>
        <w:spacing w:line="600" w:lineRule="exact"/>
        <w:ind w:firstLine="642" w:firstLineChars="200"/>
        <w:rPr>
          <w:rFonts w:hint="eastAsia" w:ascii="方正楷体_GBK" w:hAnsi="仿宋" w:eastAsia="方正楷体_GBK" w:cs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（二）全区地方政府债券收支情况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2017年，全区新增政府债券142,600万元，其中：一般债券27,000万元，专项债券115,600万元。新增债券中，置换债券42,600万元（其中：一般债券27,000万元、专项债券15,600万元），专项债券100,000万元。主要用于市政道路、学校扩建工程、精神卫生中心及社会福利中心修建、市政园林设施设备、应指工程等建设支出（详见参阅材料三附件1）。</w:t>
      </w:r>
    </w:p>
    <w:p>
      <w:pPr>
        <w:spacing w:line="600" w:lineRule="exact"/>
        <w:ind w:firstLine="642" w:firstLineChars="200"/>
        <w:rPr>
          <w:rFonts w:hint="eastAsia" w:ascii="方正楷体_GBK" w:hAnsi="仿宋" w:eastAsia="方正楷体_GBK" w:cs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（三）区本级财政收支执行情况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 xml:space="preserve">区本级地方财政收入完成655,353万元，为预算的100%，同口径增长2.1%。其中：一般公共预算收入完成375,106万元，为预算的100%，同口径增长0.3%；政府性基金预算收入完成279,247万元，为预算的100%，增长4.6%；国有资本经营预算收入完成 </w:t>
      </w:r>
      <w:r>
        <w:rPr>
          <w:rFonts w:hint="eastAsia" w:ascii="方正仿宋_GBK" w:hAnsi="仿宋" w:cs="方正楷体_GBK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1200150</wp:posOffset>
            </wp:positionV>
            <wp:extent cx="5715000" cy="2453640"/>
            <wp:effectExtent l="0" t="0" r="0" b="3810"/>
            <wp:wrapSquare wrapText="bothSides"/>
            <wp:docPr id="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仿宋"/>
          <w:szCs w:val="32"/>
        </w:rPr>
        <w:t>1,000万元，为预算的100%（详见参阅材料三附件2）。</w:t>
      </w:r>
    </w:p>
    <w:p>
      <w:pPr>
        <w:spacing w:line="600" w:lineRule="exact"/>
        <w:ind w:firstLine="642" w:firstLineChars="200"/>
        <w:rPr>
          <w:rFonts w:hint="eastAsia" w:ascii="方正楷体_GBK" w:hAnsi="仿宋" w:eastAsia="方正楷体_GBK" w:cs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（四）落实区人大预算决议和财政工作情况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按照区第二届人民代表大会第一次会议有关决议，以及区人大财政经济委员会的审查意见，财政紧紧围绕全区中心工作，继续深化预算管理、优化支出结构、提升预算绩效，努力发挥财政在促进经济社会发展中的积极作用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1．围绕稳中求进，财政收入质量趋于向好</w:t>
      </w:r>
    </w:p>
    <w:p>
      <w:pPr>
        <w:spacing w:line="600" w:lineRule="exact"/>
        <w:ind w:firstLine="642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2017年，克服结构性减税、普遍性降费等较大减收因素影响，财政收入稳中有升。工商税收收入完成11.7亿元，增长11.8%，高于全市平均水平。税收收入占公共预算收入的占比接近50%，创历史新高，切实壮大了可用财力。财政收入的稳定增长，主要得益于：一是坚持依法聚财。不断挖掘增收潜力，强化收入预测和执行分析，加强重点领域征管。大力推进“综合治税”，强化部门、街镇的横向和纵向联动，实现信息共享，税收征管质量和效率明显提高。二是加大向上争取力度。积极沟通市财政局和相关主管部门，大力争取上级转移支付补助和债券资金。在项目遴选、项目申报过程中，各相关部门全力配合，积极引导各行业、各有关企业立足优势、挖掘资源，增强项目申报的可靠性和竞争力，提高项目申报成功率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2．</w:t>
      </w:r>
      <w:r>
        <w:rPr>
          <w:rFonts w:hint="eastAsia" w:ascii="方正仿宋_GBK" w:hAnsi="仿宋" w:cs="Tahoma"/>
          <w:b/>
          <w:kern w:val="0"/>
          <w:szCs w:val="32"/>
        </w:rPr>
        <w:t>围绕引导功能，</w:t>
      </w:r>
      <w:r>
        <w:rPr>
          <w:rFonts w:hint="eastAsia" w:ascii="方正仿宋_GBK" w:hAnsi="仿宋"/>
          <w:b/>
          <w:szCs w:val="32"/>
        </w:rPr>
        <w:t>区域经济发展</w:t>
      </w:r>
      <w:r>
        <w:rPr>
          <w:rFonts w:hint="eastAsia" w:ascii="方正仿宋_GBK" w:hAnsi="仿宋" w:cs="Tahoma"/>
          <w:b/>
          <w:kern w:val="0"/>
          <w:szCs w:val="32"/>
        </w:rPr>
        <w:t>提质增效</w:t>
      </w:r>
      <w:r>
        <w:rPr>
          <w:rFonts w:hint="eastAsia" w:ascii="Tahoma" w:hAnsi="Tahoma" w:cs="Tahoma"/>
          <w:b/>
          <w:color w:val="000000"/>
          <w:kern w:val="0"/>
          <w:szCs w:val="32"/>
        </w:rPr>
        <w:t> 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2017年，围绕转型升级、稳定经济等主要目标，发挥财政资金杠杆作用，不断完善财政支持经济和产业发展新政策，提振区域经济发展，为涵养税源夯实基础。一是加大对园区支持力度。不断完善有利于园区发展的财政财务体制，2017年拨付资金4.8亿元，用于落实招商引资税费优惠政策、支持园区基础设施建设等。二是拨付民营经济补贴及产业发展资金3,030万元，推进企业“四转一改”“三创一强”，扶持壮大优势产业和骨干税源，促进中小企业提速发展。高效运作“助保贷”“应急周转贷”拉动社会投资4.8亿元，缓解企业融资难。三是继续推进税制改革，全面推进“营改增”改革，落实国家减税降费政策，全年为企业减税1.9亿元，降低了企业运行成本，切实为企业发展减负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3．</w:t>
      </w:r>
      <w:r>
        <w:rPr>
          <w:rFonts w:hint="eastAsia" w:ascii="方正仿宋_GBK" w:hAnsi="仿宋" w:cs="Tahoma"/>
          <w:b/>
          <w:color w:val="000000"/>
          <w:kern w:val="0"/>
          <w:szCs w:val="32"/>
        </w:rPr>
        <w:t>围绕</w:t>
      </w:r>
      <w:r>
        <w:rPr>
          <w:rFonts w:hint="eastAsia" w:ascii="方正仿宋_GBK" w:hAnsi="仿宋"/>
          <w:b/>
          <w:szCs w:val="32"/>
        </w:rPr>
        <w:t>协调发展</w:t>
      </w:r>
      <w:r>
        <w:rPr>
          <w:rFonts w:hint="eastAsia" w:ascii="方正仿宋_GBK" w:hAnsi="仿宋" w:cs="Tahoma"/>
          <w:b/>
          <w:color w:val="000000"/>
          <w:kern w:val="0"/>
          <w:szCs w:val="32"/>
        </w:rPr>
        <w:t>，</w:t>
      </w:r>
      <w:r>
        <w:rPr>
          <w:rFonts w:hint="eastAsia" w:ascii="方正仿宋_GBK" w:hAnsi="仿宋"/>
          <w:b/>
          <w:szCs w:val="32"/>
        </w:rPr>
        <w:t>统筹城乡融合扎实推进</w:t>
      </w:r>
    </w:p>
    <w:p>
      <w:pPr>
        <w:spacing w:line="600" w:lineRule="exact"/>
        <w:ind w:firstLine="642" w:firstLineChars="200"/>
        <w:rPr>
          <w:rFonts w:hint="eastAsia" w:ascii="方正仿宋_GBK" w:hAnsi="仿宋"/>
          <w:color w:val="000000"/>
          <w:szCs w:val="32"/>
        </w:rPr>
      </w:pPr>
      <w:r>
        <w:rPr>
          <w:rFonts w:hint="eastAsia" w:ascii="方正仿宋_GBK" w:hAnsi="仿宋"/>
          <w:szCs w:val="32"/>
        </w:rPr>
        <w:t>2017年，资金投入突出城乡统筹一体化，推进生态保护，完善基础设施建设，力促城乡人居环境不断改善。一是着力扶助“三农”，全年用于“三农”资金15.9亿元。持续巩固脱贫攻坚，加强财政资金整合，筹措资金1.2亿元，助推精准扶贫；拨付扶持村级集体经济发展试点资金2,000万元，种粮综合直补等资金9,324万元，稳定粮油生产，积极支持农民增收；拨付资金2亿元，重点用于土地治理、水利设施建设、农业产业化经营、畜牧业发展等，增强农业综合生产能力，大力支持发展现代农业；安排资金4,090万元，对村级公益事业建设一事一议实行奖补；筹措资金5亿元，新、改建农村公路235公里，完成干线公路升级改造75公里，推进美丽乡村建设，改善农居环境；支持农村社会事业发展，拨付资金5,879万元，落实村干部补贴和村级组织办公经费，提升基层组织运转保障能力。二是大力支持环境保护。拨付资金6,850万元，用于建设三级河长体系、农村环境连片整治示范、城镇污水处理设施配套管网等；支持节能减排、淘汰落后产能，拨付资金8,789万元，关停3家钢铁企业，化解钢铁行业过剩产能125.6万吨。三是不断完善城市生态功能。加大城市基础设施建设投入，筹措资金8.8亿元，用于潼荣高速、西湖大道等城市连接大道建设；拨付资金7,736万元，用于龙水五金街、二十三片区等城市棚户区改造；筹措资金10.6亿元，用于城市环境综合治理、打造城市公园，提升城市载体功能。四是注重统筹区与街镇的协调发展。2017年调整完善街镇财政体制，坚持区级财力下沉，街镇按每人每年5万元定额托底日常公用经费，每个村（社区）在原经费保障标准上增加2万元，全年新增转移支付补助1.4亿元，新的财政体制有效缓解了街镇财政困难，保障了基层政权的正常运转，推动了良性协调发展</w:t>
      </w:r>
      <w:r>
        <w:rPr>
          <w:rFonts w:hint="eastAsia" w:ascii="方正仿宋_GBK" w:hAnsi="仿宋"/>
          <w:color w:val="000000"/>
          <w:szCs w:val="32"/>
        </w:rPr>
        <w:t>。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方正仿宋_GBK" w:hAnsi="仿宋" w:cs="Tahoma"/>
          <w:b/>
          <w:color w:val="000000"/>
          <w:kern w:val="0"/>
          <w:szCs w:val="32"/>
        </w:rPr>
      </w:pPr>
      <w:r>
        <w:rPr>
          <w:rFonts w:hint="eastAsia" w:ascii="方正仿宋_GBK" w:hAnsi="仿宋"/>
          <w:b/>
          <w:szCs w:val="32"/>
        </w:rPr>
        <w:t>4．</w:t>
      </w:r>
      <w:r>
        <w:rPr>
          <w:rFonts w:hint="eastAsia" w:ascii="方正仿宋_GBK" w:hAnsi="仿宋" w:cs="Tahoma"/>
          <w:b/>
          <w:kern w:val="0"/>
          <w:szCs w:val="32"/>
        </w:rPr>
        <w:t>围绕民生改善，社会保障水平继续加强</w:t>
      </w:r>
      <w:r>
        <w:rPr>
          <w:rFonts w:hint="eastAsia" w:ascii="Tahoma" w:hAnsi="Tahoma" w:cs="Tahoma"/>
          <w:b/>
          <w:color w:val="000000"/>
          <w:kern w:val="0"/>
          <w:szCs w:val="32"/>
        </w:rPr>
        <w:t> 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 w:cs="仿宋_GB2312"/>
          <w:kern w:val="0"/>
          <w:szCs w:val="32"/>
        </w:rPr>
        <w:t>2017年，优化支出结构，积极推进以改善民生为重点的社会事业建设，着力解决事关人民群众切身利益的突出矛盾和问题。一是支持教育优先发展。拨付资金14.7亿元，同比增长5.6%，落实义务教育经费保障、兑现学生资助政策、兑现教育质量提升奖和加大教育基础设施建设等。其中，拨付资金0.6亿元支持义务教育薄弱学校“全面改薄”（累计投入资金3.5亿元），投入资金1.8亿元用于龙水三小、中敖中学等8所学校基础设施建设，确保教育事业均衡发展。二是繁荣群众文化事业。文化体育与传媒支出1</w:t>
      </w:r>
      <w:r>
        <w:rPr>
          <w:rFonts w:ascii="方正仿宋_GBK" w:hAnsi="仿宋" w:cs="仿宋_GB2312"/>
          <w:kern w:val="0"/>
          <w:szCs w:val="32"/>
        </w:rPr>
        <w:t>.2</w:t>
      </w:r>
      <w:r>
        <w:rPr>
          <w:rFonts w:hint="eastAsia" w:ascii="方正仿宋_GBK" w:hAnsi="仿宋" w:cs="仿宋_GB2312"/>
          <w:kern w:val="0"/>
          <w:szCs w:val="32"/>
        </w:rPr>
        <w:t>亿元，同比增长2.9%。主要用于大足石刻文物保护，支持乡镇文化站建设及文图两馆、文化站免费向公众开放。大力发展公共体育事业，加强基层文化体育设施建设，开展群众文体活动，提高全民身体素质。三是健全社会保障体系。拨付资金17.1亿元，同比增长10.3%。其中，拨付资金2.1亿元，发放城乡低保、特困人员救助、医疗救助、临时救助金，困难群众基本生活得到保障；拨付资金4.4亿元，支持城乡医疗保险全覆盖；拨付资金8.</w:t>
      </w:r>
      <w:r>
        <w:rPr>
          <w:rFonts w:ascii="方正仿宋_GBK" w:hAnsi="仿宋" w:cs="仿宋_GB2312"/>
          <w:kern w:val="0"/>
          <w:szCs w:val="32"/>
        </w:rPr>
        <w:t>2</w:t>
      </w:r>
      <w:r>
        <w:rPr>
          <w:rFonts w:hint="eastAsia" w:ascii="方正仿宋_GBK" w:hAnsi="仿宋" w:cs="仿宋_GB2312"/>
          <w:kern w:val="0"/>
          <w:szCs w:val="32"/>
        </w:rPr>
        <w:t>亿元, 用于完善农村医疗救助制度、支持疾病预防、基本公共卫生服务等，努力改善医疗服务水平；拨付资金3,200万元，用于基层医疗机构基本药物零差率补助及村卫生室补助。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hint="eastAsia" w:ascii="方正仿宋_GBK" w:hAnsi="仿宋" w:cs="Tahoma"/>
          <w:b/>
          <w:color w:val="000000"/>
          <w:kern w:val="0"/>
          <w:szCs w:val="32"/>
        </w:rPr>
      </w:pPr>
      <w:r>
        <w:rPr>
          <w:rFonts w:hint="eastAsia" w:ascii="方正仿宋_GBK" w:hAnsi="仿宋"/>
          <w:b/>
          <w:szCs w:val="32"/>
        </w:rPr>
        <w:t>5．</w:t>
      </w:r>
      <w:r>
        <w:rPr>
          <w:rFonts w:hint="eastAsia" w:ascii="方正仿宋_GBK" w:hAnsi="仿宋" w:cs="Tahoma"/>
          <w:b/>
          <w:color w:val="000000"/>
          <w:kern w:val="0"/>
          <w:szCs w:val="32"/>
        </w:rPr>
        <w:t>围绕创新管理，依法理财水平持续提高</w:t>
      </w:r>
      <w:r>
        <w:rPr>
          <w:rFonts w:hint="eastAsia" w:ascii="Tahoma" w:hAnsi="Tahoma" w:cs="Tahoma"/>
          <w:b/>
          <w:color w:val="000000"/>
          <w:kern w:val="0"/>
          <w:szCs w:val="32"/>
        </w:rPr>
        <w:t> 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认真贯彻落实《预算法》和《重庆市预算审查监督条例》，切实提高依法理财科学理财水平。一是深化预算管理体制改革。进一步健全基本支出标准体系，细化项目预算内容，年底对区级预算实行零结转。开展预算公开评审，自觉接受区人大常委会和人大代表对财政资金的监督，现已完成对农委、市政等6个部门144个项目的评审工作，共计审减项目53个、调整项目63个、审减金额3.7亿元。加强预算绩效管理，开展了教委、石刻研究院等7个部门16个项目的绩效评价，评价结果成为资金分配和改进管理的重要依据，实现绩效与预算管理的深度融合。二是完善国库集中收付制度改革。27个街镇全面实施国库集中支付和公务卡改革，实现国库集中支付及动态监控的全覆盖。清理和撤销区财政专户18个、街镇财政专户42个，确保财政资金规范安全高效运行。三是强化政府债务管控。强化债务限额管理、预算管理，制定政府性债务风险应急处置预案，开展不规范融资行为清理整改工作，杜绝违规行为，全区政府性债务余额低于市财政局下达的政府性债务限额（限额为92.2亿元），债务风险总体可控。四是加大国资管理力度。系统性实质推进国资国企改革，清查核实国有经营性资产160余万平方米并实行“一张网”动态管理，国企资产总规模达到709亿元，较年初增长15.8%，保值增值效果明显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各位代表，2017年财政运行总体平稳，财政各项政策得到有效落实，财政改革发展取得新进展，为“十三五”发展打下了良好基础。冷静审视新形势、新任务和新要求，我们清醒地看到，财政工作仍面临不少困难和挑战：随着经济增速放缓，加之结构性减税、普遍性降费等减收因素，可用的新增财力更为有限，重点保障领域支出呈刚性增长，财政统筹平衡压力更大；财政资金整合力度和使用绩效有待进一步提高；《预算法》、《重庆市预算审查监督条例》对财政管理水平提出了更高更严要求，现行管理理念、方式及手段还难以完全与之相适应。对此，我们将高度重视，采取有效手段、有力措施努力加以解决。</w:t>
      </w:r>
    </w:p>
    <w:p>
      <w:pPr>
        <w:spacing w:line="600" w:lineRule="exact"/>
        <w:ind w:firstLine="642" w:firstLineChars="200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 w:cs="方正黑体_GBK"/>
          <w:szCs w:val="32"/>
        </w:rPr>
        <w:t>二、2018年预算草案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2018年是全面贯彻党的十九大精神的开局之年，全区财政工作和预算编制的指导思想是：全面贯彻党的十九大精神，深学笃用习近平新时代中国特色社会主义思想，坚持稳中求进工作总基调，以供给侧结构性改革为主线，统筹推进稳增长、促改革、调结构、惠民生、防风险各项工作。把加快建立现代财政制度作为决胜全面建成小康社会的重要保障，注重收入质量，注重支出绩效，注重激励约束，注重风险管控，逐步建立全面规范透明、标准科学、约束有力的预算制度，逐步建立绩效管理机制，提高理财质量和效益，切实保障区委各项决策部署的落实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全区财政预算编制着重把握以下原则：一是收入预算要实事求是、积极稳妥，充分考虑落实减税降费措施等因素影响。二是支出预算要统筹兼顾、突出重点，着力支持重大发展战略和重点领域改革。三是注重提高财政支出绩效，坚持精打细算、勤俭节约、效益优先，努力盘活存量、用好增量，加强资金统筹，强化项目审核。四是增强财政可持续性，按照量力而行的原则合理确定财政支出标准，严格控制非急需、非刚性支出。加强跨年度预算平衡。五是防范化解财政风险，规范举债融资，坚决遏制隐形债务增量。</w:t>
      </w:r>
    </w:p>
    <w:p>
      <w:pPr>
        <w:spacing w:line="600" w:lineRule="exact"/>
        <w:ind w:firstLine="642" w:firstLineChars="200"/>
        <w:rPr>
          <w:rFonts w:hint="eastAsia" w:ascii="方正楷体_GBK" w:hAnsi="仿宋" w:eastAsia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（一）全区财政收支预算草案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一般公共预算，收入预算395,553万元，同比增长5%，其中税收收入194,565万元，同比增长12%。上级补助收入248,329万元，上年结余17,118万元，收入总计661,000万元。本级支出645,400万元，上解上级支出15,600万元，支出总计661,000万元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政府性基金预算，收入预算277,670万元，剔除2017年已停征的城市公用事业费附加，同比持平。上级补助收入2,571万元，上年结余31,124万元，收入总计311,365万元。本级支出305,765万元，上解上级支出5,600万元，支出总计311,365万元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国有资本经营预算，根据我区国有企业发展状况，2018年预算10,000万元，上年结余1</w:t>
      </w:r>
      <w:r>
        <w:rPr>
          <w:rFonts w:ascii="方正仿宋_GBK" w:hAnsi="仿宋"/>
          <w:szCs w:val="32"/>
        </w:rPr>
        <w:t>,</w:t>
      </w:r>
      <w:r>
        <w:rPr>
          <w:rFonts w:hint="eastAsia" w:ascii="方正仿宋_GBK" w:hAnsi="仿宋"/>
          <w:szCs w:val="32"/>
        </w:rPr>
        <w:t>100万元，相应安排支出1</w:t>
      </w:r>
      <w:r>
        <w:rPr>
          <w:rFonts w:ascii="方正仿宋_GBK" w:hAnsi="仿宋"/>
          <w:szCs w:val="32"/>
        </w:rPr>
        <w:t>1</w:t>
      </w:r>
      <w:r>
        <w:rPr>
          <w:rFonts w:hint="eastAsia" w:ascii="方正仿宋_GBK" w:hAnsi="仿宋"/>
          <w:szCs w:val="32"/>
        </w:rPr>
        <w:t>,</w:t>
      </w:r>
      <w:r>
        <w:rPr>
          <w:rFonts w:ascii="方正仿宋_GBK" w:hAnsi="仿宋"/>
          <w:szCs w:val="32"/>
        </w:rPr>
        <w:t>1</w:t>
      </w:r>
      <w:r>
        <w:rPr>
          <w:rFonts w:hint="eastAsia" w:ascii="方正仿宋_GBK" w:hAnsi="仿宋"/>
          <w:szCs w:val="32"/>
        </w:rPr>
        <w:t>00万元，主要用于支持企业发展等。</w:t>
      </w:r>
    </w:p>
    <w:p>
      <w:pPr>
        <w:spacing w:line="600" w:lineRule="exact"/>
        <w:ind w:firstLine="642" w:firstLineChars="200"/>
        <w:rPr>
          <w:rFonts w:hint="eastAsia" w:ascii="方正楷体_GBK" w:hAnsi="仿宋" w:eastAsia="方正楷体_GBK" w:cs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（二）区本级收支预算草案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bCs/>
          <w:szCs w:val="32"/>
        </w:rPr>
        <w:t>一般公共预算，</w:t>
      </w:r>
      <w:r>
        <w:rPr>
          <w:rFonts w:hint="eastAsia" w:ascii="方正仿宋_GBK" w:hAnsi="仿宋"/>
          <w:szCs w:val="32"/>
        </w:rPr>
        <w:t>收入预算394,732万元，同比增长5%，其中税收收入193,744万元，同比增长12%。上级补助收入248,329万元，上年结余17,110万元，下级上解收入487万元，收入总计660,658万元。支出相应安排600,032万元，上解上级支出15,600万元，补助下级45,026万元后，支出总计660,658万元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bCs/>
          <w:szCs w:val="32"/>
        </w:rPr>
        <w:t>政府性基金预算，</w:t>
      </w:r>
      <w:r>
        <w:rPr>
          <w:rFonts w:hint="eastAsia" w:ascii="方正仿宋_GBK" w:hAnsi="仿宋"/>
          <w:szCs w:val="32"/>
        </w:rPr>
        <w:t>收入预算277,670万元，剔除已停征的城市公用事业费附加，同比持平。上级补助收入2,571万元，上年结余31,124万元，收入总计311,365万元。支出相应安排305,765万元，上解支出5,600万元，支出总计311,365万元。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bCs/>
          <w:szCs w:val="32"/>
        </w:rPr>
        <w:t>国有资本经营预算，</w:t>
      </w:r>
      <w:r>
        <w:rPr>
          <w:rFonts w:hint="eastAsia" w:ascii="方正仿宋_GBK" w:hAnsi="仿宋"/>
          <w:szCs w:val="32"/>
        </w:rPr>
        <w:t>收入预算10,000万元，上年结余1,100万元，支出相应安排11,100万元，主要用于支持企业发展等（详见参阅材料三附件3）。</w:t>
      </w:r>
    </w:p>
    <w:p>
      <w:pPr>
        <w:spacing w:line="600" w:lineRule="exact"/>
        <w:ind w:firstLine="642" w:firstLineChars="200"/>
        <w:rPr>
          <w:rFonts w:hint="eastAsia" w:ascii="方正楷体_GBK" w:hAnsi="仿宋" w:eastAsia="方正楷体_GBK" w:cs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（三）区本级支出安排重点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根据一般公共预算区本级预算草案，2018年支出重点安排以下几个方面：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1．农林水事务支出50,281万元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农村“三变”改革工作及农村土地确权登记颁证工作，落实耕地地力保护、农业综合直补等，促进农民增收。加大对水利设施、农田改造、“四好”农村路等农业基础设施建设的投入力度。支持发展畜牧业，推进农业产业化发展。稳步推进村级公益事业建设一事一议财政奖补工作，全力助推乡村振兴战略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2．教育支出138,535万元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安排生均公用经费，用于保障学校正常运转。落实好高中、中职学校、义务制教育阶段家庭经济困难学生国家资助，爱心午餐工程等政策。支持加强乡村教师队伍建设，提高乡村教育质量。推动农村薄弱学校改造、新建扩建公办幼儿园，改善农村办学条件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3．社会保障和就业支出77,458万元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支持建立覆盖城乡的养老保险体系，落实城镇企业退休人员养老金待遇。落实城乡低保、民政抚恤安置、五保户供养，做到应保尽保。发展残疾人事业和社会慈善事业，完善社会救助机制，全面构建社会救助体系。健全公共就业服务体系，积极落实促进就业和再就业的财税政策。加大保障性住房投入力度，推进廉租住房和公共租赁住房建设，缓解低收入群众住房困难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4．医疗卫生支出86,941万元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支持公立医院改革，进一步完善新型城乡居民医保制度，继续实施基本药物制度专项补助、基本公共卫生服务项目，完善医疗救助制度、完善基层医疗机构财政保障办法，确保各项医疗卫生和疾病预防政策的落实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5．文化体育与传媒支出9,050万元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加大文物管护、广播电视设施设备等方面的投入，免费开放图书馆、文化馆、乡镇综合文化站，丰富人民群众文化生活。大力发展公共体育事业，加强基层文化体育设施建设，开展群众文体活动，提高全民身体素质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6．科学技术支出6,603万元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主要是引导企业加强应用基础研究和前沿技术开发，对中小企业技术改造、成果转化和节能减排进行补助，促进产业升级。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7．公共安全支出30,596万元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主要是完善政法经费保障体制，支持购置政法装备，支持政法机关基础设施建设，提高公共服务和社会管理能力。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8．节能环保支出15,378万元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pacing w:val="-6"/>
          <w:szCs w:val="32"/>
        </w:rPr>
      </w:pPr>
      <w:r>
        <w:rPr>
          <w:rFonts w:hint="eastAsia" w:ascii="方正仿宋_GBK" w:hAnsi="仿宋"/>
          <w:szCs w:val="32"/>
        </w:rPr>
        <w:t>主要是推进城镇污水处理设施配套管网建设，重点流域水污染治理，强化农村环境综合整治，巩固天然林保护、退耕还林成果</w:t>
      </w:r>
      <w:r>
        <w:rPr>
          <w:rFonts w:hint="eastAsia" w:ascii="方正仿宋_GBK" w:hAnsi="仿宋"/>
          <w:spacing w:val="-6"/>
          <w:szCs w:val="32"/>
        </w:rPr>
        <w:t>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9．城乡社区事务支出40,339万元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主要是推进园区及城乡基础设施建设，支持城区市政公共设施改造，实施城市综合管理。</w:t>
      </w:r>
    </w:p>
    <w:p>
      <w:pPr>
        <w:spacing w:line="600" w:lineRule="exact"/>
        <w:ind w:firstLine="642" w:firstLineChars="200"/>
        <w:rPr>
          <w:rFonts w:hint="eastAsia" w:ascii="方正仿宋_GBK" w:hAnsi="仿宋"/>
          <w:b/>
          <w:szCs w:val="32"/>
        </w:rPr>
      </w:pPr>
      <w:r>
        <w:rPr>
          <w:rFonts w:hint="eastAsia" w:ascii="方正仿宋_GBK" w:hAnsi="仿宋"/>
          <w:b/>
          <w:szCs w:val="32"/>
        </w:rPr>
        <w:t>10．资源勘探电力信息等事务支出8,773万元</w:t>
      </w:r>
    </w:p>
    <w:p>
      <w:pPr>
        <w:spacing w:line="600" w:lineRule="exact"/>
        <w:ind w:firstLine="642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主要是完善财政扶持政策，提升财政资金支持工业发展的精准性和有效性，支持中小企业发展，兑现企业投资优惠政策财政补贴。</w:t>
      </w:r>
    </w:p>
    <w:p>
      <w:pPr>
        <w:spacing w:line="600" w:lineRule="exact"/>
        <w:ind w:firstLine="642" w:firstLineChars="200"/>
        <w:rPr>
          <w:rFonts w:hint="eastAsia" w:ascii="方正黑体_GBK" w:hAnsi="仿宋" w:eastAsia="方正黑体_GBK" w:cs="方正黑体_GBK"/>
          <w:szCs w:val="32"/>
        </w:rPr>
      </w:pPr>
      <w:r>
        <w:rPr>
          <w:rFonts w:hint="eastAsia" w:ascii="方正黑体_GBK" w:hAnsi="仿宋" w:eastAsia="方正黑体_GBK" w:cs="方正黑体_GBK"/>
          <w:szCs w:val="32"/>
        </w:rPr>
        <w:t>三、2</w:t>
      </w:r>
      <w:r>
        <w:rPr>
          <w:rFonts w:ascii="方正黑体_GBK" w:hAnsi="仿宋" w:eastAsia="方正黑体_GBK" w:cs="方正黑体_GBK"/>
          <w:szCs w:val="32"/>
        </w:rPr>
        <w:t>018</w:t>
      </w:r>
      <w:r>
        <w:rPr>
          <w:rFonts w:hint="eastAsia" w:ascii="方正黑体_GBK" w:hAnsi="仿宋" w:eastAsia="方正黑体_GBK" w:cs="方正黑体_GBK"/>
          <w:szCs w:val="32"/>
        </w:rPr>
        <w:t>年财政工作重点</w:t>
      </w:r>
    </w:p>
    <w:p>
      <w:pPr>
        <w:spacing w:line="600" w:lineRule="exact"/>
        <w:ind w:firstLine="642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2018年，财政收入增速放缓，财政刚性支出更多，保民生、保重点的压力更重，收支矛盾更加凸显。但是机遇与挑战并存，随着我区对外交通调整优化，连接川、渝两地的地理位置优势进一步显现，文旅商农加快融合，工业主导产业加速集聚。区财政将紧紧围绕区委重大决策部署，及早谋划，克难攻坚，开拓进取，确保完成各项财政工作目标任务。</w:t>
      </w:r>
    </w:p>
    <w:p>
      <w:pPr>
        <w:spacing w:line="600" w:lineRule="exact"/>
        <w:ind w:firstLine="642" w:firstLineChars="200"/>
        <w:rPr>
          <w:rFonts w:ascii="方正楷体_GBK" w:hAnsi="仿宋" w:eastAsia="方正楷体_GBK" w:cs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（一）强化税费征管</w:t>
      </w:r>
    </w:p>
    <w:p>
      <w:pPr>
        <w:spacing w:line="600" w:lineRule="exact"/>
        <w:ind w:firstLine="642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财税部门通力协作，准确分析税源结构和收入形势，加大依法治税，强化对重点行业、重点企业和重点税种的征收监管。继续加强对行政事业性收费、国有资源有偿使用、国有土地出让等非税收入的管理，确保应收尽收。健全综合治税体系，对综合治税体系实施电子化、信息化改造，形成部门配合、职能协作、数据共享、控管有效的运行机制；完善综合治税考核体系，加强街镇在收入组织中的作用；对重大建设工程项目做好税源监控、就地纳税工作；完善财政投入项目纳税管理，对项目资金全面实行税票监管、国库直接支付；进一步做好“税收两库”建设，强化税源分析。通过两手抓，既保证收入质量的提高，又保持增幅的相对稳定。</w:t>
      </w:r>
    </w:p>
    <w:p>
      <w:pPr>
        <w:spacing w:line="600" w:lineRule="exact"/>
        <w:ind w:firstLine="642" w:firstLineChars="200"/>
        <w:rPr>
          <w:rFonts w:ascii="方正楷体_GBK" w:hAnsi="仿宋" w:eastAsia="方正楷体_GBK" w:cs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（二）优化支出结构</w:t>
      </w:r>
    </w:p>
    <w:p>
      <w:pPr>
        <w:spacing w:line="600" w:lineRule="exact"/>
        <w:ind w:firstLine="642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完善基本支出定额标准，研究项目支出定额标准，充分发挥支出标准在预算编制和管理中的基础支撑作用，推进精细化预算；加大对项目的统筹力度，结合政府滚动投资项目库，做好项目规划、资金需求和财力现状的匹配，整合区域性发展项目，放大项目效益。投入3,000万元建立产业发展资金，助推传统产业升级，提升“大足智造”“大足制造”水平；投入1,500万元建立“全域旅游”专项基金，推动国家全域旅游示范区创建。投入5,000万元建立场镇建设专项奖补资金，推动场镇基础设施建设和环境综合整治。统筹整合3亿元资金，抢抓全市“交通大会战”机遇，落实“四好”农村路建设。加大脱贫攻坚的财政支持力度，投入4,</w:t>
      </w:r>
      <w:r>
        <w:rPr>
          <w:rFonts w:ascii="方正仿宋_GBK" w:hAnsi="仿宋"/>
          <w:szCs w:val="32"/>
        </w:rPr>
        <w:t>55</w:t>
      </w:r>
      <w:r>
        <w:rPr>
          <w:rFonts w:hint="eastAsia" w:ascii="方正仿宋_GBK" w:hAnsi="仿宋"/>
          <w:szCs w:val="32"/>
        </w:rPr>
        <w:t>0万元推进农村贫困户危房改造。</w:t>
      </w:r>
    </w:p>
    <w:p>
      <w:pPr>
        <w:spacing w:line="600" w:lineRule="exact"/>
        <w:ind w:firstLine="642" w:firstLineChars="200"/>
        <w:rPr>
          <w:rFonts w:ascii="方正楷体_GBK" w:hAnsi="仿宋" w:eastAsia="方正楷体_GBK" w:cs="方正楷体_GBK"/>
          <w:szCs w:val="32"/>
        </w:rPr>
      </w:pPr>
      <w:r>
        <w:rPr>
          <w:rFonts w:hint="eastAsia" w:ascii="方正楷体_GBK" w:hAnsi="仿宋" w:eastAsia="方正楷体_GBK" w:cs="方正楷体_GBK"/>
          <w:szCs w:val="32"/>
        </w:rPr>
        <w:t>（三）深化监督管理</w:t>
      </w:r>
    </w:p>
    <w:p>
      <w:pPr>
        <w:spacing w:line="600" w:lineRule="exact"/>
        <w:ind w:firstLine="642" w:firstLineChars="200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加强预算公开评审，扩大预算公开评审面，提高部门预算编制的科学性、规范性；进一步优化政府投资事前评审，完善政府采购动态监控，探索项目支出绩效目标管理，注重绩效评价结果反馈和应用；进一步规范地方政府债务管理，推进“全口径”预算编制工作，做好融资、债券等资金和项目统筹，牢守不发生系统性风险的底线；加大财政监督力度，定期开展预算单位财务大检查，加强会计信息质量监督，规范部门支出行为；组织重点专项资金使用、乡镇财务管理、非税收入收缴等专项检查，规范财政管理，确保财政资金安全、高效运行。</w:t>
      </w:r>
    </w:p>
    <w:p>
      <w:pPr>
        <w:spacing w:line="600" w:lineRule="exact"/>
        <w:ind w:firstLine="642" w:firstLineChars="200"/>
        <w:rPr>
          <w:rFonts w:hint="eastAsia"/>
        </w:rPr>
      </w:pPr>
      <w:r>
        <w:rPr>
          <w:rFonts w:hint="eastAsia" w:ascii="方正仿宋_GBK" w:hAnsi="仿宋"/>
          <w:szCs w:val="32"/>
        </w:rPr>
        <w:t>各位代表，2018年让我们在党的十九大精神的指引下，更加紧密地团结在以习近平同志为核心的党中央周围，在市委、市政府和区委的坚强领导下，在区人大、区政协的监督指导下，坚定信心、迎难而上，为加快推进建设“美丽大足幸福大足”作出新的更大的贡献。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134" w:gutter="0"/>
      <w:pgNumType w:start="1"/>
      <w:cols w:space="720" w:num="1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dobe 宋体 Std L">
    <w:altName w:val="宋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163" w:firstLine="8120" w:firstLineChars="2900"/>
      <w:rPr>
        <w:rFonts w:hint="eastAsia"/>
      </w:rPr>
    </w:pPr>
    <w:r>
      <w:rPr>
        <w:rStyle w:val="13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Fonts w:hint="eastAsia"/>
      </w:rPr>
    </w:pPr>
    <w:r>
      <w:rPr>
        <w:rStyle w:val="13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1"/>
  <w:drawingGridVerticalSpacing w:val="3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34D"/>
    <w:rsid w:val="00051690"/>
    <w:rsid w:val="00052835"/>
    <w:rsid w:val="00080E96"/>
    <w:rsid w:val="00084AB8"/>
    <w:rsid w:val="00087738"/>
    <w:rsid w:val="000944DB"/>
    <w:rsid w:val="000A0093"/>
    <w:rsid w:val="000A6E8E"/>
    <w:rsid w:val="000F3B38"/>
    <w:rsid w:val="000F6B6D"/>
    <w:rsid w:val="0010260E"/>
    <w:rsid w:val="00132667"/>
    <w:rsid w:val="00156A0D"/>
    <w:rsid w:val="00160B6C"/>
    <w:rsid w:val="00196022"/>
    <w:rsid w:val="001E3495"/>
    <w:rsid w:val="002048B4"/>
    <w:rsid w:val="00205240"/>
    <w:rsid w:val="00237AC0"/>
    <w:rsid w:val="00244DBD"/>
    <w:rsid w:val="002B1D36"/>
    <w:rsid w:val="002D4F97"/>
    <w:rsid w:val="002E01BB"/>
    <w:rsid w:val="00323E84"/>
    <w:rsid w:val="00325766"/>
    <w:rsid w:val="003322F8"/>
    <w:rsid w:val="0034573D"/>
    <w:rsid w:val="00350469"/>
    <w:rsid w:val="00364746"/>
    <w:rsid w:val="00366C03"/>
    <w:rsid w:val="0039104F"/>
    <w:rsid w:val="00395450"/>
    <w:rsid w:val="00396B13"/>
    <w:rsid w:val="003C7E97"/>
    <w:rsid w:val="00412DB2"/>
    <w:rsid w:val="00417219"/>
    <w:rsid w:val="00463643"/>
    <w:rsid w:val="0046470D"/>
    <w:rsid w:val="00476CA8"/>
    <w:rsid w:val="00477E8E"/>
    <w:rsid w:val="004A0C04"/>
    <w:rsid w:val="004A4FB6"/>
    <w:rsid w:val="004B730B"/>
    <w:rsid w:val="004E78D9"/>
    <w:rsid w:val="005059DF"/>
    <w:rsid w:val="005331DB"/>
    <w:rsid w:val="00552EC4"/>
    <w:rsid w:val="0056109C"/>
    <w:rsid w:val="005628CF"/>
    <w:rsid w:val="00571E78"/>
    <w:rsid w:val="00575DFE"/>
    <w:rsid w:val="005B62B3"/>
    <w:rsid w:val="005C1E47"/>
    <w:rsid w:val="006416AF"/>
    <w:rsid w:val="00654639"/>
    <w:rsid w:val="006619C4"/>
    <w:rsid w:val="006624DF"/>
    <w:rsid w:val="00672B45"/>
    <w:rsid w:val="006731B9"/>
    <w:rsid w:val="00695D29"/>
    <w:rsid w:val="006B251D"/>
    <w:rsid w:val="006D1DB4"/>
    <w:rsid w:val="006D6005"/>
    <w:rsid w:val="00746095"/>
    <w:rsid w:val="007937C3"/>
    <w:rsid w:val="007A1BA6"/>
    <w:rsid w:val="007C18C0"/>
    <w:rsid w:val="007C6D34"/>
    <w:rsid w:val="008062AD"/>
    <w:rsid w:val="00810EF3"/>
    <w:rsid w:val="00834550"/>
    <w:rsid w:val="00847078"/>
    <w:rsid w:val="008530DA"/>
    <w:rsid w:val="00853E6B"/>
    <w:rsid w:val="008664FB"/>
    <w:rsid w:val="008A7E32"/>
    <w:rsid w:val="008B4612"/>
    <w:rsid w:val="008B464C"/>
    <w:rsid w:val="008C08EA"/>
    <w:rsid w:val="008E7A10"/>
    <w:rsid w:val="00925190"/>
    <w:rsid w:val="00962442"/>
    <w:rsid w:val="009829A5"/>
    <w:rsid w:val="009E518D"/>
    <w:rsid w:val="00A02986"/>
    <w:rsid w:val="00A4655E"/>
    <w:rsid w:val="00A62E0A"/>
    <w:rsid w:val="00A66A48"/>
    <w:rsid w:val="00A7076B"/>
    <w:rsid w:val="00A71817"/>
    <w:rsid w:val="00A77E5E"/>
    <w:rsid w:val="00A93543"/>
    <w:rsid w:val="00AA1751"/>
    <w:rsid w:val="00AA1D6C"/>
    <w:rsid w:val="00AB68CD"/>
    <w:rsid w:val="00AF1069"/>
    <w:rsid w:val="00B132D3"/>
    <w:rsid w:val="00B33ADE"/>
    <w:rsid w:val="00B60994"/>
    <w:rsid w:val="00BB132C"/>
    <w:rsid w:val="00BC354C"/>
    <w:rsid w:val="00BD052E"/>
    <w:rsid w:val="00BE4AB0"/>
    <w:rsid w:val="00C65B15"/>
    <w:rsid w:val="00C72225"/>
    <w:rsid w:val="00C75E7B"/>
    <w:rsid w:val="00C91A11"/>
    <w:rsid w:val="00CA4066"/>
    <w:rsid w:val="00CB772D"/>
    <w:rsid w:val="00CD298F"/>
    <w:rsid w:val="00CD663D"/>
    <w:rsid w:val="00CE09DD"/>
    <w:rsid w:val="00CF5A6A"/>
    <w:rsid w:val="00D0796F"/>
    <w:rsid w:val="00D26304"/>
    <w:rsid w:val="00D3589B"/>
    <w:rsid w:val="00D52705"/>
    <w:rsid w:val="00D64C9E"/>
    <w:rsid w:val="00D66B6E"/>
    <w:rsid w:val="00DB1389"/>
    <w:rsid w:val="00DB22E2"/>
    <w:rsid w:val="00DB633F"/>
    <w:rsid w:val="00DD3DDF"/>
    <w:rsid w:val="00DE1372"/>
    <w:rsid w:val="00DF1663"/>
    <w:rsid w:val="00E05EE4"/>
    <w:rsid w:val="00E247B1"/>
    <w:rsid w:val="00E35427"/>
    <w:rsid w:val="00E82C25"/>
    <w:rsid w:val="00E850A3"/>
    <w:rsid w:val="00E91315"/>
    <w:rsid w:val="00EC6FA9"/>
    <w:rsid w:val="00EF7447"/>
    <w:rsid w:val="00F007E5"/>
    <w:rsid w:val="00F15169"/>
    <w:rsid w:val="00F27217"/>
    <w:rsid w:val="00F379E7"/>
    <w:rsid w:val="00F4551F"/>
    <w:rsid w:val="00F756C9"/>
    <w:rsid w:val="00F87143"/>
    <w:rsid w:val="00FB2D70"/>
    <w:rsid w:val="00FD3F4E"/>
    <w:rsid w:val="00FD7B9E"/>
    <w:rsid w:val="051F7A75"/>
    <w:rsid w:val="06475516"/>
    <w:rsid w:val="0BA24D76"/>
    <w:rsid w:val="14943D8B"/>
    <w:rsid w:val="330A6248"/>
    <w:rsid w:val="37930C3B"/>
    <w:rsid w:val="3A0D511C"/>
    <w:rsid w:val="3B8E0546"/>
    <w:rsid w:val="44E32791"/>
    <w:rsid w:val="50764D06"/>
    <w:rsid w:val="60C935A7"/>
    <w:rsid w:val="627B71A0"/>
    <w:rsid w:val="66B37FE5"/>
    <w:rsid w:val="6DC1541F"/>
    <w:rsid w:val="7FC71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iPriority w:val="0"/>
    <w:rPr>
      <w:rFonts w:ascii="Arial" w:hAnsi="Arial" w:eastAsia="宋体" w:cs="Arial"/>
      <w:sz w:val="20"/>
      <w:szCs w:val="20"/>
    </w:rPr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hint="eastAsia" w:ascii="仿宋_GB2312" w:hAnsi="宋体" w:eastAsia="仿宋_GB2312"/>
    </w:rPr>
  </w:style>
  <w:style w:type="paragraph" w:styleId="3">
    <w:name w:val="Body Text Indent"/>
    <w:basedOn w:val="1"/>
    <w:link w:val="29"/>
    <w:uiPriority w:val="0"/>
    <w:pPr>
      <w:ind w:firstLine="640" w:firstLineChars="200"/>
    </w:pPr>
    <w:rPr>
      <w:sz w:val="32"/>
    </w:rPr>
  </w:style>
  <w:style w:type="paragraph" w:styleId="4">
    <w:name w:val="Plain Text"/>
    <w:basedOn w:val="1"/>
    <w:link w:val="33"/>
    <w:uiPriority w:val="0"/>
    <w:rPr>
      <w:rFonts w:ascii="宋体" w:hAnsi="宋体" w:eastAsia="仿宋_GB2312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12">
    <w:name w:val="Strong"/>
    <w:qFormat/>
    <w:uiPriority w:val="0"/>
    <w:rPr>
      <w:rFonts w:ascii="Arial" w:hAnsi="Arial" w:eastAsia="宋体" w:cs="Arial"/>
      <w:b/>
      <w:bCs/>
      <w:sz w:val="20"/>
      <w:szCs w:val="20"/>
    </w:rPr>
  </w:style>
  <w:style w:type="character" w:styleId="13">
    <w:name w:val="page number"/>
    <w:basedOn w:val="11"/>
    <w:uiPriority w:val="0"/>
  </w:style>
  <w:style w:type="character" w:styleId="14">
    <w:name w:val="Hyperlink"/>
    <w:uiPriority w:val="0"/>
    <w:rPr>
      <w:rFonts w:ascii="Arial" w:hAnsi="Arial" w:eastAsia="宋体" w:cs="Arial"/>
      <w:color w:val="0000FF"/>
      <w:sz w:val="20"/>
      <w:szCs w:val="20"/>
      <w:u w:val="single"/>
    </w:rPr>
  </w:style>
  <w:style w:type="paragraph" w:customStyle="1" w:styleId="15">
    <w:name w:val=" Char1"/>
    <w:basedOn w:val="1"/>
    <w:uiPriority w:val="0"/>
    <w:rPr>
      <w:rFonts w:ascii="Arial" w:hAnsi="Arial" w:eastAsia="宋体"/>
      <w:kern w:val="0"/>
      <w:sz w:val="20"/>
      <w:szCs w:val="20"/>
    </w:rPr>
  </w:style>
  <w:style w:type="paragraph" w:customStyle="1" w:styleId="16">
    <w:name w:val="union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17">
    <w:name w:val="p0"/>
    <w:basedOn w:val="1"/>
    <w:link w:val="3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8">
    <w:name w:val="Char"/>
    <w:basedOn w:val="1"/>
    <w:uiPriority w:val="0"/>
    <w:rPr>
      <w:rFonts w:ascii="Tahoma" w:hAnsi="Tahoma"/>
      <w:sz w:val="24"/>
      <w:szCs w:val="20"/>
    </w:rPr>
  </w:style>
  <w:style w:type="paragraph" w:customStyle="1" w:styleId="19">
    <w:name w:val="普通(网站) New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0"/>
    </w:rPr>
  </w:style>
  <w:style w:type="paragraph" w:customStyle="1" w:styleId="20">
    <w:name w:val="[基本段落]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Calibri" w:eastAsia="Adobe 宋体 Std L" w:cs="Adobe 宋体 Std L"/>
      <w:color w:val="000000"/>
      <w:kern w:val="0"/>
      <w:sz w:val="24"/>
      <w:lang w:val="zh-CN"/>
    </w:rPr>
  </w:style>
  <w:style w:type="paragraph" w:customStyle="1" w:styleId="21">
    <w:name w:val="默认段落字体 Para Char Char Char Char Char Char Char Char Char Char"/>
    <w:basedOn w:val="1"/>
    <w:uiPriority w:val="0"/>
    <w:rPr>
      <w:rFonts w:ascii="Arial" w:hAnsi="Arial" w:eastAsia="宋体" w:cs="Arial"/>
      <w:sz w:val="20"/>
      <w:szCs w:val="20"/>
    </w:rPr>
  </w:style>
  <w:style w:type="paragraph" w:customStyle="1" w:styleId="22">
    <w:name w:val="Char Char Char Char 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">
    <w:name w:val="default paragraph font Char"/>
    <w:basedOn w:val="1"/>
    <w:uiPriority w:val="0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paragraph" w:customStyle="1" w:styleId="24">
    <w:name w:val=" Char Char Char Char"/>
    <w:basedOn w:val="1"/>
    <w:uiPriority w:val="0"/>
    <w:pPr>
      <w:widowControl/>
      <w:spacing w:after="160" w:afterLines="0" w:line="240" w:lineRule="exact"/>
      <w:jc w:val="left"/>
    </w:pPr>
    <w:rPr>
      <w:rFonts w:eastAsia="宋体"/>
      <w:sz w:val="21"/>
    </w:rPr>
  </w:style>
  <w:style w:type="paragraph" w:customStyle="1" w:styleId="25">
    <w:name w:val="Char1 Char Char Char"/>
    <w:basedOn w:val="1"/>
    <w:uiPriority w:val="0"/>
    <w:pPr>
      <w:widowControl/>
      <w:spacing w:after="160" w:afterLines="0" w:line="240" w:lineRule="exact"/>
      <w:jc w:val="left"/>
    </w:pPr>
    <w:rPr>
      <w:rFonts w:eastAsia="宋体"/>
      <w:sz w:val="21"/>
    </w:rPr>
  </w:style>
  <w:style w:type="paragraph" w:customStyle="1" w:styleId="26">
    <w:name w:val="Char Char Char Char"/>
    <w:basedOn w:val="1"/>
    <w:uiPriority w:val="0"/>
    <w:rPr>
      <w:rFonts w:eastAsia="宋体"/>
      <w:sz w:val="21"/>
    </w:rPr>
  </w:style>
  <w:style w:type="paragraph" w:customStyle="1" w:styleId="27">
    <w:name w:val=" Char"/>
    <w:basedOn w:val="1"/>
    <w:uiPriority w:val="0"/>
    <w:rPr>
      <w:szCs w:val="20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9">
    <w:name w:val="正文文本缩进 字符"/>
    <w:link w:val="3"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character" w:customStyle="1" w:styleId="30">
    <w:name w:val="txtbreak"/>
    <w:basedOn w:val="11"/>
    <w:qFormat/>
    <w:uiPriority w:val="0"/>
  </w:style>
  <w:style w:type="character" w:customStyle="1" w:styleId="31">
    <w:name w:val="p0 Char Char"/>
    <w:link w:val="17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2">
    <w:name w:val="16"/>
    <w:uiPriority w:val="0"/>
    <w:rPr>
      <w:rFonts w:hint="default" w:ascii="Cambria" w:hAnsi="Cambria" w:eastAsia="宋体" w:cs="Arial"/>
      <w:b/>
      <w:bCs/>
      <w:sz w:val="20"/>
      <w:szCs w:val="20"/>
    </w:rPr>
  </w:style>
  <w:style w:type="character" w:customStyle="1" w:styleId="33">
    <w:name w:val="纯文本 字符"/>
    <w:link w:val="4"/>
    <w:uiPriority w:val="0"/>
    <w:rPr>
      <w:rFonts w:ascii="宋体" w:hAnsi="宋体"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1102</Words>
  <Characters>6282</Characters>
  <Lines>52</Lines>
  <Paragraphs>14</Paragraphs>
  <TotalTime>0</TotalTime>
  <ScaleCrop>false</ScaleCrop>
  <LinksUpToDate>false</LinksUpToDate>
  <CharactersWithSpaces>7370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2001-12-31T18:03:00Z</dcterms:created>
  <dc:creator>微软用户</dc:creator>
  <cp:lastModifiedBy>局办公室</cp:lastModifiedBy>
  <cp:lastPrinted>2018-01-09T09:19:00Z</cp:lastPrinted>
  <dcterms:modified xsi:type="dcterms:W3CDTF">2025-04-17T06:35:40Z</dcterms:modified>
  <dc:title>重庆市大足区政府常务会议文件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