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E3" w:rsidRDefault="00D652E3" w:rsidP="00D652E3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44"/>
        </w:rPr>
      </w:pPr>
      <w:r>
        <w:rPr>
          <w:rFonts w:ascii="方正小标宋_GBK" w:eastAsia="方正小标宋_GBK" w:hAnsi="方正小标宋_GBK" w:cs="方正小标宋_GBK" w:hint="eastAsia"/>
          <w:sz w:val="32"/>
          <w:szCs w:val="44"/>
        </w:rPr>
        <w:t>2017年度重庆市大足区区本级一般公共预算收支执行表</w:t>
      </w:r>
    </w:p>
    <w:p w:rsidR="00D652E3" w:rsidRDefault="00D652E3" w:rsidP="00D652E3">
      <w:pPr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单位：万元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8"/>
        <w:gridCol w:w="1352"/>
        <w:gridCol w:w="3004"/>
        <w:gridCol w:w="1352"/>
      </w:tblGrid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预算科目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执行数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预算科目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执行数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一、一般公共预算收入小计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 xml:space="preserve">375,106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>一、一般公共预算支出小计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lang w:bidi="ar"/>
              </w:rPr>
              <w:t xml:space="preserve">813,640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（一）税收收入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172,898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一般公共服务支出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48,874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增值税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37,505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外交支出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营业税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1,195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国防支出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971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企业所得税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10,214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公共安全支出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31,204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企业所得税退税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教育支出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141,838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个人所得税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2,914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科学技术支出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6,801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资源税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653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文化体育与传媒支出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10,410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城市维护建设税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8,660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社会保障和就业支出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76,124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房产税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6,986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医疗卫生与计划生育支出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83,067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印花税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2,092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节能环保支出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16,196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城镇土地使用税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40,177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城乡社区支出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275,244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土地增值税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6,298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农林水支出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46,215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车船税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交通运输支出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29,103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耕地占用税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37,405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资源勘探信息等支出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6,963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契税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18,799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商业服务业等支出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3,653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金融支出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（二）非税收入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202,208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援助其他地区支出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专项收入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5,142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国土海洋气象等支出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8,686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行政事业性收费收入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90,017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住房保障支出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13,900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罚没收入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12,634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粮油物资储备支出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1,389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国有资源（资产）有偿使用收入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90,405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预备费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 w:rsidR="0017766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捐赠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452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其他支出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969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政府住房基金收入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158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债务付息支出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12,032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3,400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ind w:leftChars="299" w:left="628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债务发行费用支出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二、上级补助收入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347,387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二、补助下级支出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75,687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三、地方政府债券转贷收入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27,000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三、上解上级支出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19,697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四、上年结余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34,363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四、地方政府债券还本支出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27,000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五、调入资金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162,000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五、预算稳定调节基金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217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六、调入预算稳定调节基金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7,008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六、结转下年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17,110 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七、下级上解收入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487 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D652E3" w:rsidTr="00AE21E4">
        <w:trPr>
          <w:trHeight w:hRule="exact" w:val="340"/>
        </w:trPr>
        <w:tc>
          <w:tcPr>
            <w:tcW w:w="3758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收入总计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953,351</w:t>
            </w:r>
          </w:p>
        </w:tc>
        <w:tc>
          <w:tcPr>
            <w:tcW w:w="3004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支出总计</w:t>
            </w:r>
          </w:p>
        </w:tc>
        <w:tc>
          <w:tcPr>
            <w:tcW w:w="1352" w:type="dxa"/>
            <w:vAlign w:val="center"/>
          </w:tcPr>
          <w:p w:rsidR="00D652E3" w:rsidRDefault="00D652E3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953,351</w:t>
            </w:r>
          </w:p>
        </w:tc>
      </w:tr>
    </w:tbl>
    <w:p w:rsidR="00D652E3" w:rsidRDefault="00D652E3" w:rsidP="00D652E3">
      <w:pPr>
        <w:rPr>
          <w:rFonts w:ascii="方正黑体_GBK" w:eastAsia="方正黑体_GBK" w:hAnsi="方正黑体_GBK" w:cs="方正黑体_GBK"/>
          <w:sz w:val="32"/>
          <w:szCs w:val="24"/>
        </w:rPr>
      </w:pPr>
    </w:p>
    <w:sectPr w:rsidR="00D652E3" w:rsidSect="00D652E3">
      <w:pgSz w:w="11906" w:h="16838"/>
      <w:pgMar w:top="1980" w:right="1800" w:bottom="16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E3"/>
    <w:rsid w:val="0017766C"/>
    <w:rsid w:val="007006B5"/>
    <w:rsid w:val="00D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2018-01-25T05:26:00Z</dcterms:created>
  <dcterms:modified xsi:type="dcterms:W3CDTF">2022-04-06T01:28:00Z</dcterms:modified>
</cp:coreProperties>
</file>