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534" w:lineRule="exact"/>
        <w:ind w:left="0" w:right="74"/>
        <w:jc w:val="center"/>
        <w:textAlignment w:val="auto"/>
        <w:rPr>
          <w:rStyle w:val="6"/>
          <w:rFonts w:hint="eastAsia" w:ascii="方正小标宋_GBK" w:hAnsi="方正小标宋_GBK" w:eastAsia="方正小标宋_GBK" w:cs="方正小标宋_GBK"/>
          <w:b w:val="0"/>
          <w:bCs/>
          <w:sz w:val="44"/>
          <w:szCs w:val="44"/>
          <w:shd w:val="clear" w:fill="FFFFFF"/>
        </w:rPr>
      </w:pPr>
      <w:r>
        <w:rPr>
          <w:rStyle w:val="6"/>
          <w:rFonts w:hint="eastAsia" w:ascii="方正小标宋_GBK" w:hAnsi="方正小标宋_GBK" w:eastAsia="方正小标宋_GBK" w:cs="方正小标宋_GBK"/>
          <w:b w:val="0"/>
          <w:bCs/>
          <w:sz w:val="44"/>
          <w:szCs w:val="44"/>
          <w:shd w:val="clear" w:fill="FFFFFF"/>
        </w:rPr>
        <w:t>重庆市大足区新闻出版服务中心</w:t>
      </w:r>
    </w:p>
    <w:p>
      <w:pPr>
        <w:pStyle w:val="4"/>
        <w:keepNext w:val="0"/>
        <w:keepLines w:val="0"/>
        <w:pageBreakBefore w:val="0"/>
        <w:widowControl/>
        <w:suppressLineNumbers w:val="0"/>
        <w:kinsoku/>
        <w:wordWrap/>
        <w:overflowPunct/>
        <w:topLinePunct w:val="0"/>
        <w:autoSpaceDE/>
        <w:autoSpaceDN/>
        <w:bidi w:val="0"/>
        <w:adjustRightInd/>
        <w:snapToGrid/>
        <w:spacing w:line="534" w:lineRule="exact"/>
        <w:ind w:left="0" w:right="74"/>
        <w:jc w:val="center"/>
        <w:textAlignment w:val="auto"/>
        <w:rPr>
          <w:rFonts w:hint="eastAsia" w:ascii="方正小标宋_GBK" w:hAnsi="方正小标宋_GBK" w:eastAsia="方正小标宋_GBK" w:cs="方正小标宋_GBK"/>
          <w:sz w:val="44"/>
          <w:szCs w:val="44"/>
        </w:rPr>
      </w:pPr>
      <w:r>
        <w:rPr>
          <w:rStyle w:val="6"/>
          <w:rFonts w:hint="eastAsia" w:ascii="方正小标宋_GBK" w:hAnsi="方正小标宋_GBK" w:eastAsia="方正小标宋_GBK" w:cs="方正小标宋_GBK"/>
          <w:b w:val="0"/>
          <w:bCs/>
          <w:sz w:val="44"/>
          <w:szCs w:val="44"/>
          <w:shd w:val="clear" w:fill="FFFFFF"/>
        </w:rPr>
        <w:t>2022年度部门决算情况说明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textAlignment w:val="auto"/>
        <w:rPr>
          <w:rFonts w:hint="eastAsia" w:ascii="方正黑体_GBK" w:hAnsi="方正黑体_GBK" w:eastAsia="方正黑体_GBK" w:cs="方正黑体_GBK"/>
          <w:b w:val="0"/>
          <w:bCs/>
          <w:sz w:val="32"/>
          <w:szCs w:val="32"/>
        </w:rPr>
      </w:pPr>
      <w:r>
        <w:rPr>
          <w:rStyle w:val="6"/>
          <w:rFonts w:hint="eastAsia" w:ascii="方正黑体_GBK" w:hAnsi="方正黑体_GBK" w:eastAsia="方正黑体_GBK" w:cs="方正黑体_GBK"/>
          <w:b w:val="0"/>
          <w:bCs/>
          <w:sz w:val="32"/>
          <w:szCs w:val="32"/>
          <w:shd w:val="clear" w:fill="FFFFFF"/>
        </w:rPr>
        <w:t>一、部门基本情况</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（一）职能职责</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1.负责组织协调有关行政审批；</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2.负责统筹规划和指导协调新闻出版事业；</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3.负责本部门行政管理工作，部门工作计划、岗位职责的制定和落实；</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4.承办领导和上级单位交办的其他事宜。</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5.负责组织实施农家书屋工作；</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6.负责协调全区惠民电影放映工作；</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7.负责组织协调全区全民阅读活动；</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8.负责著作权保护管理和公共服务工作； 责印刷行业统计工作；</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9.负责著作权保护管理和公共服务工作；</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left="638" w:leftChars="304" w:right="0" w:firstLine="0" w:firstLineChars="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（二）机构设置</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重庆市大足区新闻出版服务中心</w:t>
      </w:r>
      <w:r>
        <w:rPr>
          <w:rFonts w:hint="eastAsia" w:ascii="Times New Roman" w:hAnsi="Times New Roman" w:eastAsia="方正仿宋_GBK" w:cs="Times New Roman"/>
          <w:kern w:val="0"/>
          <w:sz w:val="32"/>
          <w:szCs w:val="32"/>
          <w:highlight w:val="none"/>
          <w:lang w:val="en-US" w:eastAsia="zh-CN"/>
        </w:rPr>
        <w:t>是中共重庆市大足区委宣传部下属二级事业单位</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（三）单位构成</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从预算单位构成看，本部门2022年度决算编制的二级预算单位</w:t>
      </w:r>
      <w:r>
        <w:rPr>
          <w:rFonts w:hint="eastAsia" w:ascii="Times New Roman" w:hAnsi="Times New Roman" w:eastAsia="方正仿宋_GBK" w:cs="Times New Roman"/>
          <w:kern w:val="0"/>
          <w:sz w:val="32"/>
          <w:szCs w:val="32"/>
          <w:highlight w:val="none"/>
          <w:lang w:val="en-US" w:eastAsia="zh-CN"/>
        </w:rPr>
        <w:t>就是</w:t>
      </w:r>
      <w:r>
        <w:rPr>
          <w:rFonts w:hint="default" w:ascii="Times New Roman" w:hAnsi="Times New Roman" w:eastAsia="方正仿宋_GBK" w:cs="Times New Roman"/>
          <w:kern w:val="0"/>
          <w:sz w:val="32"/>
          <w:szCs w:val="32"/>
          <w:highlight w:val="none"/>
          <w:lang w:val="en-US" w:eastAsia="zh-CN"/>
        </w:rPr>
        <w:t>重庆市大足区新闻出版服务中心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textAlignment w:val="auto"/>
        <w:rPr>
          <w:rStyle w:val="6"/>
          <w:rFonts w:hint="eastAsia" w:ascii="方正黑体_GBK" w:hAnsi="方正黑体_GBK" w:eastAsia="方正黑体_GBK" w:cs="方正黑体_GBK"/>
          <w:b w:val="0"/>
          <w:bCs/>
          <w:sz w:val="32"/>
          <w:szCs w:val="32"/>
          <w:shd w:val="clear" w:fill="FFFFFF"/>
        </w:rPr>
      </w:pPr>
      <w:r>
        <w:rPr>
          <w:rStyle w:val="6"/>
          <w:rFonts w:hint="eastAsia" w:ascii="方正黑体_GBK" w:hAnsi="方正黑体_GBK" w:eastAsia="方正黑体_GBK" w:cs="方正黑体_GBK"/>
          <w:b w:val="0"/>
          <w:bCs/>
          <w:sz w:val="32"/>
          <w:szCs w:val="32"/>
          <w:shd w:val="clear" w:fill="FFFFFF"/>
        </w:rPr>
        <w:t>二、部门决算情况说明</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1.总体情况。2022年度收入总计384.76万元，支出总计384.76万元。收支较上年决算数增加384.76万元,增长100%，主要原因是2022年新增决算单位。无上年对比数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2.收入情况。2022年度收入合计384.76万元，较上年决算数增加384.76万元，增长100%，主要原因是2022年新增决算单位。无上年对比数。其中：财政拨款收入384.76万元，占100%。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3.支出情况。2022年度支出合计384.76万元，较上年决算增加384.76万元，增长100%，主要原因是2022年新增决算单位。无上年对比数。其中：基本支出384.76万元，占100%。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4.结转结余情况。2022年度年末结转和结余0.00万元，较上年决算数增加0.00万元，增长%。</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（二）财政拨款收入支出决算总体情况说明</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Style w:val="6"/>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kern w:val="0"/>
          <w:sz w:val="32"/>
          <w:szCs w:val="32"/>
          <w:highlight w:val="none"/>
          <w:lang w:val="en-US" w:eastAsia="zh-CN"/>
        </w:rPr>
        <w:t>2022年度财政拨款收、支总计384.76万元。与2021年相比</w:t>
      </w:r>
      <w:r>
        <w:rPr>
          <w:rFonts w:hint="eastAsia" w:ascii="方正仿宋_GBK" w:hAnsi="方正仿宋_GBK" w:eastAsia="方正仿宋_GBK" w:cs="方正仿宋_GBK"/>
          <w:kern w:val="0"/>
          <w:sz w:val="32"/>
          <w:szCs w:val="32"/>
          <w:shd w:val="clear" w:fill="FFFFFF"/>
        </w:rPr>
        <w:t>，财政拨款收、支总计各增加384.76万元，增长</w:t>
      </w:r>
      <w:r>
        <w:rPr>
          <w:rFonts w:hint="eastAsia" w:ascii="方正仿宋_GBK" w:hAnsi="方正仿宋_GBK" w:eastAsia="方正仿宋_GBK" w:cs="方正仿宋_GBK"/>
          <w:kern w:val="0"/>
          <w:sz w:val="32"/>
          <w:szCs w:val="32"/>
          <w:shd w:val="clear" w:fill="FFFFFF"/>
          <w:lang w:val="en-US" w:eastAsia="zh-CN"/>
        </w:rPr>
        <w:t>100</w:t>
      </w:r>
      <w:r>
        <w:rPr>
          <w:rFonts w:hint="eastAsia" w:ascii="方正仿宋_GBK" w:hAnsi="方正仿宋_GBK" w:eastAsia="方正仿宋_GBK" w:cs="方正仿宋_GBK"/>
          <w:kern w:val="0"/>
          <w:sz w:val="32"/>
          <w:szCs w:val="32"/>
          <w:shd w:val="clear" w:fill="FFFFFF"/>
        </w:rPr>
        <w:t>%。主要原因是2022年新增决算单位。无上年对比数</w:t>
      </w:r>
      <w:r>
        <w:rPr>
          <w:rFonts w:hint="eastAsia" w:ascii="方正仿宋_GBK" w:hAnsi="方正仿宋_GBK" w:eastAsia="方正仿宋_GBK" w:cs="方正仿宋_GBK"/>
          <w:kern w:val="0"/>
          <w:sz w:val="32"/>
          <w:szCs w:val="32"/>
          <w:shd w:val="clear" w:fill="FFFFFF"/>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（三）一般公共预算财政拨款收入支出决算情况说明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1.收入情况。2022年度一般公共预算财政拨款收入384.76万元，较上年决算数增加384.76万元，增长100%。主要原因是2022年新增决算单位。无上年对比数。较年初预算数增加43.59万元，增长12.8%。主要原因是调资及社保等基数调整。此外，年初财政拨款结转和结余0.00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支出情况。2022年度一般公共预算财政拨款支出384.76万元，较上年决算数增加384.76万元，增长100%。主要原因是2022年新增决算单位。无上年对比数。较年初预算数增加43.59万元，增长12.8%。主要原因是人员变动及调资补发2021年超额绩效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3.结转结余情况。2022年度年末一般公共预算财政拨款结转和结余0.00万元，较上年决算数增加0.00万元，增长%。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4.比较情况。</w:t>
      </w:r>
      <w:r>
        <w:rPr>
          <w:rFonts w:hint="eastAsia" w:ascii="Times New Roman" w:hAnsi="Times New Roman" w:eastAsia="方正仿宋_GBK" w:cs="Times New Roman"/>
          <w:kern w:val="0"/>
          <w:sz w:val="32"/>
          <w:szCs w:val="32"/>
          <w:highlight w:val="none"/>
          <w:lang w:val="en-US" w:eastAsia="zh-CN"/>
        </w:rPr>
        <w:t>本部门2022年度一般公共预算财政拨款支出主要用于以下几个方面：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（1）一般公共服务支出312.13万元，占81.1%，较年初预算数增加43.58万元，增长16.2%，主要原因是.人员变动及调资补发2021年超额绩效等。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（2）社会保障与就业支出36.44万元，占9.5%，较年初预算数增加0.00万元，增长0%。和年初数持平。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（3）卫生健康支出18.19万元，占4.7%，较年初预算数增加0.00万元，增长0%，年初数持平。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（4）住房保障支出17.99万元，占4.7%，较年初预算数增加0.00万元，增长0%，年初数持平。</w:t>
      </w:r>
    </w:p>
    <w:p>
      <w:pPr>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94" w:lineRule="exact"/>
        <w:ind w:right="0" w:firstLine="640" w:firstLineChars="200"/>
        <w:jc w:val="left"/>
        <w:textAlignment w:val="center"/>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2022年度一般公共预算财政拨款基本支出384.76万元。其中：人员经费302.05万元，较上年决算数增加302.05万元，增长100%，主要原因是.2022年新增决算单位。无上年对比数。人员经费用途主要包括基本工资、津贴补贴、奖金、社会保障缴费等。公用经费82.71万元，较上年决算数增加82.71万元，增长100%，主要原因是2022年新增决算单位。无上年对比数。公用经费用途主要包括办公费、邮电费、印刷费、差旅费、手续费、工会经费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（五）政府性基金预算收支决算情况说明。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本部门2022年度无政府性基金预算财政拨款收支。</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（六）国有资本经营预算财政拨款支出决算情况说明。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本部门2022年度无国有资本经营预算财政拨款支出。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textAlignment w:val="auto"/>
        <w:rPr>
          <w:rStyle w:val="6"/>
          <w:rFonts w:hint="eastAsia" w:ascii="方正黑体_GBK" w:hAnsi="方正黑体_GBK" w:eastAsia="方正黑体_GBK" w:cs="方正黑体_GBK"/>
          <w:sz w:val="32"/>
          <w:szCs w:val="32"/>
          <w:shd w:val="clear" w:fill="FFFFFF"/>
        </w:rPr>
      </w:pPr>
      <w:r>
        <w:rPr>
          <w:rStyle w:val="6"/>
          <w:rFonts w:hint="eastAsia" w:ascii="方正黑体_GBK" w:hAnsi="方正黑体_GBK" w:eastAsia="方正黑体_GBK" w:cs="方正黑体_GBK"/>
          <w:sz w:val="32"/>
          <w:szCs w:val="32"/>
          <w:shd w:val="clear" w:fill="FFFFFF"/>
        </w:rPr>
        <w:t>三、“三公”经费情况说明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（一）“三公”经费支出总体情况说明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6"/>
          <w:rFonts w:hint="eastAsia" w:ascii="Times New Roman" w:hAnsi="Times New Roman" w:eastAsia="方正仿宋_GBK" w:cs="Times New Roman"/>
          <w:b w:val="0"/>
          <w:bCs/>
          <w:sz w:val="32"/>
          <w:szCs w:val="32"/>
          <w:shd w:val="clear" w:fill="FFFFFF"/>
          <w:lang w:val="en-US" w:eastAsia="zh-CN"/>
        </w:rPr>
      </w:pPr>
      <w:r>
        <w:rPr>
          <w:rStyle w:val="6"/>
          <w:rFonts w:hint="eastAsia" w:ascii="Times New Roman" w:hAnsi="Times New Roman" w:eastAsia="方正仿宋_GBK" w:cs="Times New Roman"/>
          <w:b w:val="0"/>
          <w:bCs/>
          <w:sz w:val="32"/>
          <w:szCs w:val="32"/>
          <w:shd w:val="clear" w:fill="FFFFFF"/>
          <w:lang w:val="en-US" w:eastAsia="zh-CN"/>
        </w:rPr>
        <w:t>2022年度“三公”经费支出共计0.00万元，较</w:t>
      </w:r>
      <w:bookmarkStart w:id="0" w:name="OLE_LINK1"/>
      <w:r>
        <w:rPr>
          <w:rStyle w:val="6"/>
          <w:rFonts w:hint="eastAsia" w:ascii="Times New Roman" w:hAnsi="Times New Roman" w:eastAsia="方正仿宋_GBK" w:cs="Times New Roman"/>
          <w:b w:val="0"/>
          <w:bCs/>
          <w:sz w:val="32"/>
          <w:szCs w:val="32"/>
          <w:shd w:val="clear" w:fill="FFFFFF"/>
          <w:lang w:val="en-US" w:eastAsia="zh-CN"/>
        </w:rPr>
        <w:t>年初预算数</w:t>
      </w:r>
      <w:bookmarkEnd w:id="0"/>
      <w:r>
        <w:rPr>
          <w:rStyle w:val="6"/>
          <w:rFonts w:hint="eastAsia" w:ascii="Times New Roman" w:hAnsi="Times New Roman" w:eastAsia="方正仿宋_GBK" w:cs="Times New Roman"/>
          <w:b w:val="0"/>
          <w:bCs/>
          <w:sz w:val="32"/>
          <w:szCs w:val="32"/>
          <w:shd w:val="clear" w:fill="FFFFFF"/>
          <w:lang w:val="en-US" w:eastAsia="zh-CN"/>
        </w:rPr>
        <w:t>增加0.00万元，增长0%，</w:t>
      </w:r>
      <w:bookmarkStart w:id="1" w:name="OLE_LINK2"/>
      <w:r>
        <w:rPr>
          <w:rStyle w:val="6"/>
          <w:rFonts w:hint="eastAsia" w:ascii="Times New Roman" w:hAnsi="Times New Roman" w:eastAsia="方正仿宋_GBK" w:cs="Times New Roman"/>
          <w:b w:val="0"/>
          <w:bCs/>
          <w:sz w:val="32"/>
          <w:szCs w:val="32"/>
          <w:shd w:val="clear" w:fill="FFFFFF"/>
          <w:lang w:val="en-US" w:eastAsia="zh-CN"/>
        </w:rPr>
        <w:t>与年初预算数持平</w:t>
      </w:r>
      <w:bookmarkEnd w:id="1"/>
      <w:r>
        <w:rPr>
          <w:rStyle w:val="6"/>
          <w:rFonts w:hint="eastAsia" w:ascii="Times New Roman" w:hAnsi="Times New Roman" w:eastAsia="方正仿宋_GBK" w:cs="Times New Roman"/>
          <w:b w:val="0"/>
          <w:bCs/>
          <w:sz w:val="32"/>
          <w:szCs w:val="32"/>
          <w:shd w:val="clear" w:fill="FFFFFF"/>
          <w:lang w:val="en-US" w:eastAsia="zh-CN"/>
        </w:rPr>
        <w:t>。主要原因是本单位2022年度未发生“三公”经费支出。较上年支出数增加0.00万元，增长0%，</w:t>
      </w:r>
      <w:bookmarkStart w:id="2" w:name="OLE_LINK3"/>
      <w:r>
        <w:rPr>
          <w:rStyle w:val="6"/>
          <w:rFonts w:hint="eastAsia" w:ascii="Times New Roman" w:hAnsi="Times New Roman" w:eastAsia="方正仿宋_GBK" w:cs="Times New Roman"/>
          <w:b w:val="0"/>
          <w:bCs/>
          <w:sz w:val="32"/>
          <w:szCs w:val="32"/>
          <w:shd w:val="clear" w:fill="FFFFFF"/>
          <w:lang w:val="en-US" w:eastAsia="zh-CN"/>
        </w:rPr>
        <w:t>2022年新增决算单位。</w:t>
      </w:r>
      <w:bookmarkEnd w:id="2"/>
      <w:r>
        <w:rPr>
          <w:rStyle w:val="6"/>
          <w:rFonts w:hint="eastAsia" w:ascii="Times New Roman" w:hAnsi="Times New Roman" w:eastAsia="方正仿宋_GBK" w:cs="Times New Roman"/>
          <w:b w:val="0"/>
          <w:bCs/>
          <w:sz w:val="32"/>
          <w:szCs w:val="32"/>
          <w:shd w:val="clear" w:fill="FFFFFF"/>
          <w:lang w:val="en-US" w:eastAsia="zh-CN"/>
        </w:rPr>
        <w:t>主要原因是本单位2022年度未发生“三公”经费支出。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6"/>
          <w:rFonts w:hint="eastAsia" w:ascii="方正楷体_GBK" w:hAnsi="方正楷体_GBK" w:eastAsia="方正楷体_GBK" w:cs="方正楷体_GBK"/>
          <w:b w:val="0"/>
          <w:bCs/>
          <w:sz w:val="32"/>
          <w:szCs w:val="32"/>
          <w:shd w:val="clear" w:fill="FFFFFF"/>
        </w:rPr>
      </w:pPr>
      <w:r>
        <w:rPr>
          <w:rStyle w:val="6"/>
          <w:rFonts w:hint="eastAsia" w:ascii="方正楷体_GBK" w:hAnsi="方正楷体_GBK" w:eastAsia="方正楷体_GBK" w:cs="方正楷体_GBK"/>
          <w:b w:val="0"/>
          <w:bCs/>
          <w:sz w:val="32"/>
          <w:szCs w:val="32"/>
          <w:shd w:val="clear" w:fill="FFFFFF"/>
        </w:rPr>
        <w:t>（二）“三公”经费分项支出情况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6"/>
          <w:rFonts w:hint="eastAsia" w:ascii="Times New Roman" w:hAnsi="Times New Roman" w:eastAsia="方正仿宋_GBK" w:cs="Times New Roman"/>
          <w:b w:val="0"/>
          <w:bCs/>
          <w:sz w:val="32"/>
          <w:szCs w:val="32"/>
          <w:shd w:val="clear" w:fill="FFFFFF"/>
          <w:lang w:val="en-US" w:eastAsia="zh-CN"/>
        </w:rPr>
      </w:pPr>
      <w:r>
        <w:rPr>
          <w:rStyle w:val="6"/>
          <w:rFonts w:hint="eastAsia" w:ascii="Times New Roman" w:hAnsi="Times New Roman" w:eastAsia="方正仿宋_GBK" w:cs="Times New Roman"/>
          <w:b w:val="0"/>
          <w:bCs/>
          <w:sz w:val="32"/>
          <w:szCs w:val="32"/>
          <w:shd w:val="clear" w:fill="FFFFFF"/>
          <w:lang w:val="en-US" w:eastAsia="zh-CN"/>
        </w:rPr>
        <w:t>2022年度本部门因公出国（境）费用0.00万元，主要是本单位2022年度未发生公出国（境）费用。费用支出较年初预算数增加0.00万元，增长0%，与年初预算数持平，主要原因是本单位2022年度未发生公出国（境）费用。较上年支出数增加0.00万元，增长0%，主要原因是2022年新增决算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6"/>
          <w:rFonts w:hint="eastAsia" w:ascii="Times New Roman" w:hAnsi="Times New Roman" w:eastAsia="方正仿宋_GBK" w:cs="Times New Roman"/>
          <w:b w:val="0"/>
          <w:bCs/>
          <w:sz w:val="32"/>
          <w:szCs w:val="32"/>
          <w:shd w:val="clear" w:fill="FFFFFF"/>
          <w:lang w:val="en-US" w:eastAsia="zh-CN"/>
        </w:rPr>
      </w:pPr>
      <w:r>
        <w:rPr>
          <w:rStyle w:val="6"/>
          <w:rFonts w:hint="eastAsia" w:ascii="Times New Roman" w:hAnsi="Times New Roman" w:eastAsia="方正仿宋_GBK" w:cs="Times New Roman"/>
          <w:b w:val="0"/>
          <w:bCs/>
          <w:sz w:val="32"/>
          <w:szCs w:val="32"/>
          <w:shd w:val="clear" w:fill="FFFFFF"/>
          <w:lang w:val="en-US" w:eastAsia="zh-CN"/>
        </w:rPr>
        <w:t>公务车购置费0.00万元，主要是本单位2022年度未发生公务车购置费。费用支出较年初预算数增加0.00万元，增长0%，与年初预算数持平，主要是本单位2022年度未发生公务车购置费。较上年支出数增加0.00万元，增长0%，主要原因是本单位是2022年度新增决算单位。未发生公务车购置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Style w:val="6"/>
          <w:rFonts w:hint="eastAsia" w:ascii="Times New Roman" w:hAnsi="Times New Roman" w:eastAsia="方正仿宋_GBK" w:cs="Times New Roman"/>
          <w:b w:val="0"/>
          <w:bCs/>
          <w:sz w:val="32"/>
          <w:szCs w:val="32"/>
          <w:shd w:val="clear" w:fill="FFFFFF"/>
          <w:lang w:val="en-US" w:eastAsia="zh-CN"/>
        </w:rPr>
      </w:pPr>
      <w:r>
        <w:rPr>
          <w:rStyle w:val="6"/>
          <w:rFonts w:hint="eastAsia" w:ascii="Times New Roman" w:hAnsi="Times New Roman" w:eastAsia="方正仿宋_GBK" w:cs="Times New Roman"/>
          <w:b w:val="0"/>
          <w:bCs/>
          <w:sz w:val="32"/>
          <w:szCs w:val="32"/>
          <w:shd w:val="clear" w:fill="FFFFFF"/>
          <w:lang w:val="en-US" w:eastAsia="zh-CN"/>
        </w:rPr>
        <w:t>公务车运行维护费0.00万元，主要是本单位2022年度未发生公务车运行维护费。费用支出较年初预算数增加0.00万元，增长0%，与年初预算数持平，主要是本单位2022年度未发生公务车运行维护费。较上年支出数增加0.00万元，增长0%，2022年新增决算单位，主要是本单位2022年度未发生公务车运行维护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74" w:firstLine="640" w:firstLineChars="200"/>
        <w:jc w:val="left"/>
        <w:textAlignment w:val="auto"/>
        <w:rPr>
          <w:rFonts w:hint="eastAsia" w:ascii="Times New Roman" w:hAnsi="Times New Roman" w:eastAsia="方正仿宋_GBK" w:cs="Times New Roman"/>
          <w:kern w:val="0"/>
          <w:sz w:val="32"/>
          <w:szCs w:val="32"/>
          <w:highlight w:val="none"/>
          <w:lang w:val="en-US" w:eastAsia="zh-CN"/>
        </w:rPr>
      </w:pPr>
      <w:r>
        <w:rPr>
          <w:rStyle w:val="6"/>
          <w:rFonts w:hint="eastAsia" w:ascii="Times New Roman" w:hAnsi="Times New Roman" w:eastAsia="方正仿宋_GBK" w:cs="Times New Roman"/>
          <w:b w:val="0"/>
          <w:bCs/>
          <w:sz w:val="32"/>
          <w:szCs w:val="32"/>
          <w:shd w:val="clear" w:fill="FFFFFF"/>
          <w:lang w:val="en-US" w:eastAsia="zh-CN"/>
        </w:rPr>
        <w:t>公务接待费0.00万元，主要是本单位2022年度未发生公务接待费。费用支出较年初预算数增加0.00万元，增长0%，与年初预算数持平，主要是本单位2022年度未发生公务接待费。较上年支出数增加0.00万元，增长0%，2022年新增决算单位，主要是本单位2022年度未发生公务接待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（三）“三公”经费实物量情况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2022年度本部门因公出国（境）共计0.00个团组，0.00人；公务用车购置0.00辆，公务车保有量为0.00辆；国内公务接待0.00批次0.00人，其中：国内外事接待0.00批次，0.00人；国（境）外公务接待0.00批次，0.00人。2022年本部门人均接待费0.00元，车均购置费0.00万元，车均维护费0.00万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textAlignment w:val="auto"/>
        <w:rPr>
          <w:rStyle w:val="6"/>
          <w:rFonts w:hint="eastAsia" w:ascii="方正黑体_GBK" w:hAnsi="方正黑体_GBK" w:eastAsia="方正黑体_GBK" w:cs="方正黑体_GBK"/>
          <w:sz w:val="32"/>
          <w:szCs w:val="32"/>
          <w:shd w:val="clear" w:fill="FFFFFF"/>
        </w:rPr>
      </w:pPr>
      <w:r>
        <w:rPr>
          <w:rStyle w:val="6"/>
          <w:rFonts w:hint="eastAsia" w:ascii="方正黑体_GBK" w:hAnsi="方正黑体_GBK" w:eastAsia="方正黑体_GBK" w:cs="方正黑体_GBK"/>
          <w:sz w:val="32"/>
          <w:szCs w:val="32"/>
          <w:shd w:val="clear" w:fill="FFFFFF"/>
        </w:rPr>
        <w:t>四、其他需要说明的事项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（一）财政拨款会议费和培训费情况说明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本年度会议费支出0.00万元，较上年决算数增加0.00万元，增长%，主要原因是2022年新增决算单位。无上年对比数。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本年度培训费支出0.00万元，较上年决算数增加0.00万元，增长%，主要原因是2022年新增决算单位。无上年对比数。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（二）机关运行经费支出情况说明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按照部门决算列报口径，我单位不在机关运行经费统计范围之内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（三）国有资产占用情况说明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截至2022年12月31日，本部门共有车辆0.00辆，其中，副部（省）级及以上领导用车0.00辆、主要领导干部用车0.00辆、机要通信用车0.00辆、应急保障用车0.00辆、执法执勤用车0.00辆，特种专业技术用车0.00辆，离退休干部用车0.00辆，其他用车0.00辆。单价100万元（含）以上设备（不含车辆）0.00台（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（四）政府采购支出说明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2022年度我单位未发生政府采购事项，无相关经费支出。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textAlignment w:val="auto"/>
        <w:rPr>
          <w:rStyle w:val="6"/>
          <w:rFonts w:hint="eastAsia" w:ascii="方正黑体_GBK" w:hAnsi="方正黑体_GBK" w:eastAsia="方正黑体_GBK" w:cs="方正黑体_GBK"/>
          <w:sz w:val="32"/>
          <w:szCs w:val="32"/>
          <w:shd w:val="clear" w:fill="FFFFFF"/>
        </w:rPr>
      </w:pPr>
      <w:r>
        <w:rPr>
          <w:rStyle w:val="6"/>
          <w:rFonts w:hint="eastAsia" w:ascii="方正黑体_GBK" w:hAnsi="方正黑体_GBK" w:eastAsia="方正黑体_GBK" w:cs="方正黑体_GBK"/>
          <w:sz w:val="32"/>
          <w:szCs w:val="32"/>
          <w:shd w:val="clear" w:fill="FFFFFF"/>
        </w:rPr>
        <w:t>五、预算绩效管理情况说明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（一）预算绩效管理工作开展情况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本单位属于区委宣传部下属单位，开展2022年一般公共</w:t>
      </w:r>
      <w:r>
        <w:rPr>
          <w:rStyle w:val="6"/>
          <w:rFonts w:hint="eastAsia" w:ascii="方正楷体_GBK" w:hAnsi="方正楷体_GBK" w:eastAsia="方正楷体_GBK" w:cs="方正楷体_GBK"/>
          <w:b w:val="0"/>
          <w:bCs/>
          <w:sz w:val="32"/>
          <w:szCs w:val="32"/>
          <w:shd w:val="clear" w:fill="FFFFFF"/>
        </w:rPr>
        <w:t>预算绩效管理</w:t>
      </w:r>
      <w:r>
        <w:rPr>
          <w:rStyle w:val="6"/>
          <w:rFonts w:hint="eastAsia" w:ascii="方正楷体_GBK" w:hAnsi="方正楷体_GBK" w:eastAsia="方正楷体_GBK" w:cs="方正楷体_GBK"/>
          <w:b w:val="0"/>
          <w:bCs/>
          <w:sz w:val="32"/>
          <w:szCs w:val="32"/>
          <w:shd w:val="clear" w:fill="FFFFFF"/>
          <w:lang w:val="en-US" w:eastAsia="zh-CN"/>
        </w:rPr>
        <w:t>绩效评价时，是宣传部整体开展绩效评价的。故</w:t>
      </w:r>
      <w:r>
        <w:rPr>
          <w:rFonts w:hint="eastAsia" w:ascii="方正仿宋_GBK" w:hAnsi="方正仿宋_GBK" w:eastAsia="方正仿宋_GBK" w:cs="方正仿宋_GBK"/>
          <w:kern w:val="0"/>
          <w:sz w:val="32"/>
          <w:szCs w:val="32"/>
          <w:shd w:val="clear" w:fill="FFFFFF"/>
          <w:lang w:val="en-US" w:eastAsia="zh-CN" w:bidi="ar"/>
        </w:rPr>
        <w:t>绩效自评结果在本级反映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bookmarkStart w:id="3" w:name="_GoBack"/>
      <w:bookmarkEnd w:id="3"/>
      <w:r>
        <w:rPr>
          <w:rFonts w:hint="eastAsia" w:ascii="方正楷体_GBK" w:hAnsi="方正楷体_GBK" w:eastAsia="方正楷体_GBK" w:cs="方正楷体_GBK"/>
          <w:kern w:val="0"/>
          <w:sz w:val="32"/>
          <w:szCs w:val="32"/>
          <w:highlight w:val="none"/>
          <w:lang w:val="en-US" w:eastAsia="zh-CN"/>
        </w:rPr>
        <w:t>（二）绩效自评结果。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1.绩效目标自评表。无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2.绩效自评报告或案例。无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3.关于绩效自评结果的说明。 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（三）重点绩效评价结果。无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jc w:val="left"/>
        <w:textAlignment w:val="auto"/>
        <w:rPr>
          <w:rFonts w:hint="eastAsia" w:ascii="方正黑体_GBK" w:hAnsi="方正黑体_GBK" w:eastAsia="方正黑体_GBK" w:cs="方正黑体_GBK"/>
          <w:sz w:val="32"/>
          <w:szCs w:val="32"/>
        </w:rPr>
      </w:pPr>
      <w:r>
        <w:rPr>
          <w:rStyle w:val="6"/>
          <w:rFonts w:hint="eastAsia" w:ascii="方正黑体_GBK" w:hAnsi="方正黑体_GBK" w:eastAsia="方正黑体_GBK" w:cs="方正黑体_GBK"/>
          <w:sz w:val="32"/>
          <w:szCs w:val="32"/>
          <w:shd w:val="clear" w:fill="FFFFFF"/>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（一）财政拨款收入：指本年度从本级财政部门取得的财政拨款，包括一般公共预算财政拨款和政府性基金预算财政拨款。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（二）事业收入：指事业单位开展专业业务活动及其辅助活动取得的现金流入；事业单位收到的财政专户实际核拨的教育收费等资金在此反映。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（三）经营收入：指事业单位在专业业务活动及其辅助活动之外开展非独立核算经营活动取得的现金流入。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（五）使用非财政拨款结余：指单位在当年的“财政拨款收入”、“事业收入”、“经营收入”、“其他收入”等不足以安排当年支出的情况下，使用以前年度积累的非财政拨款结余弥补本年度收支缺口的资金。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（六）年初结转和结余：指单位上年结转本年使用的基本支出结转、项目支出结转和结余、经营结余。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（七）结余分配：指单位按照国家有关规定，缴纳所得税、提取专用基金、转入非财政拨款结余等当年结余的分配情况。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（八）年末结转和结余：指单位结转下年的基本支出结转、项目支出结转和结余、经营结余。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（十）项目支出：指在基本支出之外为完成特定行政任务和事业发展目标所发生的支出。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（十一）经营支出：指事业单位在专业业务活动及其辅助活动之外开展非独立核算经营活动发生的支出。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（十四）工资福利支出（支出经济分类科目类级）：反映单位开支的在职职工和编制外长期聘用人员的各类劳动报酬，以及为上述人员缴纳的各项社会保险费等。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（十五）商品和服务支出（支出经济分类科目类级）：反映单位购买商品和服务的支出（不包括用于购置固定资产的支出、战略性和应急储备支出）。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（十六）对个人和家庭的补助（支出经济分类科目类级）：反映用于对个人和家庭的补助支出。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eastAsia"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jc w:val="left"/>
        <w:textAlignment w:val="auto"/>
        <w:rPr>
          <w:rStyle w:val="6"/>
          <w:rFonts w:hint="eastAsia" w:ascii="方正黑体_GBK" w:hAnsi="方正黑体_GBK" w:eastAsia="方正黑体_GBK" w:cs="方正黑体_GBK"/>
          <w:sz w:val="32"/>
          <w:szCs w:val="32"/>
          <w:shd w:val="clear" w:fill="FFFFFF"/>
        </w:rPr>
      </w:pPr>
      <w:r>
        <w:rPr>
          <w:rStyle w:val="6"/>
          <w:rFonts w:hint="eastAsia" w:ascii="方正黑体_GBK" w:hAnsi="方正黑体_GBK" w:eastAsia="方正黑体_GBK" w:cs="方正黑体_GBK"/>
          <w:sz w:val="32"/>
          <w:szCs w:val="32"/>
          <w:shd w:val="clear" w:fill="FFFFFF"/>
        </w:rPr>
        <w:t>七、决算公开联系方式及信息反馈渠道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right="0" w:firstLine="640" w:firstLineChars="200"/>
        <w:jc w:val="both"/>
        <w:textAlignment w:val="auto"/>
        <w:rPr>
          <w:rFonts w:hint="default" w:ascii="Times New Roman" w:hAnsi="Times New Roman" w:eastAsia="方正仿宋_GBK" w:cs="Times New Roman"/>
          <w:kern w:val="0"/>
          <w:sz w:val="32"/>
          <w:szCs w:val="32"/>
          <w:highlight w:val="none"/>
          <w:lang w:val="en-US" w:eastAsia="zh-CN"/>
        </w:rPr>
      </w:pPr>
      <w:r>
        <w:rPr>
          <w:rFonts w:hint="eastAsia" w:ascii="Times New Roman" w:hAnsi="Times New Roman" w:eastAsia="方正仿宋_GBK" w:cs="Times New Roman"/>
          <w:kern w:val="0"/>
          <w:sz w:val="32"/>
          <w:szCs w:val="32"/>
          <w:highlight w:val="none"/>
          <w:lang w:val="en-US" w:eastAsia="zh-CN"/>
        </w:rPr>
        <w:t>本单位决算公开信息反馈和联系方式：023-43769080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ZTZkNDYyMWJmY2M4ZGQ0NDM1Y2NhYjIwM2I4ZTcifQ=="/>
  </w:docVars>
  <w:rsids>
    <w:rsidRoot w:val="71AA31D5"/>
    <w:rsid w:val="035704F5"/>
    <w:rsid w:val="069A694C"/>
    <w:rsid w:val="0BA26C03"/>
    <w:rsid w:val="0BAA7796"/>
    <w:rsid w:val="0C662A91"/>
    <w:rsid w:val="0FEC6172"/>
    <w:rsid w:val="10065010"/>
    <w:rsid w:val="10773C69"/>
    <w:rsid w:val="120B7F6B"/>
    <w:rsid w:val="12ED5CBA"/>
    <w:rsid w:val="1696605A"/>
    <w:rsid w:val="17307F46"/>
    <w:rsid w:val="18AB6B41"/>
    <w:rsid w:val="1A6F62EC"/>
    <w:rsid w:val="1E9E11F7"/>
    <w:rsid w:val="1EEE7042"/>
    <w:rsid w:val="20BE47B1"/>
    <w:rsid w:val="213D6227"/>
    <w:rsid w:val="21871145"/>
    <w:rsid w:val="23B63E77"/>
    <w:rsid w:val="2988537B"/>
    <w:rsid w:val="2ECE479A"/>
    <w:rsid w:val="332E13F6"/>
    <w:rsid w:val="345444D4"/>
    <w:rsid w:val="386273C7"/>
    <w:rsid w:val="39C362DC"/>
    <w:rsid w:val="3A376CE6"/>
    <w:rsid w:val="3E151A9D"/>
    <w:rsid w:val="3E270526"/>
    <w:rsid w:val="41C704B8"/>
    <w:rsid w:val="48B41B3C"/>
    <w:rsid w:val="4B772181"/>
    <w:rsid w:val="517E00EB"/>
    <w:rsid w:val="523F7322"/>
    <w:rsid w:val="535A19DF"/>
    <w:rsid w:val="54EE01B8"/>
    <w:rsid w:val="560F2589"/>
    <w:rsid w:val="5A3C4DD2"/>
    <w:rsid w:val="60F00CC5"/>
    <w:rsid w:val="61306FA7"/>
    <w:rsid w:val="636A0FCD"/>
    <w:rsid w:val="645A5BAC"/>
    <w:rsid w:val="69E64ED7"/>
    <w:rsid w:val="6CFC6F46"/>
    <w:rsid w:val="6FF41F65"/>
    <w:rsid w:val="71AA31D5"/>
    <w:rsid w:val="72591AB6"/>
    <w:rsid w:val="74AD2611"/>
    <w:rsid w:val="77B6532D"/>
    <w:rsid w:val="791505C8"/>
    <w:rsid w:val="7B152B01"/>
    <w:rsid w:val="7B1D21BD"/>
    <w:rsid w:val="7B4D606C"/>
    <w:rsid w:val="7F7A61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黑体"/>
      <w:b/>
      <w:bCs/>
    </w:rPr>
  </w:style>
  <w:style w:type="character" w:default="1" w:styleId="5">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index 5"/>
    <w:basedOn w:val="1"/>
    <w:next w:val="1"/>
    <w:qFormat/>
    <w:uiPriority w:val="0"/>
    <w:pPr>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vanish/>
      <w:color w:val="0000FF"/>
      <w:u w:val="none"/>
    </w:rPr>
  </w:style>
  <w:style w:type="character" w:styleId="11">
    <w:name w:val="HTML Code"/>
    <w:basedOn w:val="5"/>
    <w:qFormat/>
    <w:uiPriority w:val="0"/>
    <w:rPr>
      <w:rFonts w:ascii="Courier New" w:hAnsi="Courier New"/>
      <w:sz w:val="20"/>
    </w:rPr>
  </w:style>
  <w:style w:type="character" w:styleId="12">
    <w:name w:val="HTML Cite"/>
    <w:basedOn w:val="5"/>
    <w:qFormat/>
    <w:uiPriority w:val="0"/>
  </w:style>
  <w:style w:type="character" w:customStyle="1" w:styleId="14">
    <w:name w:val="button-hover"/>
    <w:basedOn w:val="5"/>
    <w:qFormat/>
    <w:uiPriority w:val="0"/>
  </w:style>
  <w:style w:type="character" w:customStyle="1" w:styleId="15">
    <w:name w:val="button-hover1"/>
    <w:basedOn w:val="5"/>
    <w:qFormat/>
    <w:uiPriority w:val="0"/>
  </w:style>
  <w:style w:type="character" w:customStyle="1" w:styleId="16">
    <w:name w:val="image"/>
    <w:basedOn w:val="5"/>
    <w:qFormat/>
    <w:uiPriority w:val="0"/>
  </w:style>
  <w:style w:type="character" w:customStyle="1" w:styleId="17">
    <w:name w:val="image1"/>
    <w:basedOn w:val="5"/>
    <w:qFormat/>
    <w:uiPriority w:val="0"/>
  </w:style>
  <w:style w:type="character" w:customStyle="1" w:styleId="18">
    <w:name w:val="image2"/>
    <w:basedOn w:val="5"/>
    <w:qFormat/>
    <w:uiPriority w:val="0"/>
  </w:style>
  <w:style w:type="character" w:customStyle="1" w:styleId="19">
    <w:name w:val="clicked1"/>
    <w:basedOn w:val="5"/>
    <w:qFormat/>
    <w:uiPriority w:val="0"/>
    <w:rPr>
      <w:color w:val="000000"/>
    </w:rPr>
  </w:style>
  <w:style w:type="character" w:customStyle="1" w:styleId="20">
    <w:name w:val="clicked2"/>
    <w:basedOn w:val="5"/>
    <w:qFormat/>
    <w:uiPriority w:val="0"/>
  </w:style>
  <w:style w:type="character" w:customStyle="1" w:styleId="21">
    <w:name w:val="clicked3"/>
    <w:basedOn w:val="5"/>
    <w:qFormat/>
    <w:uiPriority w:val="0"/>
  </w:style>
  <w:style w:type="character" w:customStyle="1" w:styleId="22">
    <w:name w:val="group"/>
    <w:basedOn w:val="5"/>
    <w:qFormat/>
    <w:uiPriority w:val="0"/>
  </w:style>
  <w:style w:type="character" w:customStyle="1" w:styleId="23">
    <w:name w:val="directchildrenspan"/>
    <w:basedOn w:val="5"/>
    <w:qFormat/>
    <w:uiPriority w:val="0"/>
  </w:style>
  <w:style w:type="character" w:customStyle="1" w:styleId="24">
    <w:name w:val="ui-state-hover21"/>
    <w:basedOn w:val="5"/>
    <w:qFormat/>
    <w:uiPriority w:val="0"/>
  </w:style>
  <w:style w:type="character" w:customStyle="1" w:styleId="25">
    <w:name w:val="ui-state-default12"/>
    <w:basedOn w:val="5"/>
    <w:qFormat/>
    <w:uiPriority w:val="0"/>
  </w:style>
  <w:style w:type="character" w:customStyle="1" w:styleId="26">
    <w:name w:val="ui-state-default13"/>
    <w:basedOn w:val="5"/>
    <w:qFormat/>
    <w:uiPriority w:val="0"/>
  </w:style>
  <w:style w:type="character" w:customStyle="1" w:styleId="27">
    <w:name w:val="ui-state-active6"/>
    <w:basedOn w:val="5"/>
    <w:qFormat/>
    <w:uiPriority w:val="0"/>
  </w:style>
  <w:style w:type="character" w:customStyle="1" w:styleId="28">
    <w:name w:val="item-middle"/>
    <w:basedOn w:val="5"/>
    <w:qFormat/>
    <w:uiPriority w:val="0"/>
  </w:style>
  <w:style w:type="character" w:customStyle="1" w:styleId="29">
    <w:name w:val="imgspan"/>
    <w:basedOn w:val="5"/>
    <w:qFormat/>
    <w:uiPriority w:val="0"/>
  </w:style>
  <w:style w:type="character" w:customStyle="1" w:styleId="30">
    <w:name w:val="ui-icon32"/>
    <w:basedOn w:val="5"/>
    <w:qFormat/>
    <w:uiPriority w:val="0"/>
  </w:style>
  <w:style w:type="character" w:customStyle="1" w:styleId="31">
    <w:name w:val="newstitle"/>
    <w:basedOn w:val="5"/>
    <w:qFormat/>
    <w:uiPriority w:val="0"/>
    <w:rPr>
      <w:b/>
      <w:color w:val="000000"/>
      <w:sz w:val="24"/>
      <w:szCs w:val="24"/>
    </w:rPr>
  </w:style>
  <w:style w:type="paragraph" w:customStyle="1" w:styleId="32">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4111</Words>
  <Characters>4635</Characters>
  <Lines>0</Lines>
  <Paragraphs>0</Paragraphs>
  <TotalTime>0</TotalTime>
  <ScaleCrop>false</ScaleCrop>
  <LinksUpToDate>false</LinksUpToDate>
  <CharactersWithSpaces>4640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2023-10-15T06:18:00Z</dcterms:created>
  <dc:creator>asus</dc:creator>
  <cp:lastModifiedBy>Administrator</cp:lastModifiedBy>
  <cp:lastPrinted>2023-10-20T03:52:00Z</cp:lastPrinted>
  <dcterms:modified xsi:type="dcterms:W3CDTF">2024-02-29T07:08:15Z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62A27F6A6E8C452DB3AFCDE723AEF15B_12</vt:lpwstr>
  </property>
</Properties>
</file>