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5"/>
        <w:keepNext w:val="0"/>
        <w:keepLines w:val="0"/>
        <w:widowControl/>
        <w:suppressLineNumbers w:val="0"/>
        <w:autoSpaceDE w:val="0"/>
        <w:autoSpaceDN/>
        <w:spacing w:before="0" w:beforeAutospacing="0" w:line="606" w:lineRule="exact"/>
        <w:ind w:left="0"/>
        <w:jc w:val="center"/>
        <w:rPr>
          <w:rFonts w:hint="eastAsia" w:ascii="方正小标宋_GBK" w:hAnsi="方正小标宋_GBK" w:eastAsia="方正小标宋_GBK" w:cs="方正小标宋_GBK"/>
          <w:kern w:val="0"/>
          <w:sz w:val="44"/>
          <w:szCs w:val="44"/>
          <w:shd w:val="clear" w:color="auto" w:fill="FFFFFF"/>
        </w:rPr>
      </w:pPr>
      <w:bookmarkStart w:id="2" w:name="_GoBack"/>
      <w:bookmarkEnd w:id="2"/>
      <w:r>
        <w:rPr>
          <w:rFonts w:hint="eastAsia" w:ascii="方正小标宋_GBK" w:hAnsi="方正小标宋_GBK" w:eastAsia="方正小标宋_GBK" w:cs="方正小标宋_GBK"/>
          <w:kern w:val="0"/>
          <w:sz w:val="44"/>
          <w:szCs w:val="44"/>
          <w:shd w:val="clear" w:color="auto" w:fill="FFFFFF"/>
        </w:rPr>
        <w:t>重庆市大足区社会科学界联合会</w:t>
      </w:r>
    </w:p>
    <w:p>
      <w:pPr>
        <w:pStyle w:val="25"/>
        <w:keepNext w:val="0"/>
        <w:keepLines w:val="0"/>
        <w:widowControl/>
        <w:suppressLineNumbers w:val="0"/>
        <w:autoSpaceDE w:val="0"/>
        <w:autoSpaceDN/>
        <w:spacing w:before="0" w:beforeAutospacing="0" w:line="606" w:lineRule="exact"/>
        <w:ind w:left="0"/>
        <w:jc w:val="center"/>
        <w:rPr>
          <w:rFonts w:hint="eastAsia" w:ascii="方正小标宋_GBK" w:hAnsi="方正小标宋_GBK" w:eastAsia="方正小标宋_GBK" w:cs="方正小标宋_GBK"/>
          <w:kern w:val="0"/>
          <w:sz w:val="44"/>
          <w:szCs w:val="44"/>
          <w:shd w:val="clear" w:color="auto" w:fill="FFFFFF"/>
        </w:rPr>
      </w:pPr>
      <w:r>
        <w:rPr>
          <w:rFonts w:hint="eastAsia" w:ascii="方正小标宋_GBK" w:hAnsi="方正小标宋_GBK" w:eastAsia="方正小标宋_GBK" w:cs="方正小标宋_GBK"/>
          <w:kern w:val="0"/>
          <w:sz w:val="44"/>
          <w:szCs w:val="44"/>
          <w:shd w:val="clear" w:color="auto" w:fill="FFFFFF"/>
        </w:rPr>
        <w:t>202</w:t>
      </w:r>
      <w:r>
        <w:rPr>
          <w:rFonts w:hint="eastAsia" w:ascii="方正小标宋_GBK" w:hAnsi="方正小标宋_GBK" w:eastAsia="方正小标宋_GBK" w:cs="方正小标宋_GBK"/>
          <w:kern w:val="0"/>
          <w:sz w:val="44"/>
          <w:szCs w:val="44"/>
          <w:shd w:val="clear" w:color="auto" w:fill="FFFFFF"/>
          <w:lang w:val="en-US" w:eastAsia="zh-CN"/>
        </w:rPr>
        <w:t>2</w:t>
      </w:r>
      <w:r>
        <w:rPr>
          <w:rFonts w:hint="eastAsia" w:ascii="方正小标宋_GBK" w:hAnsi="方正小标宋_GBK" w:eastAsia="方正小标宋_GBK" w:cs="方正小标宋_GBK"/>
          <w:kern w:val="0"/>
          <w:sz w:val="44"/>
          <w:szCs w:val="44"/>
          <w:shd w:val="clear" w:color="auto" w:fill="FFFFFF"/>
        </w:rPr>
        <w:t xml:space="preserve">年度部门决算情况说明 </w:t>
      </w:r>
    </w:p>
    <w:p>
      <w:pPr>
        <w:keepNext w:val="0"/>
        <w:keepLines w:val="0"/>
        <w:widowControl/>
        <w:suppressLineNumbers w:val="0"/>
        <w:shd w:val="clear" w:color="auto" w:fill="FFFFFF"/>
        <w:autoSpaceDE w:val="0"/>
        <w:autoSpaceDN/>
        <w:spacing w:after="0" w:afterAutospacing="0" w:line="606" w:lineRule="exact"/>
        <w:ind w:left="0" w:firstLine="643" w:firstLineChars="200"/>
        <w:jc w:val="both"/>
        <w:rPr>
          <w:rFonts w:hint="eastAsia" w:ascii="方正黑体_GBK" w:hAnsi="方正黑体_GBK" w:eastAsia="方正黑体_GBK" w:cs="方正黑体_GBK"/>
          <w:b/>
          <w:bCs w:val="0"/>
          <w:kern w:val="0"/>
          <w:sz w:val="32"/>
          <w:szCs w:val="32"/>
          <w:shd w:val="clear" w:color="auto" w:fill="FFFFFF"/>
        </w:rPr>
      </w:pPr>
      <w:r>
        <w:rPr>
          <w:rStyle w:val="18"/>
          <w:rFonts w:hint="eastAsia" w:ascii="方正黑体_GBK" w:hAnsi="方正黑体_GBK" w:eastAsia="方正黑体_GBK" w:cs="方正黑体_GBK"/>
          <w:b/>
          <w:bCs w:val="0"/>
          <w:sz w:val="32"/>
          <w:szCs w:val="32"/>
          <w:shd w:val="clear" w:color="auto" w:fill="FFFFFF"/>
        </w:rPr>
        <w:t xml:space="preserve"> 一、部门基本情况</w:t>
      </w:r>
    </w:p>
    <w:p>
      <w:pPr>
        <w:keepNext w:val="0"/>
        <w:keepLines w:val="0"/>
        <w:widowControl/>
        <w:suppressLineNumbers w:val="0"/>
        <w:shd w:val="clear" w:color="auto" w:fill="FFFFFF"/>
        <w:autoSpaceDE w:val="0"/>
        <w:autoSpaceDN/>
        <w:spacing w:after="0" w:afterAutospacing="0" w:line="606" w:lineRule="exact"/>
        <w:ind w:left="0" w:firstLine="640" w:firstLineChars="200"/>
        <w:jc w:val="both"/>
        <w:rPr>
          <w:rFonts w:hint="eastAsia" w:ascii="微软雅黑" w:hAnsi="微软雅黑" w:eastAsia="微软雅黑" w:cs="宋体"/>
          <w:color w:val="333333"/>
          <w:kern w:val="0"/>
          <w:sz w:val="32"/>
          <w:szCs w:val="32"/>
          <w:shd w:val="clear" w:color="auto" w:fill="FFFFFF"/>
        </w:rPr>
      </w:pPr>
      <w:r>
        <w:rPr>
          <w:rFonts w:hint="eastAsia" w:ascii="方正楷体_GBK" w:hAnsi="方正楷体_GBK" w:eastAsia="方正楷体_GBK" w:cs="方正楷体_GBK"/>
          <w:color w:val="333333"/>
          <w:kern w:val="0"/>
          <w:sz w:val="32"/>
          <w:szCs w:val="32"/>
          <w:shd w:val="clear" w:color="auto" w:fill="FFFFFF"/>
        </w:rPr>
        <w:t>（一）职能职责</w:t>
      </w:r>
    </w:p>
    <w:p>
      <w:pPr>
        <w:keepNext w:val="0"/>
        <w:keepLines w:val="0"/>
        <w:widowControl/>
        <w:suppressLineNumbers w:val="0"/>
        <w:shd w:val="clear" w:color="auto" w:fill="FFFFFF"/>
        <w:autoSpaceDE w:val="0"/>
        <w:autoSpaceDN/>
        <w:spacing w:after="0" w:afterAutospacing="0" w:line="606" w:lineRule="exact"/>
        <w:ind w:left="0" w:firstLine="640" w:firstLineChars="200"/>
        <w:jc w:val="both"/>
        <w:rPr>
          <w:rFonts w:hint="eastAsia" w:ascii="微软雅黑" w:hAnsi="微软雅黑" w:eastAsia="微软雅黑" w:cs="宋体"/>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1.坚持党的领导。坚决贯彻党的意志和主张，坚定不移走中国特色社会主义群团发展道路，切实增强社科联组织的政治性、先进性、群众性，汇聚全区广大社科工作者推进社会主义现代化建设的强大合力。</w:t>
      </w:r>
    </w:p>
    <w:p>
      <w:pPr>
        <w:keepNext w:val="0"/>
        <w:keepLines w:val="0"/>
        <w:widowControl/>
        <w:suppressLineNumbers w:val="0"/>
        <w:shd w:val="clear" w:color="auto" w:fill="FFFFFF"/>
        <w:autoSpaceDE w:val="0"/>
        <w:autoSpaceDN/>
        <w:spacing w:after="0" w:afterAutospacing="0" w:line="606" w:lineRule="exact"/>
        <w:ind w:left="0" w:firstLine="640" w:firstLineChars="200"/>
        <w:jc w:val="both"/>
        <w:rPr>
          <w:rFonts w:hint="eastAsia" w:ascii="微软雅黑" w:hAnsi="微软雅黑" w:eastAsia="微软雅黑" w:cs="宋体"/>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2.加强政治引领和思想引导。切实承担起团结带领广大社科工作者听党话、跟党走的政治任务；落实党委（党组）意识形态工作责任制，加强社科类社会组织党建工作，密切关注社科工作者的思想动态，有针对性地做好思想政治工作；引导广大社科工作者积极践行社会主义核心价值观，把社科工作者最广泛最紧密地团结在党的周围。</w:t>
      </w:r>
    </w:p>
    <w:p>
      <w:pPr>
        <w:keepNext w:val="0"/>
        <w:keepLines w:val="0"/>
        <w:widowControl/>
        <w:suppressLineNumbers w:val="0"/>
        <w:shd w:val="clear" w:color="auto" w:fill="FFFFFF"/>
        <w:autoSpaceDE w:val="0"/>
        <w:autoSpaceDN/>
        <w:spacing w:after="0" w:afterAutospacing="0" w:line="606" w:lineRule="exact"/>
        <w:ind w:left="0" w:firstLine="640" w:firstLineChars="200"/>
        <w:jc w:val="both"/>
        <w:rPr>
          <w:rFonts w:hint="eastAsia" w:ascii="微软雅黑" w:hAnsi="微软雅黑" w:eastAsia="微软雅黑" w:cs="宋体"/>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3.依法依章程独立自主开展工作。按照区委和区政府的有关要求，贯彻执行区社科联代表大会确定的任务和作出的决定；指导所属学会、协会、研究会开展工作。</w:t>
      </w:r>
    </w:p>
    <w:p>
      <w:pPr>
        <w:keepNext w:val="0"/>
        <w:keepLines w:val="0"/>
        <w:widowControl/>
        <w:suppressLineNumbers w:val="0"/>
        <w:shd w:val="clear" w:color="auto" w:fill="FFFFFF"/>
        <w:autoSpaceDE w:val="0"/>
        <w:autoSpaceDN/>
        <w:spacing w:after="0" w:afterAutospacing="0" w:line="606" w:lineRule="exact"/>
        <w:ind w:left="0" w:firstLine="640" w:firstLineChars="200"/>
        <w:jc w:val="both"/>
        <w:rPr>
          <w:rFonts w:hint="eastAsia" w:ascii="微软雅黑" w:hAnsi="微软雅黑" w:eastAsia="微软雅黑" w:cs="宋体"/>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4.团结联系服务社科工作者。突出社科工作者主体地位，做好社科工作者的联系服务工作；宣传举荐优秀社科工作者，反映社科工作者意见建议和诉求，维护社科工作者合法权益，建设社科工作者之家。</w:t>
      </w:r>
    </w:p>
    <w:p>
      <w:pPr>
        <w:keepNext w:val="0"/>
        <w:keepLines w:val="0"/>
        <w:widowControl/>
        <w:suppressLineNumbers w:val="0"/>
        <w:shd w:val="clear" w:color="auto" w:fill="FFFFFF"/>
        <w:autoSpaceDE w:val="0"/>
        <w:autoSpaceDN/>
        <w:spacing w:after="0" w:afterAutospacing="0" w:line="606" w:lineRule="exact"/>
        <w:ind w:left="0" w:firstLine="640" w:firstLineChars="200"/>
        <w:jc w:val="both"/>
        <w:rPr>
          <w:rFonts w:hint="eastAsia" w:ascii="微软雅黑" w:hAnsi="微软雅黑" w:eastAsia="微软雅黑" w:cs="宋体"/>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5.负责社科规划和成果评奖工作。制定并实施全区哲学社会科学研究项目规划，不断提高课题研究质量和水平；负责全区社科优秀成果奖的评选，激发社科工作者的积极性主动性和创造性。</w:t>
      </w:r>
    </w:p>
    <w:p>
      <w:pPr>
        <w:keepNext w:val="0"/>
        <w:keepLines w:val="0"/>
        <w:widowControl/>
        <w:suppressLineNumbers w:val="0"/>
        <w:shd w:val="clear" w:color="auto" w:fill="FFFFFF"/>
        <w:autoSpaceDE w:val="0"/>
        <w:autoSpaceDN/>
        <w:spacing w:after="0" w:afterAutospacing="0" w:line="606" w:lineRule="exact"/>
        <w:ind w:left="0" w:firstLine="640" w:firstLineChars="200"/>
        <w:jc w:val="both"/>
        <w:rPr>
          <w:rFonts w:hint="eastAsia" w:ascii="微软雅黑" w:hAnsi="微软雅黑" w:eastAsia="微软雅黑" w:cs="宋体"/>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6.积极参与社会治理。切实发挥区社科联参与社会事务管理服务的作用，按照法定程序承接政府转移的社会管理服务职能，推动所属社科类社会组织有序承接政府转移职能；发挥民主参与和社会监督作用，代表和组织社科工作者参与协商民主。</w:t>
      </w:r>
    </w:p>
    <w:p>
      <w:pPr>
        <w:keepNext w:val="0"/>
        <w:keepLines w:val="0"/>
        <w:widowControl/>
        <w:suppressLineNumbers w:val="0"/>
        <w:shd w:val="clear" w:color="auto" w:fill="FFFFFF"/>
        <w:autoSpaceDE w:val="0"/>
        <w:autoSpaceDN/>
        <w:spacing w:after="0" w:afterAutospacing="0" w:line="606" w:lineRule="exact"/>
        <w:ind w:left="0" w:firstLine="640" w:firstLineChars="200"/>
        <w:jc w:val="both"/>
        <w:rPr>
          <w:rFonts w:hint="eastAsia" w:ascii="微软雅黑" w:hAnsi="微软雅黑" w:eastAsia="微软雅黑" w:cs="宋体"/>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7.开展学术活动和宣传普及。开展学术研究，加强学术交流；普及社科知识、倡导科学方法、传播科学思想、弘扬科学精神,提高全民人文社科素养。</w:t>
      </w:r>
    </w:p>
    <w:p>
      <w:pPr>
        <w:keepNext w:val="0"/>
        <w:keepLines w:val="0"/>
        <w:widowControl/>
        <w:suppressLineNumbers w:val="0"/>
        <w:shd w:val="clear" w:color="auto" w:fill="FFFFFF"/>
        <w:autoSpaceDE w:val="0"/>
        <w:autoSpaceDN/>
        <w:spacing w:after="0" w:afterAutospacing="0" w:line="606" w:lineRule="exact"/>
        <w:ind w:left="0" w:firstLine="640" w:firstLineChars="200"/>
        <w:jc w:val="both"/>
        <w:rPr>
          <w:rFonts w:hint="eastAsia" w:ascii="微软雅黑" w:hAnsi="微软雅黑" w:eastAsia="微软雅黑" w:cs="宋体"/>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8.拓展社科联的组织覆盖面。适应社科事业面临的新情况，促进社科联组织和社科工作向高校、学区、网络等延伸。</w:t>
      </w:r>
    </w:p>
    <w:p>
      <w:pPr>
        <w:keepNext w:val="0"/>
        <w:keepLines w:val="0"/>
        <w:widowControl/>
        <w:suppressLineNumbers w:val="0"/>
        <w:shd w:val="clear" w:color="auto" w:fill="FFFFFF"/>
        <w:autoSpaceDE w:val="0"/>
        <w:autoSpaceDN/>
        <w:spacing w:after="0" w:afterAutospacing="0" w:line="606" w:lineRule="exact"/>
        <w:ind w:left="0" w:firstLine="640" w:firstLineChars="200"/>
        <w:jc w:val="both"/>
        <w:rPr>
          <w:rFonts w:hint="eastAsia" w:ascii="微软雅黑" w:hAnsi="微软雅黑" w:eastAsia="微软雅黑" w:cs="宋体"/>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9.研究指导社科联自身改革和建设。加强机关干部队伍和社科工作者队伍建设；加强相关理论政策研究，开展社科工作者状况调查，探索繁荣发展中国特色哲学社会科学的有效途径。</w:t>
      </w:r>
    </w:p>
    <w:p>
      <w:pPr>
        <w:keepNext w:val="0"/>
        <w:keepLines w:val="0"/>
        <w:widowControl/>
        <w:suppressLineNumbers w:val="0"/>
        <w:shd w:val="clear" w:color="auto" w:fill="FFFFFF"/>
        <w:autoSpaceDE w:val="0"/>
        <w:autoSpaceDN/>
        <w:spacing w:after="0" w:afterAutospacing="0" w:line="606" w:lineRule="exact"/>
        <w:ind w:left="0" w:firstLine="640" w:firstLineChars="200"/>
        <w:jc w:val="both"/>
        <w:rPr>
          <w:rFonts w:hint="eastAsia" w:ascii="微软雅黑" w:hAnsi="微软雅黑" w:eastAsia="微软雅黑" w:cs="宋体"/>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10.承办区委、区政府交办的其它事项。</w:t>
      </w:r>
    </w:p>
    <w:p>
      <w:pPr>
        <w:keepNext w:val="0"/>
        <w:keepLines w:val="0"/>
        <w:widowControl/>
        <w:suppressLineNumbers w:val="0"/>
        <w:shd w:val="clear" w:color="auto" w:fill="FFFFFF"/>
        <w:autoSpaceDE w:val="0"/>
        <w:autoSpaceDN/>
        <w:spacing w:after="0" w:afterAutospacing="0" w:line="606" w:lineRule="exact"/>
        <w:ind w:left="0" w:firstLine="640" w:firstLineChars="200"/>
        <w:jc w:val="both"/>
        <w:rPr>
          <w:rFonts w:hint="eastAsia" w:ascii="微软雅黑" w:hAnsi="微软雅黑" w:eastAsia="微软雅黑" w:cs="宋体"/>
          <w:color w:val="333333"/>
          <w:kern w:val="0"/>
          <w:sz w:val="32"/>
          <w:szCs w:val="32"/>
          <w:shd w:val="clear" w:color="auto" w:fill="FFFFFF"/>
        </w:rPr>
      </w:pPr>
      <w:r>
        <w:rPr>
          <w:rFonts w:hint="eastAsia" w:ascii="方正楷体_GBK" w:hAnsi="方正楷体_GBK" w:eastAsia="方正楷体_GBK" w:cs="方正楷体_GBK"/>
          <w:color w:val="333333"/>
          <w:kern w:val="0"/>
          <w:sz w:val="32"/>
          <w:szCs w:val="32"/>
          <w:shd w:val="clear" w:color="auto" w:fill="FFFFFF"/>
        </w:rPr>
        <w:t>（二）机构设置</w:t>
      </w:r>
    </w:p>
    <w:p>
      <w:pPr>
        <w:keepNext w:val="0"/>
        <w:keepLines w:val="0"/>
        <w:widowControl/>
        <w:suppressLineNumbers w:val="0"/>
        <w:shd w:val="clear" w:color="auto" w:fill="FFFFFF"/>
        <w:autoSpaceDE w:val="0"/>
        <w:autoSpaceDN/>
        <w:spacing w:after="0" w:afterAutospacing="0" w:line="606" w:lineRule="exact"/>
        <w:ind w:left="0" w:firstLine="640" w:firstLineChars="200"/>
        <w:jc w:val="both"/>
        <w:rPr>
          <w:rFonts w:hint="eastAsia" w:ascii="微软雅黑" w:hAnsi="微软雅黑" w:eastAsia="微软雅黑" w:cs="宋体"/>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重庆市大足区社会科学界联合会是群众团体，设主席1名，副主席2名；科级领导职数3名。设下列内设机构：</w:t>
      </w:r>
    </w:p>
    <w:p>
      <w:pPr>
        <w:keepNext w:val="0"/>
        <w:keepLines w:val="0"/>
        <w:widowControl/>
        <w:suppressLineNumbers w:val="0"/>
        <w:shd w:val="clear" w:color="auto" w:fill="FFFFFF"/>
        <w:autoSpaceDE w:val="0"/>
        <w:autoSpaceDN/>
        <w:spacing w:after="0" w:afterAutospacing="0" w:line="606" w:lineRule="exact"/>
        <w:ind w:left="0" w:firstLine="640" w:firstLineChars="200"/>
        <w:jc w:val="both"/>
        <w:rPr>
          <w:rFonts w:hint="eastAsia" w:ascii="微软雅黑" w:hAnsi="微软雅黑" w:eastAsia="微软雅黑" w:cs="宋体"/>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1.办公室。负责党组、行政的会务工作；负责文秘、机要、保密、档案、财务、统计等工作；负责党务、行政后勤、安全保卫等工作。完成社科联领导交办的各项工作。</w:t>
      </w:r>
    </w:p>
    <w:p>
      <w:pPr>
        <w:keepNext w:val="0"/>
        <w:keepLines w:val="0"/>
        <w:widowControl/>
        <w:suppressLineNumbers w:val="0"/>
        <w:shd w:val="clear" w:color="auto" w:fill="FFFFFF"/>
        <w:autoSpaceDE w:val="0"/>
        <w:autoSpaceDN/>
        <w:spacing w:after="0" w:afterAutospacing="0" w:line="606" w:lineRule="exact"/>
        <w:ind w:left="0" w:firstLine="640" w:firstLineChars="200"/>
        <w:jc w:val="both"/>
        <w:rPr>
          <w:rFonts w:hint="eastAsia" w:ascii="微软雅黑" w:hAnsi="微软雅黑" w:eastAsia="微软雅黑" w:cs="宋体"/>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2.学会学术科。负责对所属区级学会（协会、研究会）的管理、指导、监督和检查；负责社科高级研究人才学术档案的建立和管理工作；总结、交流和推广学会工作经验；负责组织和承办全区性大型学术研讨和交流活动；负责组织开展课题调研。</w:t>
      </w:r>
    </w:p>
    <w:p>
      <w:pPr>
        <w:keepNext w:val="0"/>
        <w:keepLines w:val="0"/>
        <w:widowControl/>
        <w:suppressLineNumbers w:val="0"/>
        <w:shd w:val="clear" w:color="auto" w:fill="FFFFFF"/>
        <w:autoSpaceDE w:val="0"/>
        <w:autoSpaceDN/>
        <w:spacing w:after="0" w:afterAutospacing="0" w:line="606" w:lineRule="exact"/>
        <w:ind w:left="0" w:firstLine="640" w:firstLineChars="200"/>
        <w:jc w:val="both"/>
        <w:rPr>
          <w:rFonts w:hint="eastAsia"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3.基层指导普及科。制定全区普及工作计划，开展社科知识的普及宣传工作，组织编写社会科学普及读物；指导社会科学学术团体、社科普及基地开展社会科学咨询服务工作；负责社科基层组织指导工作。</w:t>
      </w:r>
    </w:p>
    <w:p>
      <w:pPr>
        <w:keepNext w:val="0"/>
        <w:keepLines w:val="0"/>
        <w:widowControl/>
        <w:suppressLineNumbers w:val="0"/>
        <w:shd w:val="clear" w:color="auto" w:fill="FFFFFF"/>
        <w:autoSpaceDE w:val="0"/>
        <w:autoSpaceDN/>
        <w:spacing w:after="0" w:afterAutospacing="0" w:line="600" w:lineRule="exact"/>
        <w:ind w:left="0" w:firstLine="321" w:firstLineChars="100"/>
        <w:jc w:val="both"/>
        <w:rPr>
          <w:rFonts w:hint="eastAsia" w:ascii="方正仿宋_GBK" w:hAnsi="方正仿宋_GBK" w:eastAsia="方正仿宋_GBK" w:cs="方正仿宋_GBK"/>
          <w:color w:val="333333"/>
          <w:kern w:val="0"/>
          <w:sz w:val="32"/>
          <w:szCs w:val="32"/>
          <w:shd w:val="clear" w:color="auto" w:fill="FFFFFF"/>
        </w:rPr>
      </w:pPr>
      <w:r>
        <w:rPr>
          <w:rFonts w:hint="eastAsia" w:ascii="方正楷体_GBK" w:hAnsi="方正楷体_GBK" w:eastAsia="方正楷体_GBK" w:cs="方正楷体_GBK"/>
          <w:b/>
          <w:color w:val="333333"/>
          <w:kern w:val="0"/>
          <w:sz w:val="32"/>
          <w:szCs w:val="32"/>
          <w:shd w:val="clear" w:color="auto" w:fill="FFFFFF"/>
        </w:rPr>
        <w:t>（三）单位构成</w:t>
      </w:r>
    </w:p>
    <w:p>
      <w:pPr>
        <w:keepNext w:val="0"/>
        <w:keepLines w:val="0"/>
        <w:widowControl/>
        <w:suppressLineNumbers w:val="0"/>
        <w:shd w:val="clear" w:color="auto" w:fill="FFFFFF"/>
        <w:autoSpaceDE w:val="0"/>
        <w:autoSpaceDN/>
        <w:spacing w:after="0" w:afterAutospacing="0" w:line="600" w:lineRule="exact"/>
        <w:ind w:left="0" w:firstLine="640" w:firstLineChars="200"/>
        <w:jc w:val="both"/>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从预算单位构成看，本部门是二级预算单位。</w:t>
      </w:r>
    </w:p>
    <w:p>
      <w:pPr>
        <w:pStyle w:val="2"/>
        <w:rPr>
          <w:rFonts w:hint="eastAsia"/>
        </w:rPr>
      </w:pPr>
    </w:p>
    <w:p>
      <w:pPr>
        <w:keepNext w:val="0"/>
        <w:keepLines w:val="0"/>
        <w:widowControl/>
        <w:suppressLineNumbers w:val="0"/>
        <w:shd w:val="clear" w:color="auto" w:fill="FFFFFF"/>
        <w:autoSpaceDE w:val="0"/>
        <w:autoSpaceDN/>
        <w:spacing w:after="0" w:afterAutospacing="0" w:line="606" w:lineRule="exact"/>
        <w:ind w:left="0" w:firstLine="643" w:firstLineChars="200"/>
        <w:jc w:val="both"/>
        <w:rPr>
          <w:rFonts w:hint="eastAsia" w:ascii="方正黑体_GBK" w:hAnsi="方正黑体_GBK" w:eastAsia="方正黑体_GBK" w:cs="方正黑体_GBK"/>
          <w:b/>
          <w:bCs w:val="0"/>
          <w:kern w:val="0"/>
          <w:sz w:val="32"/>
          <w:szCs w:val="32"/>
          <w:shd w:val="clear" w:color="auto" w:fill="FFFFFF"/>
        </w:rPr>
      </w:pPr>
      <w:r>
        <w:rPr>
          <w:rStyle w:val="18"/>
          <w:rFonts w:hint="eastAsia" w:ascii="方正黑体_GBK" w:hAnsi="方正黑体_GBK" w:eastAsia="方正黑体_GBK" w:cs="方正黑体_GBK"/>
          <w:b/>
          <w:bCs w:val="0"/>
          <w:sz w:val="32"/>
          <w:szCs w:val="32"/>
          <w:shd w:val="clear" w:color="auto" w:fill="FFFFFF"/>
        </w:rPr>
        <w:t>二、部门决算情况说明</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楷体_GBK" w:hAnsi="方正楷体_GBK" w:eastAsia="方正楷体_GBK" w:cs="方正楷体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（一）收入支出决算总体情况说明。</w:t>
      </w:r>
    </w:p>
    <w:p>
      <w:pPr>
        <w:pStyle w:val="25"/>
        <w:keepNext w:val="0"/>
        <w:keepLines w:val="0"/>
        <w:widowControl/>
        <w:suppressLineNumbers w:val="0"/>
        <w:autoSpaceDE w:val="0"/>
        <w:autoSpaceDN/>
        <w:spacing w:before="0" w:beforeAutospacing="0" w:after="0" w:afterAutospacing="0" w:line="606" w:lineRule="exact"/>
        <w:ind w:left="0" w:firstLine="643" w:firstLineChars="200"/>
        <w:jc w:val="both"/>
        <w:rPr>
          <w:rFonts w:hint="eastAsia" w:ascii="方正仿宋_GBK" w:hAnsi="方正仿宋_GBK" w:eastAsia="方正仿宋_GBK" w:cs="方正仿宋_GBK"/>
          <w:b w:val="0"/>
          <w:bCs/>
          <w:kern w:val="0"/>
          <w:sz w:val="32"/>
          <w:szCs w:val="32"/>
          <w:shd w:val="clear" w:color="auto" w:fill="FFFFFF"/>
        </w:rPr>
      </w:pPr>
      <w:r>
        <w:rPr>
          <w:rStyle w:val="19"/>
          <w:rFonts w:hint="eastAsia" w:ascii="方正仿宋_GBK" w:hAnsi="方正仿宋_GBK" w:eastAsia="方正仿宋_GBK" w:cs="方正仿宋_GBK"/>
          <w:b/>
          <w:bCs w:val="0"/>
          <w:sz w:val="32"/>
          <w:szCs w:val="32"/>
          <w:shd w:val="clear" w:color="auto" w:fill="FFFFFF"/>
        </w:rPr>
        <w:t>1.总体情况。</w:t>
      </w:r>
      <w:r>
        <w:rPr>
          <w:rFonts w:hint="eastAsia" w:ascii="方正仿宋_GBK" w:hAnsi="方正仿宋_GBK" w:eastAsia="方正仿宋_GBK" w:cs="方正仿宋_GBK"/>
          <w:b w:val="0"/>
          <w:bCs/>
          <w:kern w:val="0"/>
          <w:sz w:val="32"/>
          <w:szCs w:val="32"/>
          <w:shd w:val="clear" w:color="auto" w:fill="FFFFFF"/>
        </w:rPr>
        <w:t>2022年度收入总计154.10万元，支出总计154.10万元。收支较上年决算数增加23.52万元,增长18%，主要原因是主要原因是人员调资、住房公积金基数调整及社会保障及就业基数调整增加。</w:t>
      </w:r>
    </w:p>
    <w:p>
      <w:pPr>
        <w:pStyle w:val="25"/>
        <w:keepNext w:val="0"/>
        <w:keepLines w:val="0"/>
        <w:widowControl/>
        <w:suppressLineNumbers w:val="0"/>
        <w:autoSpaceDE w:val="0"/>
        <w:autoSpaceDN/>
        <w:spacing w:before="0" w:beforeAutospacing="0" w:after="0" w:afterAutospacing="0" w:line="606" w:lineRule="exact"/>
        <w:ind w:left="0" w:firstLine="643" w:firstLineChars="200"/>
        <w:jc w:val="both"/>
        <w:rPr>
          <w:rFonts w:hint="eastAsia" w:ascii="方正仿宋_GBK" w:hAnsi="方正仿宋_GBK" w:eastAsia="方正仿宋_GBK" w:cs="方正仿宋_GBK"/>
          <w:b w:val="0"/>
          <w:bCs/>
          <w:kern w:val="0"/>
          <w:sz w:val="32"/>
          <w:szCs w:val="32"/>
          <w:shd w:val="clear" w:color="auto" w:fill="FFFFFF"/>
          <w:lang w:eastAsia="zh-CN"/>
        </w:rPr>
      </w:pPr>
      <w:r>
        <w:rPr>
          <w:rStyle w:val="19"/>
          <w:rFonts w:hint="eastAsia" w:ascii="方正仿宋_GBK" w:hAnsi="方正仿宋_GBK" w:eastAsia="方正仿宋_GBK" w:cs="方正仿宋_GBK"/>
          <w:b/>
          <w:bCs w:val="0"/>
          <w:sz w:val="32"/>
          <w:szCs w:val="32"/>
          <w:shd w:val="clear" w:color="auto" w:fill="FFFFFF"/>
        </w:rPr>
        <w:t>2.收入情况。</w:t>
      </w:r>
      <w:r>
        <w:rPr>
          <w:rFonts w:hint="eastAsia" w:ascii="方正仿宋_GBK" w:hAnsi="方正仿宋_GBK" w:eastAsia="方正仿宋_GBK" w:cs="方正仿宋_GBK"/>
          <w:b w:val="0"/>
          <w:bCs/>
          <w:kern w:val="0"/>
          <w:sz w:val="32"/>
          <w:szCs w:val="32"/>
          <w:shd w:val="clear" w:color="auto" w:fill="FFFFFF"/>
        </w:rPr>
        <w:t>2022年度收入合计154.10万元，较上年决算数增加23.52万元，增长18%，主要原因是人员调资、住房公积金基数调整及社会保障及就业基数调整增加。其中：财政拨款收入154.10万元，占100%</w:t>
      </w:r>
      <w:r>
        <w:rPr>
          <w:rFonts w:hint="eastAsia" w:ascii="方正仿宋_GBK" w:hAnsi="方正仿宋_GBK" w:eastAsia="方正仿宋_GBK" w:cs="方正仿宋_GBK"/>
          <w:b w:val="0"/>
          <w:bCs/>
          <w:kern w:val="0"/>
          <w:sz w:val="32"/>
          <w:szCs w:val="32"/>
          <w:shd w:val="clear" w:color="auto" w:fill="FFFFFF"/>
          <w:lang w:eastAsia="zh-CN"/>
        </w:rPr>
        <w:t>。</w:t>
      </w:r>
    </w:p>
    <w:p>
      <w:pPr>
        <w:pStyle w:val="25"/>
        <w:keepNext w:val="0"/>
        <w:keepLines w:val="0"/>
        <w:widowControl/>
        <w:suppressLineNumbers w:val="0"/>
        <w:autoSpaceDE w:val="0"/>
        <w:autoSpaceDN/>
        <w:spacing w:before="0" w:beforeAutospacing="0" w:after="0" w:afterAutospacing="0" w:line="606" w:lineRule="exact"/>
        <w:ind w:left="0" w:firstLine="643" w:firstLineChars="200"/>
        <w:jc w:val="both"/>
        <w:rPr>
          <w:rFonts w:hint="eastAsia" w:ascii="方正仿宋_GBK" w:hAnsi="方正仿宋_GBK" w:eastAsia="方正仿宋_GBK" w:cs="方正仿宋_GBK"/>
          <w:b w:val="0"/>
          <w:bCs/>
          <w:kern w:val="0"/>
          <w:sz w:val="32"/>
          <w:szCs w:val="32"/>
        </w:rPr>
      </w:pPr>
      <w:r>
        <w:rPr>
          <w:rStyle w:val="19"/>
          <w:rFonts w:hint="eastAsia" w:ascii="方正仿宋_GBK" w:hAnsi="方正仿宋_GBK" w:eastAsia="方正仿宋_GBK" w:cs="方正仿宋_GBK"/>
          <w:b/>
          <w:bCs w:val="0"/>
          <w:sz w:val="32"/>
          <w:szCs w:val="32"/>
          <w:shd w:val="clear" w:color="auto" w:fill="FFFFFF"/>
        </w:rPr>
        <w:t>3.支出情况。</w:t>
      </w:r>
      <w:r>
        <w:rPr>
          <w:rFonts w:hint="eastAsia" w:ascii="方正仿宋_GBK" w:hAnsi="方正仿宋_GBK" w:eastAsia="方正仿宋_GBK" w:cs="方正仿宋_GBK"/>
          <w:b w:val="0"/>
          <w:bCs/>
          <w:kern w:val="0"/>
          <w:sz w:val="32"/>
          <w:szCs w:val="32"/>
          <w:shd w:val="clear" w:color="auto" w:fill="FFFFFF"/>
        </w:rPr>
        <w:t>2022年度支出合计154.10万元，较上年决算增加23.52万元，增长18%，主要原因是人员调资、住房公积金基数调整及社会保障及就业基数调整增加。其中：其中：基本支出131.10万元，占85.1%；项目支出23.00万元，占14.9%。</w:t>
      </w:r>
    </w:p>
    <w:p>
      <w:pPr>
        <w:pStyle w:val="25"/>
        <w:keepNext w:val="0"/>
        <w:keepLines w:val="0"/>
        <w:widowControl/>
        <w:suppressLineNumbers w:val="0"/>
        <w:autoSpaceDE w:val="0"/>
        <w:autoSpaceDN/>
        <w:spacing w:before="0" w:beforeAutospacing="0" w:after="0" w:afterAutospacing="0" w:line="606" w:lineRule="exact"/>
        <w:ind w:left="0" w:firstLine="643" w:firstLineChars="200"/>
        <w:jc w:val="both"/>
        <w:rPr>
          <w:rFonts w:hint="eastAsia" w:ascii="方正仿宋_GBK" w:hAnsi="方正仿宋_GBK" w:eastAsia="方正仿宋_GBK" w:cs="方正仿宋_GBK"/>
          <w:b w:val="0"/>
          <w:bCs/>
          <w:kern w:val="0"/>
          <w:sz w:val="32"/>
          <w:szCs w:val="32"/>
        </w:rPr>
      </w:pPr>
      <w:r>
        <w:rPr>
          <w:rStyle w:val="19"/>
          <w:rFonts w:hint="eastAsia" w:ascii="方正仿宋_GBK" w:hAnsi="方正仿宋_GBK" w:eastAsia="方正仿宋_GBK" w:cs="方正仿宋_GBK"/>
          <w:b/>
          <w:bCs w:val="0"/>
          <w:sz w:val="32"/>
          <w:szCs w:val="32"/>
          <w:shd w:val="clear" w:color="auto" w:fill="FFFFFF"/>
        </w:rPr>
        <w:t>4.结转结余情况。</w:t>
      </w:r>
      <w:r>
        <w:rPr>
          <w:rFonts w:hint="eastAsia" w:ascii="方正仿宋_GBK" w:hAnsi="方正仿宋_GBK" w:eastAsia="方正仿宋_GBK" w:cs="方正仿宋_GBK"/>
          <w:b w:val="0"/>
          <w:bCs/>
          <w:kern w:val="0"/>
          <w:sz w:val="32"/>
          <w:szCs w:val="32"/>
          <w:shd w:val="clear" w:color="auto" w:fill="FFFFFF"/>
        </w:rPr>
        <w:t>2022年度年末结转和结余0.00万元，较上年决算数增加0.00万元，增长</w:t>
      </w:r>
      <w:r>
        <w:rPr>
          <w:rFonts w:hint="eastAsia" w:ascii="方正仿宋_GBK" w:hAnsi="方正仿宋_GBK" w:eastAsia="方正仿宋_GBK" w:cs="方正仿宋_GBK"/>
          <w:b w:val="0"/>
          <w:bCs/>
          <w:kern w:val="0"/>
          <w:sz w:val="32"/>
          <w:szCs w:val="32"/>
          <w:shd w:val="clear" w:color="auto" w:fill="FFFFFF"/>
          <w:lang w:val="en-US" w:eastAsia="zh-CN"/>
        </w:rPr>
        <w:t>0</w:t>
      </w:r>
      <w:r>
        <w:rPr>
          <w:rFonts w:hint="eastAsia" w:ascii="方正仿宋_GBK" w:hAnsi="方正仿宋_GBK" w:eastAsia="方正仿宋_GBK" w:cs="方正仿宋_GBK"/>
          <w:b w:val="0"/>
          <w:bCs/>
          <w:kern w:val="0"/>
          <w:sz w:val="32"/>
          <w:szCs w:val="32"/>
          <w:shd w:val="clear" w:color="auto" w:fill="FFFFFF"/>
        </w:rPr>
        <w:t>%，</w:t>
      </w:r>
      <w:bookmarkStart w:id="0" w:name="OLE_LINK1"/>
      <w:r>
        <w:rPr>
          <w:rFonts w:hint="eastAsia" w:ascii="方正仿宋_GBK" w:hAnsi="方正仿宋_GBK" w:eastAsia="方正仿宋_GBK" w:cs="方正仿宋_GBK"/>
          <w:b w:val="0"/>
          <w:bCs/>
          <w:kern w:val="0"/>
          <w:sz w:val="32"/>
          <w:szCs w:val="32"/>
          <w:shd w:val="clear" w:color="auto" w:fill="FFFFFF"/>
        </w:rPr>
        <w:t>与上年决算数持平</w:t>
      </w:r>
      <w:bookmarkEnd w:id="0"/>
      <w:r>
        <w:rPr>
          <w:rFonts w:hint="eastAsia" w:ascii="方正仿宋_GBK" w:hAnsi="方正仿宋_GBK" w:eastAsia="方正仿宋_GBK" w:cs="方正仿宋_GBK"/>
          <w:b w:val="0"/>
          <w:bCs/>
          <w:kern w:val="0"/>
          <w:sz w:val="32"/>
          <w:szCs w:val="32"/>
          <w:shd w:val="clear" w:color="auto" w:fill="FFFFFF"/>
        </w:rPr>
        <w:t>。</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楷体_GBK" w:hAnsi="方正楷体_GBK" w:eastAsia="方正楷体_GBK" w:cs="方正楷体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（二）财政拨款收入支出决算总体情况说明。</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rPr>
      </w:pPr>
      <w:r>
        <w:rPr>
          <w:rFonts w:hint="eastAsia" w:ascii="方正仿宋_GBK" w:hAnsi="方正仿宋_GBK" w:eastAsia="方正仿宋_GBK" w:cs="方正仿宋_GBK"/>
          <w:b w:val="0"/>
          <w:bCs/>
          <w:kern w:val="0"/>
          <w:sz w:val="32"/>
          <w:szCs w:val="32"/>
          <w:shd w:val="clear" w:color="auto" w:fill="FFFFFF"/>
        </w:rPr>
        <w:t>2022年度财政拨款收、支总计154.10万元。与2021年相比，财政拨款收、支总计各增加23.52万元，增长18%。主要原因是人员调资、住房公积金基数调整及社会保障及就业基数调整增加。</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rPr>
      </w:pPr>
      <w:r>
        <w:rPr>
          <w:rStyle w:val="19"/>
          <w:rFonts w:hint="eastAsia" w:ascii="方正仿宋_GBK" w:hAnsi="方正仿宋_GBK" w:eastAsia="方正仿宋_GBK" w:cs="方正仿宋_GBK"/>
          <w:b w:val="0"/>
          <w:bCs/>
          <w:sz w:val="32"/>
          <w:szCs w:val="32"/>
          <w:shd w:val="clear" w:color="auto" w:fill="FFFFFF"/>
        </w:rPr>
        <w:t>（三）一般公共预算财政拨款收入支出决算情况说明。</w:t>
      </w:r>
    </w:p>
    <w:p>
      <w:pPr>
        <w:pStyle w:val="25"/>
        <w:keepNext w:val="0"/>
        <w:keepLines w:val="0"/>
        <w:widowControl/>
        <w:suppressLineNumbers w:val="0"/>
        <w:autoSpaceDE w:val="0"/>
        <w:autoSpaceDN/>
        <w:spacing w:before="0" w:beforeAutospacing="0" w:after="0" w:afterAutospacing="0" w:line="606" w:lineRule="exact"/>
        <w:ind w:left="0" w:firstLine="643" w:firstLineChars="200"/>
        <w:jc w:val="both"/>
        <w:rPr>
          <w:rFonts w:hint="eastAsia" w:ascii="方正仿宋_GBK" w:hAnsi="方正仿宋_GBK" w:eastAsia="方正仿宋_GBK" w:cs="方正仿宋_GBK"/>
          <w:b w:val="0"/>
          <w:bCs/>
          <w:kern w:val="0"/>
          <w:sz w:val="32"/>
          <w:szCs w:val="32"/>
        </w:rPr>
      </w:pPr>
      <w:r>
        <w:rPr>
          <w:rStyle w:val="19"/>
          <w:rFonts w:hint="eastAsia" w:ascii="方正仿宋_GBK" w:hAnsi="方正仿宋_GBK" w:eastAsia="方正仿宋_GBK" w:cs="方正仿宋_GBK"/>
          <w:b/>
          <w:bCs w:val="0"/>
          <w:sz w:val="32"/>
          <w:szCs w:val="32"/>
          <w:shd w:val="clear" w:color="auto" w:fill="FFFFFF"/>
        </w:rPr>
        <w:t>1.收入情况。</w:t>
      </w:r>
      <w:r>
        <w:rPr>
          <w:rFonts w:hint="eastAsia" w:ascii="方正仿宋_GBK" w:hAnsi="方正仿宋_GBK" w:eastAsia="方正仿宋_GBK" w:cs="方正仿宋_GBK"/>
          <w:b w:val="0"/>
          <w:bCs/>
          <w:kern w:val="0"/>
          <w:sz w:val="32"/>
          <w:szCs w:val="32"/>
          <w:shd w:val="clear" w:color="auto" w:fill="FFFFFF"/>
        </w:rPr>
        <w:t>2022年度一般公共预算财政拨款收入154.10万元，较上年决算数增加23.52万元，增长18%。主要原因是主要原因是人员调资、住房公积金基数调整及社会保障及就业基数调整增加。较年初预算数增加4.05万元，增长2.7%。主要原因是人员调资、住房公积金基数调整及社会保障及就业基数调整增加。此外，年初财政拨款结转和结余0.00万元。</w:t>
      </w:r>
    </w:p>
    <w:p>
      <w:pPr>
        <w:pStyle w:val="25"/>
        <w:keepNext w:val="0"/>
        <w:keepLines w:val="0"/>
        <w:widowControl/>
        <w:suppressLineNumbers w:val="0"/>
        <w:autoSpaceDE w:val="0"/>
        <w:autoSpaceDN/>
        <w:spacing w:before="0" w:beforeAutospacing="0" w:after="0" w:afterAutospacing="0" w:line="606" w:lineRule="exact"/>
        <w:ind w:left="0" w:firstLine="643" w:firstLineChars="200"/>
        <w:jc w:val="both"/>
        <w:rPr>
          <w:rFonts w:hint="eastAsia" w:ascii="方正仿宋_GBK" w:hAnsi="方正仿宋_GBK" w:eastAsia="方正仿宋_GBK" w:cs="方正仿宋_GBK"/>
          <w:b w:val="0"/>
          <w:bCs/>
          <w:kern w:val="0"/>
          <w:sz w:val="32"/>
          <w:szCs w:val="32"/>
          <w:shd w:val="clear" w:color="auto" w:fill="FFFFFF"/>
        </w:rPr>
      </w:pPr>
      <w:r>
        <w:rPr>
          <w:rStyle w:val="19"/>
          <w:rFonts w:hint="eastAsia" w:ascii="方正仿宋_GBK" w:hAnsi="方正仿宋_GBK" w:eastAsia="方正仿宋_GBK" w:cs="方正仿宋_GBK"/>
          <w:b/>
          <w:bCs w:val="0"/>
          <w:sz w:val="32"/>
          <w:szCs w:val="32"/>
          <w:shd w:val="clear" w:color="auto" w:fill="FFFFFF"/>
        </w:rPr>
        <w:t>2.支出情况。</w:t>
      </w:r>
      <w:r>
        <w:rPr>
          <w:rFonts w:hint="eastAsia" w:ascii="方正仿宋_GBK" w:hAnsi="方正仿宋_GBK" w:eastAsia="方正仿宋_GBK" w:cs="方正仿宋_GBK"/>
          <w:b w:val="0"/>
          <w:bCs/>
          <w:kern w:val="0"/>
          <w:sz w:val="32"/>
          <w:szCs w:val="32"/>
          <w:shd w:val="clear" w:color="auto" w:fill="FFFFFF"/>
        </w:rPr>
        <w:t>2022年度一般公共预算财政拨款支出154.10万元，较上年决算数增加23.52万元，增长18%。主要原因是人员调资、住房公积金基数调整及社会保障及就业基数调整增加。较年初预算数增加4.05万元，增长2.7%。主要原因是人员调资、住房公积金基数调整及社会保障及就业基数调整增加。</w:t>
      </w:r>
    </w:p>
    <w:p>
      <w:pPr>
        <w:pStyle w:val="25"/>
        <w:keepNext w:val="0"/>
        <w:keepLines w:val="0"/>
        <w:widowControl/>
        <w:suppressLineNumbers w:val="0"/>
        <w:autoSpaceDE w:val="0"/>
        <w:autoSpaceDN/>
        <w:spacing w:before="0" w:beforeAutospacing="0" w:after="0" w:afterAutospacing="0" w:line="606" w:lineRule="exact"/>
        <w:ind w:left="0" w:firstLine="643" w:firstLineChars="200"/>
        <w:jc w:val="both"/>
        <w:rPr>
          <w:rFonts w:hint="eastAsia" w:ascii="方正仿宋_GBK" w:hAnsi="方正仿宋_GBK" w:eastAsia="方正仿宋_GBK" w:cs="方正仿宋_GBK"/>
          <w:b w:val="0"/>
          <w:bCs/>
          <w:kern w:val="0"/>
          <w:sz w:val="32"/>
          <w:szCs w:val="32"/>
        </w:rPr>
      </w:pPr>
      <w:r>
        <w:rPr>
          <w:rStyle w:val="19"/>
          <w:rFonts w:hint="eastAsia" w:ascii="方正仿宋_GBK" w:hAnsi="方正仿宋_GBK" w:eastAsia="方正仿宋_GBK" w:cs="方正仿宋_GBK"/>
          <w:b/>
          <w:bCs w:val="0"/>
          <w:sz w:val="32"/>
          <w:szCs w:val="32"/>
          <w:shd w:val="clear" w:color="auto" w:fill="FFFFFF"/>
        </w:rPr>
        <w:t>3.结转结余情况。</w:t>
      </w:r>
      <w:r>
        <w:rPr>
          <w:rFonts w:hint="eastAsia" w:ascii="方正仿宋_GBK" w:hAnsi="方正仿宋_GBK" w:eastAsia="方正仿宋_GBK" w:cs="方正仿宋_GBK"/>
          <w:b w:val="0"/>
          <w:bCs/>
          <w:kern w:val="0"/>
          <w:sz w:val="32"/>
          <w:szCs w:val="32"/>
          <w:shd w:val="clear" w:color="auto" w:fill="FFFFFF"/>
        </w:rPr>
        <w:t>202</w:t>
      </w:r>
      <w:r>
        <w:rPr>
          <w:rFonts w:hint="eastAsia" w:ascii="方正仿宋_GBK" w:hAnsi="方正仿宋_GBK" w:eastAsia="方正仿宋_GBK" w:cs="方正仿宋_GBK"/>
          <w:b w:val="0"/>
          <w:bCs/>
          <w:kern w:val="0"/>
          <w:sz w:val="32"/>
          <w:szCs w:val="32"/>
          <w:shd w:val="clear" w:color="auto" w:fill="FFFFFF"/>
          <w:lang w:val="en-US" w:eastAsia="zh-CN"/>
        </w:rPr>
        <w:t>2</w:t>
      </w:r>
      <w:r>
        <w:rPr>
          <w:rFonts w:hint="eastAsia" w:ascii="方正仿宋_GBK" w:hAnsi="方正仿宋_GBK" w:eastAsia="方正仿宋_GBK" w:cs="方正仿宋_GBK"/>
          <w:b w:val="0"/>
          <w:bCs/>
          <w:kern w:val="0"/>
          <w:sz w:val="32"/>
          <w:szCs w:val="32"/>
          <w:shd w:val="clear" w:color="auto" w:fill="FFFFFF"/>
        </w:rPr>
        <w:t>年度年末一般公共预算财政拨款结转和结余0.00万元，较上年决算数增加0.00万元，增长</w:t>
      </w:r>
      <w:r>
        <w:rPr>
          <w:rFonts w:hint="eastAsia" w:ascii="方正仿宋_GBK" w:hAnsi="方正仿宋_GBK" w:eastAsia="方正仿宋_GBK" w:cs="方正仿宋_GBK"/>
          <w:b w:val="0"/>
          <w:bCs/>
          <w:kern w:val="0"/>
          <w:sz w:val="32"/>
          <w:szCs w:val="32"/>
          <w:shd w:val="clear" w:color="auto" w:fill="FFFFFF"/>
          <w:lang w:val="en-US" w:eastAsia="zh-CN"/>
        </w:rPr>
        <w:t>0</w:t>
      </w:r>
      <w:r>
        <w:rPr>
          <w:rFonts w:hint="eastAsia" w:ascii="方正仿宋_GBK" w:hAnsi="方正仿宋_GBK" w:eastAsia="方正仿宋_GBK" w:cs="方正仿宋_GBK"/>
          <w:b w:val="0"/>
          <w:bCs/>
          <w:kern w:val="0"/>
          <w:sz w:val="32"/>
          <w:szCs w:val="32"/>
          <w:shd w:val="clear" w:color="auto" w:fill="FFFFFF"/>
        </w:rPr>
        <w:t>%，与上年决算数持平。</w:t>
      </w:r>
    </w:p>
    <w:p>
      <w:pPr>
        <w:pStyle w:val="25"/>
        <w:keepNext w:val="0"/>
        <w:keepLines w:val="0"/>
        <w:widowControl/>
        <w:suppressLineNumbers w:val="0"/>
        <w:autoSpaceDE w:val="0"/>
        <w:autoSpaceDN/>
        <w:spacing w:before="0" w:beforeAutospacing="0" w:after="0" w:afterAutospacing="0" w:line="606" w:lineRule="exact"/>
        <w:ind w:left="0" w:firstLine="643" w:firstLineChars="200"/>
        <w:jc w:val="both"/>
        <w:rPr>
          <w:rFonts w:hint="eastAsia" w:ascii="方正仿宋_GBK" w:hAnsi="方正仿宋_GBK" w:eastAsia="方正仿宋_GBK" w:cs="方正仿宋_GBK"/>
          <w:b w:val="0"/>
          <w:bCs/>
          <w:kern w:val="0"/>
          <w:sz w:val="32"/>
          <w:szCs w:val="32"/>
          <w:shd w:val="clear" w:color="auto" w:fill="FFFFFF"/>
        </w:rPr>
      </w:pPr>
      <w:r>
        <w:rPr>
          <w:rStyle w:val="19"/>
          <w:rFonts w:hint="eastAsia" w:ascii="方正仿宋_GBK" w:hAnsi="方正仿宋_GBK" w:eastAsia="方正仿宋_GBK" w:cs="方正仿宋_GBK"/>
          <w:b/>
          <w:bCs w:val="0"/>
          <w:sz w:val="32"/>
          <w:szCs w:val="32"/>
          <w:shd w:val="clear" w:color="auto" w:fill="FFFFFF"/>
        </w:rPr>
        <w:t>4.比较情况。</w:t>
      </w:r>
      <w:r>
        <w:rPr>
          <w:rFonts w:hint="eastAsia" w:ascii="方正仿宋_GBK" w:hAnsi="方正仿宋_GBK" w:eastAsia="方正仿宋_GBK" w:cs="方正仿宋_GBK"/>
          <w:b w:val="0"/>
          <w:bCs/>
          <w:kern w:val="0"/>
          <w:sz w:val="32"/>
          <w:szCs w:val="32"/>
          <w:shd w:val="clear" w:color="auto" w:fill="FFFFFF"/>
        </w:rPr>
        <w:t>本部门202</w:t>
      </w:r>
      <w:r>
        <w:rPr>
          <w:rFonts w:hint="eastAsia" w:ascii="方正仿宋_GBK" w:hAnsi="方正仿宋_GBK" w:eastAsia="方正仿宋_GBK" w:cs="方正仿宋_GBK"/>
          <w:b w:val="0"/>
          <w:bCs/>
          <w:kern w:val="0"/>
          <w:sz w:val="32"/>
          <w:szCs w:val="32"/>
          <w:shd w:val="clear" w:color="auto" w:fill="FFFFFF"/>
          <w:lang w:val="en-US" w:eastAsia="zh-CN"/>
        </w:rPr>
        <w:t>2</w:t>
      </w:r>
      <w:r>
        <w:rPr>
          <w:rFonts w:hint="eastAsia" w:ascii="方正仿宋_GBK" w:hAnsi="方正仿宋_GBK" w:eastAsia="方正仿宋_GBK" w:cs="方正仿宋_GBK"/>
          <w:b w:val="0"/>
          <w:bCs/>
          <w:kern w:val="0"/>
          <w:sz w:val="32"/>
          <w:szCs w:val="32"/>
          <w:shd w:val="clear" w:color="auto" w:fill="FFFFFF"/>
        </w:rPr>
        <w:t xml:space="preserve">年度一般公共预算财政拨款支出主要用于以下几个方面： </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rPr>
      </w:pPr>
      <w:r>
        <w:rPr>
          <w:rFonts w:hint="eastAsia" w:ascii="方正仿宋_GBK" w:hAnsi="方正仿宋_GBK" w:eastAsia="方正仿宋_GBK" w:cs="方正仿宋_GBK"/>
          <w:b w:val="0"/>
          <w:bCs/>
          <w:kern w:val="0"/>
          <w:sz w:val="32"/>
          <w:szCs w:val="32"/>
          <w:shd w:val="clear" w:color="auto" w:fill="FFFFFF"/>
        </w:rPr>
        <w:t xml:space="preserve"> （1）一般公共服务支出127.04万元，占82.4%，较年初预算数减少0.28万元，下降0.2%，主要原因是贯彻落实党中央关于厉行节约过“紧日子”的要求，压减支出。</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shd w:val="clear" w:color="auto" w:fill="FFFFFF"/>
        </w:rPr>
      </w:pPr>
      <w:r>
        <w:rPr>
          <w:rFonts w:hint="eastAsia" w:ascii="方正仿宋_GBK" w:hAnsi="方正仿宋_GBK" w:eastAsia="方正仿宋_GBK" w:cs="方正仿宋_GBK"/>
          <w:b w:val="0"/>
          <w:bCs/>
          <w:kern w:val="0"/>
          <w:sz w:val="32"/>
          <w:szCs w:val="32"/>
          <w:shd w:val="clear" w:color="auto" w:fill="FFFFFF"/>
        </w:rPr>
        <w:t>（2）社会保障与就业支出15.44万元，占10%，较年初预算数增加3.93万元，增长34.1%，主要原因是社会保障及就业基数调整增加。</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shd w:val="clear" w:color="auto" w:fill="FFFFFF"/>
        </w:rPr>
      </w:pPr>
      <w:r>
        <w:rPr>
          <w:rFonts w:hint="eastAsia" w:ascii="方正仿宋_GBK" w:hAnsi="方正仿宋_GBK" w:eastAsia="方正仿宋_GBK" w:cs="方正仿宋_GBK"/>
          <w:b w:val="0"/>
          <w:bCs/>
          <w:kern w:val="0"/>
          <w:sz w:val="32"/>
          <w:szCs w:val="32"/>
          <w:shd w:val="clear" w:color="auto" w:fill="FFFFFF"/>
        </w:rPr>
        <w:t>（3）卫生健康支出5.94万元，占3.9%，较年初预算数增加0.40万元，增长7.2%，主要原因是社会保障及就业基数调整增加。</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rPr>
      </w:pPr>
      <w:r>
        <w:rPr>
          <w:rFonts w:hint="eastAsia" w:ascii="方正仿宋_GBK" w:hAnsi="方正仿宋_GBK" w:eastAsia="方正仿宋_GBK" w:cs="方正仿宋_GBK"/>
          <w:b w:val="0"/>
          <w:bCs/>
          <w:kern w:val="0"/>
          <w:sz w:val="32"/>
          <w:szCs w:val="32"/>
          <w:shd w:val="clear" w:color="auto" w:fill="FFFFFF"/>
        </w:rPr>
        <w:t>（4）住房保障支出5.68万元，占3.7%，较年初预算数增加0.00万元，增长0%，余年初预算持平。</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楷体_GBK" w:hAnsi="方正楷体_GBK" w:eastAsia="方正楷体_GBK" w:cs="方正楷体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（四）一般公共预算财政拨款基本支出决算情况说明。</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shd w:val="clear" w:color="auto" w:fill="FFFFFF"/>
        </w:rPr>
      </w:pPr>
      <w:r>
        <w:rPr>
          <w:rFonts w:hint="eastAsia" w:ascii="方正仿宋_GBK" w:hAnsi="方正仿宋_GBK" w:eastAsia="方正仿宋_GBK" w:cs="方正仿宋_GBK"/>
          <w:b w:val="0"/>
          <w:bCs/>
          <w:kern w:val="0"/>
          <w:sz w:val="32"/>
          <w:szCs w:val="32"/>
          <w:shd w:val="clear" w:color="auto" w:fill="FFFFFF"/>
        </w:rPr>
        <w:t>2022年度一般公共预算财政拨款基本支出131.10万元。其中：人员经费114.52万元，较上年决算数增加15.66万元，增长15.8%，主要原因是人员调资、住房公积金基数调整及社会保障及就业基数调整增加。人员经费用途主要包括基本工资、津贴补贴、奖金、伙食补助费、住房公积金、社会保障缴费等。公用经费16.59万元，较上年决算数减少3.49万元，下降17.4%，主要原因是贯彻落实党中央关于厉行节约过“紧日子”的要求，压减支出。公用经费用途主要包括主要包括办公费、印刷费、咨询费、手续费、邮电费、差旅费、劳务费、交通费等。</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楷体_GBK" w:hAnsi="方正楷体_GBK" w:eastAsia="方正楷体_GBK" w:cs="方正楷体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（五）政府性基金预算收支决算情况说明。</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shd w:val="clear" w:color="auto" w:fill="FFFFFF"/>
        </w:rPr>
      </w:pPr>
      <w:r>
        <w:rPr>
          <w:rFonts w:hint="eastAsia" w:ascii="方正仿宋_GBK" w:hAnsi="方正仿宋_GBK" w:eastAsia="方正仿宋_GBK" w:cs="方正仿宋_GBK"/>
          <w:b w:val="0"/>
          <w:bCs/>
          <w:kern w:val="0"/>
          <w:sz w:val="32"/>
          <w:szCs w:val="32"/>
          <w:shd w:val="clear" w:color="auto" w:fill="FFFFFF"/>
        </w:rPr>
        <w:t>本部门202</w:t>
      </w:r>
      <w:r>
        <w:rPr>
          <w:rFonts w:hint="eastAsia" w:ascii="方正仿宋_GBK" w:hAnsi="方正仿宋_GBK" w:eastAsia="方正仿宋_GBK" w:cs="方正仿宋_GBK"/>
          <w:b w:val="0"/>
          <w:bCs/>
          <w:kern w:val="0"/>
          <w:sz w:val="32"/>
          <w:szCs w:val="32"/>
          <w:shd w:val="clear" w:color="auto" w:fill="FFFFFF"/>
          <w:lang w:val="en-US" w:eastAsia="zh-CN"/>
        </w:rPr>
        <w:t>2</w:t>
      </w:r>
      <w:r>
        <w:rPr>
          <w:rFonts w:hint="eastAsia" w:ascii="方正仿宋_GBK" w:hAnsi="方正仿宋_GBK" w:eastAsia="方正仿宋_GBK" w:cs="方正仿宋_GBK"/>
          <w:b w:val="0"/>
          <w:bCs/>
          <w:kern w:val="0"/>
          <w:sz w:val="32"/>
          <w:szCs w:val="32"/>
          <w:shd w:val="clear" w:color="auto" w:fill="FFFFFF"/>
        </w:rPr>
        <w:t>年度无政府性基金预算财政拨款收支。</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楷体_GBK" w:hAnsi="方正楷体_GBK" w:eastAsia="方正楷体_GBK" w:cs="方正楷体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（六）国有资本经营预算财政拨款支出决算情况说明。</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shd w:val="clear" w:color="auto" w:fill="FFFFFF"/>
        </w:rPr>
      </w:pPr>
      <w:r>
        <w:rPr>
          <w:rFonts w:hint="eastAsia" w:ascii="方正仿宋_GBK" w:hAnsi="方正仿宋_GBK" w:eastAsia="方正仿宋_GBK" w:cs="方正仿宋_GBK"/>
          <w:b w:val="0"/>
          <w:bCs/>
          <w:kern w:val="0"/>
          <w:sz w:val="32"/>
          <w:szCs w:val="32"/>
          <w:shd w:val="clear" w:color="auto" w:fill="FFFFFF"/>
        </w:rPr>
        <w:t>本部门202</w:t>
      </w:r>
      <w:r>
        <w:rPr>
          <w:rFonts w:hint="eastAsia" w:ascii="方正仿宋_GBK" w:hAnsi="方正仿宋_GBK" w:eastAsia="方正仿宋_GBK" w:cs="方正仿宋_GBK"/>
          <w:b w:val="0"/>
          <w:bCs/>
          <w:kern w:val="0"/>
          <w:sz w:val="32"/>
          <w:szCs w:val="32"/>
          <w:shd w:val="clear" w:color="auto" w:fill="FFFFFF"/>
          <w:lang w:val="en-US" w:eastAsia="zh-CN"/>
        </w:rPr>
        <w:t>2</w:t>
      </w:r>
      <w:r>
        <w:rPr>
          <w:rFonts w:hint="eastAsia" w:ascii="方正仿宋_GBK" w:hAnsi="方正仿宋_GBK" w:eastAsia="方正仿宋_GBK" w:cs="方正仿宋_GBK"/>
          <w:b w:val="0"/>
          <w:bCs/>
          <w:kern w:val="0"/>
          <w:sz w:val="32"/>
          <w:szCs w:val="32"/>
          <w:shd w:val="clear" w:color="auto" w:fill="FFFFFF"/>
        </w:rPr>
        <w:t>年度无国有资本经营预算财政拨款支出。</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黑体_GBK" w:hAnsi="方正黑体_GBK" w:eastAsia="方正黑体_GBK" w:cs="方正黑体_GBK"/>
          <w:b w:val="0"/>
          <w:bCs/>
          <w:kern w:val="0"/>
          <w:sz w:val="32"/>
          <w:szCs w:val="32"/>
        </w:rPr>
      </w:pPr>
      <w:r>
        <w:rPr>
          <w:rStyle w:val="19"/>
          <w:rFonts w:hint="eastAsia" w:ascii="方正黑体_GBK" w:hAnsi="方正黑体_GBK" w:eastAsia="方正黑体_GBK" w:cs="方正黑体_GBK"/>
          <w:b w:val="0"/>
          <w:bCs/>
          <w:sz w:val="32"/>
          <w:szCs w:val="32"/>
          <w:shd w:val="clear" w:color="auto" w:fill="FFFFFF"/>
        </w:rPr>
        <w:t>三、“三公”经费情况说明</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rPr>
      </w:pPr>
      <w:r>
        <w:rPr>
          <w:rStyle w:val="19"/>
          <w:rFonts w:hint="eastAsia" w:ascii="方正仿宋_GBK" w:hAnsi="方正仿宋_GBK" w:eastAsia="方正仿宋_GBK" w:cs="方正仿宋_GBK"/>
          <w:b w:val="0"/>
          <w:bCs/>
          <w:sz w:val="32"/>
          <w:szCs w:val="32"/>
          <w:shd w:val="clear" w:color="auto" w:fill="FFFFFF"/>
        </w:rPr>
        <w:t>（一）“三公”经费支出总体情况说明。</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shd w:val="clear" w:color="auto" w:fill="FFFFFF"/>
        </w:rPr>
      </w:pPr>
      <w:r>
        <w:rPr>
          <w:rFonts w:hint="eastAsia" w:ascii="方正仿宋_GBK" w:hAnsi="方正仿宋_GBK" w:eastAsia="方正仿宋_GBK" w:cs="方正仿宋_GBK"/>
          <w:b w:val="0"/>
          <w:bCs/>
          <w:kern w:val="0"/>
          <w:sz w:val="32"/>
          <w:szCs w:val="32"/>
          <w:shd w:val="clear" w:color="auto" w:fill="FFFFFF"/>
        </w:rPr>
        <w:t>2022年度“三公”经费支出共计1.80万元，较年初预算数减少0.10万元，下降5.3%，较上年支出数减少0.05万元，下降2.7%，主要原因是贯彻落实党中央关于厉行节约过“紧日子”的要求，压减支出。</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rPr>
      </w:pPr>
      <w:r>
        <w:rPr>
          <w:rStyle w:val="19"/>
          <w:rFonts w:hint="eastAsia" w:ascii="方正仿宋_GBK" w:hAnsi="方正仿宋_GBK" w:eastAsia="方正仿宋_GBK" w:cs="方正仿宋_GBK"/>
          <w:b w:val="0"/>
          <w:bCs/>
          <w:sz w:val="32"/>
          <w:szCs w:val="32"/>
          <w:shd w:val="clear" w:color="auto" w:fill="FFFFFF"/>
        </w:rPr>
        <w:t>（二）“三公”经费分项支出情况。</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rPr>
      </w:pPr>
      <w:r>
        <w:rPr>
          <w:rFonts w:hint="eastAsia" w:ascii="方正仿宋_GBK" w:hAnsi="方正仿宋_GBK" w:eastAsia="方正仿宋_GBK" w:cs="方正仿宋_GBK"/>
          <w:b w:val="0"/>
          <w:bCs/>
          <w:kern w:val="0"/>
          <w:sz w:val="32"/>
          <w:szCs w:val="32"/>
          <w:shd w:val="clear" w:color="auto" w:fill="FFFFFF"/>
        </w:rPr>
        <w:t>202</w:t>
      </w:r>
      <w:r>
        <w:rPr>
          <w:rFonts w:hint="eastAsia" w:ascii="方正仿宋_GBK" w:hAnsi="方正仿宋_GBK" w:eastAsia="方正仿宋_GBK" w:cs="方正仿宋_GBK"/>
          <w:b w:val="0"/>
          <w:bCs/>
          <w:kern w:val="0"/>
          <w:sz w:val="32"/>
          <w:szCs w:val="32"/>
          <w:shd w:val="clear" w:color="auto" w:fill="FFFFFF"/>
          <w:lang w:val="en-US" w:eastAsia="zh-CN"/>
        </w:rPr>
        <w:t>2</w:t>
      </w:r>
      <w:r>
        <w:rPr>
          <w:rFonts w:hint="eastAsia" w:ascii="方正仿宋_GBK" w:hAnsi="方正仿宋_GBK" w:eastAsia="方正仿宋_GBK" w:cs="方正仿宋_GBK"/>
          <w:b w:val="0"/>
          <w:bCs/>
          <w:kern w:val="0"/>
          <w:sz w:val="32"/>
          <w:szCs w:val="32"/>
          <w:shd w:val="clear" w:color="auto" w:fill="FFFFFF"/>
        </w:rPr>
        <w:t>年度本部门因公出国（境）费用0.00万元，主要</w:t>
      </w:r>
      <w:r>
        <w:rPr>
          <w:rFonts w:hint="eastAsia" w:ascii="方正仿宋_GBK" w:hAnsi="方正仿宋_GBK" w:eastAsia="方正仿宋_GBK" w:cs="方正仿宋_GBK"/>
          <w:b w:val="0"/>
          <w:bCs/>
          <w:kern w:val="0"/>
          <w:sz w:val="32"/>
          <w:szCs w:val="32"/>
          <w:shd w:val="clear" w:color="auto" w:fill="FFFFFF"/>
          <w:lang w:val="en-US" w:eastAsia="zh-CN"/>
        </w:rPr>
        <w:t>原因</w:t>
      </w:r>
      <w:r>
        <w:rPr>
          <w:rFonts w:hint="eastAsia" w:ascii="方正仿宋_GBK" w:hAnsi="方正仿宋_GBK" w:eastAsia="方正仿宋_GBK" w:cs="方正仿宋_GBK"/>
          <w:b w:val="0"/>
          <w:bCs/>
          <w:kern w:val="0"/>
          <w:sz w:val="32"/>
          <w:szCs w:val="32"/>
          <w:shd w:val="clear" w:color="auto" w:fill="FFFFFF"/>
        </w:rPr>
        <w:t>是本单位2021年度未发生因公出国（境）费用。费用支出较年初预算数增加0.00万元，增长</w:t>
      </w:r>
      <w:r>
        <w:rPr>
          <w:rFonts w:hint="eastAsia" w:ascii="方正仿宋_GBK" w:hAnsi="方正仿宋_GBK" w:eastAsia="方正仿宋_GBK" w:cs="方正仿宋_GBK"/>
          <w:b w:val="0"/>
          <w:bCs/>
          <w:kern w:val="0"/>
          <w:sz w:val="32"/>
          <w:szCs w:val="32"/>
          <w:shd w:val="clear" w:color="auto" w:fill="FFFFFF"/>
          <w:lang w:val="en-US" w:eastAsia="zh-CN"/>
        </w:rPr>
        <w:t>0</w:t>
      </w:r>
      <w:r>
        <w:rPr>
          <w:rFonts w:hint="eastAsia" w:ascii="方正仿宋_GBK" w:hAnsi="方正仿宋_GBK" w:eastAsia="方正仿宋_GBK" w:cs="方正仿宋_GBK"/>
          <w:b w:val="0"/>
          <w:bCs/>
          <w:kern w:val="0"/>
          <w:sz w:val="32"/>
          <w:szCs w:val="32"/>
          <w:shd w:val="clear" w:color="auto" w:fill="FFFFFF"/>
        </w:rPr>
        <w:t>%，与年</w:t>
      </w:r>
      <w:r>
        <w:rPr>
          <w:rFonts w:hint="eastAsia" w:ascii="方正仿宋_GBK" w:hAnsi="方正仿宋_GBK" w:eastAsia="方正仿宋_GBK" w:cs="方正仿宋_GBK"/>
          <w:b w:val="0"/>
          <w:bCs/>
          <w:kern w:val="0"/>
          <w:sz w:val="32"/>
          <w:szCs w:val="32"/>
          <w:shd w:val="clear" w:color="auto" w:fill="FFFFFF"/>
          <w:lang w:val="en-US" w:eastAsia="zh-CN"/>
        </w:rPr>
        <w:t>初预</w:t>
      </w:r>
      <w:r>
        <w:rPr>
          <w:rFonts w:hint="eastAsia" w:ascii="方正仿宋_GBK" w:hAnsi="方正仿宋_GBK" w:eastAsia="方正仿宋_GBK" w:cs="方正仿宋_GBK"/>
          <w:b w:val="0"/>
          <w:bCs/>
          <w:kern w:val="0"/>
          <w:sz w:val="32"/>
          <w:szCs w:val="32"/>
          <w:shd w:val="clear" w:color="auto" w:fill="FFFFFF"/>
        </w:rPr>
        <w:t>算数持平</w:t>
      </w:r>
      <w:r>
        <w:rPr>
          <w:rFonts w:hint="eastAsia" w:ascii="方正仿宋_GBK" w:hAnsi="方正仿宋_GBK" w:eastAsia="方正仿宋_GBK" w:cs="方正仿宋_GBK"/>
          <w:b w:val="0"/>
          <w:bCs/>
          <w:kern w:val="0"/>
          <w:sz w:val="32"/>
          <w:szCs w:val="32"/>
          <w:shd w:val="clear" w:color="auto" w:fill="FFFFFF"/>
          <w:lang w:eastAsia="zh-CN"/>
        </w:rPr>
        <w:t>，</w:t>
      </w:r>
      <w:r>
        <w:rPr>
          <w:rFonts w:hint="eastAsia" w:ascii="方正仿宋_GBK" w:hAnsi="方正仿宋_GBK" w:eastAsia="方正仿宋_GBK" w:cs="方正仿宋_GBK"/>
          <w:b w:val="0"/>
          <w:bCs/>
          <w:kern w:val="0"/>
          <w:sz w:val="32"/>
          <w:szCs w:val="32"/>
          <w:shd w:val="clear" w:color="auto" w:fill="FFFFFF"/>
        </w:rPr>
        <w:t>主要原因是本单位202</w:t>
      </w:r>
      <w:r>
        <w:rPr>
          <w:rFonts w:hint="eastAsia" w:ascii="方正仿宋_GBK" w:hAnsi="方正仿宋_GBK" w:eastAsia="方正仿宋_GBK" w:cs="方正仿宋_GBK"/>
          <w:b w:val="0"/>
          <w:bCs/>
          <w:kern w:val="0"/>
          <w:sz w:val="32"/>
          <w:szCs w:val="32"/>
          <w:shd w:val="clear" w:color="auto" w:fill="FFFFFF"/>
          <w:lang w:val="en-US" w:eastAsia="zh-CN"/>
        </w:rPr>
        <w:t>2</w:t>
      </w:r>
      <w:r>
        <w:rPr>
          <w:rFonts w:hint="eastAsia" w:ascii="方正仿宋_GBK" w:hAnsi="方正仿宋_GBK" w:eastAsia="方正仿宋_GBK" w:cs="方正仿宋_GBK"/>
          <w:b w:val="0"/>
          <w:bCs/>
          <w:kern w:val="0"/>
          <w:sz w:val="32"/>
          <w:szCs w:val="32"/>
          <w:shd w:val="clear" w:color="auto" w:fill="FFFFFF"/>
        </w:rPr>
        <w:t>年度未发生因公出国（境）费用。较上年支出数增加0.00万元，增长0%，与上年决算数持平</w:t>
      </w:r>
      <w:r>
        <w:rPr>
          <w:rFonts w:hint="eastAsia" w:ascii="方正仿宋_GBK" w:hAnsi="方正仿宋_GBK" w:eastAsia="方正仿宋_GBK" w:cs="方正仿宋_GBK"/>
          <w:b w:val="0"/>
          <w:bCs/>
          <w:kern w:val="0"/>
          <w:sz w:val="32"/>
          <w:szCs w:val="32"/>
          <w:shd w:val="clear" w:color="auto" w:fill="FFFFFF"/>
          <w:lang w:eastAsia="zh-CN"/>
        </w:rPr>
        <w:t>，</w:t>
      </w:r>
      <w:r>
        <w:rPr>
          <w:rFonts w:hint="eastAsia" w:ascii="方正仿宋_GBK" w:hAnsi="方正仿宋_GBK" w:eastAsia="方正仿宋_GBK" w:cs="方正仿宋_GBK"/>
          <w:b w:val="0"/>
          <w:bCs/>
          <w:kern w:val="0"/>
          <w:sz w:val="32"/>
          <w:szCs w:val="32"/>
          <w:shd w:val="clear" w:color="auto" w:fill="FFFFFF"/>
        </w:rPr>
        <w:t>主要原因是本单位202</w:t>
      </w:r>
      <w:r>
        <w:rPr>
          <w:rFonts w:hint="eastAsia" w:ascii="方正仿宋_GBK" w:hAnsi="方正仿宋_GBK" w:eastAsia="方正仿宋_GBK" w:cs="方正仿宋_GBK"/>
          <w:b w:val="0"/>
          <w:bCs/>
          <w:kern w:val="0"/>
          <w:sz w:val="32"/>
          <w:szCs w:val="32"/>
          <w:shd w:val="clear" w:color="auto" w:fill="FFFFFF"/>
          <w:lang w:val="en-US" w:eastAsia="zh-CN"/>
        </w:rPr>
        <w:t>2</w:t>
      </w:r>
      <w:r>
        <w:rPr>
          <w:rFonts w:hint="eastAsia" w:ascii="方正仿宋_GBK" w:hAnsi="方正仿宋_GBK" w:eastAsia="方正仿宋_GBK" w:cs="方正仿宋_GBK"/>
          <w:b w:val="0"/>
          <w:bCs/>
          <w:kern w:val="0"/>
          <w:sz w:val="32"/>
          <w:szCs w:val="32"/>
          <w:shd w:val="clear" w:color="auto" w:fill="FFFFFF"/>
        </w:rPr>
        <w:t>年度未发生因公出国（境）费用。</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rPr>
      </w:pPr>
      <w:r>
        <w:rPr>
          <w:rFonts w:hint="eastAsia" w:ascii="方正仿宋_GBK" w:hAnsi="方正仿宋_GBK" w:eastAsia="方正仿宋_GBK" w:cs="方正仿宋_GBK"/>
          <w:b w:val="0"/>
          <w:bCs/>
          <w:kern w:val="0"/>
          <w:sz w:val="32"/>
          <w:szCs w:val="32"/>
          <w:shd w:val="clear" w:color="auto" w:fill="FFFFFF"/>
        </w:rPr>
        <w:t>公务车购置费0.00万元，本单位202</w:t>
      </w:r>
      <w:r>
        <w:rPr>
          <w:rFonts w:hint="eastAsia" w:ascii="方正仿宋_GBK" w:hAnsi="方正仿宋_GBK" w:eastAsia="方正仿宋_GBK" w:cs="方正仿宋_GBK"/>
          <w:b w:val="0"/>
          <w:bCs/>
          <w:kern w:val="0"/>
          <w:sz w:val="32"/>
          <w:szCs w:val="32"/>
          <w:shd w:val="clear" w:color="auto" w:fill="FFFFFF"/>
          <w:lang w:val="en-US" w:eastAsia="zh-CN"/>
        </w:rPr>
        <w:t>2</w:t>
      </w:r>
      <w:r>
        <w:rPr>
          <w:rFonts w:hint="eastAsia" w:ascii="方正仿宋_GBK" w:hAnsi="方正仿宋_GBK" w:eastAsia="方正仿宋_GBK" w:cs="方正仿宋_GBK"/>
          <w:b w:val="0"/>
          <w:bCs/>
          <w:kern w:val="0"/>
          <w:sz w:val="32"/>
          <w:szCs w:val="32"/>
          <w:shd w:val="clear" w:color="auto" w:fill="FFFFFF"/>
        </w:rPr>
        <w:t>年度未发生公务车购置费用。费用支出较年初预算数增加0.00万元，增长</w:t>
      </w:r>
      <w:r>
        <w:rPr>
          <w:rFonts w:hint="eastAsia" w:ascii="方正仿宋_GBK" w:hAnsi="方正仿宋_GBK" w:eastAsia="方正仿宋_GBK" w:cs="方正仿宋_GBK"/>
          <w:b w:val="0"/>
          <w:bCs/>
          <w:kern w:val="0"/>
          <w:sz w:val="32"/>
          <w:szCs w:val="32"/>
          <w:shd w:val="clear" w:color="auto" w:fill="FFFFFF"/>
          <w:lang w:val="en-US" w:eastAsia="zh-CN"/>
        </w:rPr>
        <w:t>0</w:t>
      </w:r>
      <w:r>
        <w:rPr>
          <w:rFonts w:hint="eastAsia" w:ascii="方正仿宋_GBK" w:hAnsi="方正仿宋_GBK" w:eastAsia="方正仿宋_GBK" w:cs="方正仿宋_GBK"/>
          <w:b w:val="0"/>
          <w:bCs/>
          <w:kern w:val="0"/>
          <w:sz w:val="32"/>
          <w:szCs w:val="32"/>
          <w:shd w:val="clear" w:color="auto" w:fill="FFFFFF"/>
        </w:rPr>
        <w:t>%，</w:t>
      </w:r>
      <w:bookmarkStart w:id="1" w:name="OLE_LINK2"/>
      <w:r>
        <w:rPr>
          <w:rFonts w:hint="eastAsia" w:ascii="方正仿宋_GBK" w:hAnsi="方正仿宋_GBK" w:eastAsia="方正仿宋_GBK" w:cs="方正仿宋_GBK"/>
          <w:b w:val="0"/>
          <w:bCs/>
          <w:kern w:val="0"/>
          <w:sz w:val="32"/>
          <w:szCs w:val="32"/>
          <w:shd w:val="clear" w:color="auto" w:fill="FFFFFF"/>
        </w:rPr>
        <w:t>与年</w:t>
      </w:r>
      <w:r>
        <w:rPr>
          <w:rFonts w:hint="eastAsia" w:ascii="方正仿宋_GBK" w:hAnsi="方正仿宋_GBK" w:eastAsia="方正仿宋_GBK" w:cs="方正仿宋_GBK"/>
          <w:b w:val="0"/>
          <w:bCs/>
          <w:kern w:val="0"/>
          <w:sz w:val="32"/>
          <w:szCs w:val="32"/>
          <w:shd w:val="clear" w:color="auto" w:fill="FFFFFF"/>
          <w:lang w:val="en-US" w:eastAsia="zh-CN"/>
        </w:rPr>
        <w:t>初预</w:t>
      </w:r>
      <w:r>
        <w:rPr>
          <w:rFonts w:hint="eastAsia" w:ascii="方正仿宋_GBK" w:hAnsi="方正仿宋_GBK" w:eastAsia="方正仿宋_GBK" w:cs="方正仿宋_GBK"/>
          <w:b w:val="0"/>
          <w:bCs/>
          <w:kern w:val="0"/>
          <w:sz w:val="32"/>
          <w:szCs w:val="32"/>
          <w:shd w:val="clear" w:color="auto" w:fill="FFFFFF"/>
        </w:rPr>
        <w:t>算数持平</w:t>
      </w:r>
      <w:r>
        <w:rPr>
          <w:rFonts w:hint="eastAsia" w:ascii="方正仿宋_GBK" w:hAnsi="方正仿宋_GBK" w:eastAsia="方正仿宋_GBK" w:cs="方正仿宋_GBK"/>
          <w:b w:val="0"/>
          <w:bCs/>
          <w:kern w:val="0"/>
          <w:sz w:val="32"/>
          <w:szCs w:val="32"/>
          <w:shd w:val="clear" w:color="auto" w:fill="FFFFFF"/>
          <w:lang w:eastAsia="zh-CN"/>
        </w:rPr>
        <w:t>，</w:t>
      </w:r>
      <w:bookmarkEnd w:id="1"/>
      <w:r>
        <w:rPr>
          <w:rFonts w:hint="eastAsia" w:ascii="方正仿宋_GBK" w:hAnsi="方正仿宋_GBK" w:eastAsia="方正仿宋_GBK" w:cs="方正仿宋_GBK"/>
          <w:b w:val="0"/>
          <w:bCs/>
          <w:kern w:val="0"/>
          <w:sz w:val="32"/>
          <w:szCs w:val="32"/>
          <w:shd w:val="clear" w:color="auto" w:fill="FFFFFF"/>
        </w:rPr>
        <w:t>主要原因是本单位202</w:t>
      </w:r>
      <w:r>
        <w:rPr>
          <w:rFonts w:hint="eastAsia" w:ascii="方正仿宋_GBK" w:hAnsi="方正仿宋_GBK" w:eastAsia="方正仿宋_GBK" w:cs="方正仿宋_GBK"/>
          <w:b w:val="0"/>
          <w:bCs/>
          <w:kern w:val="0"/>
          <w:sz w:val="32"/>
          <w:szCs w:val="32"/>
          <w:shd w:val="clear" w:color="auto" w:fill="FFFFFF"/>
          <w:lang w:val="en-US" w:eastAsia="zh-CN"/>
        </w:rPr>
        <w:t>2</w:t>
      </w:r>
      <w:r>
        <w:rPr>
          <w:rFonts w:hint="eastAsia" w:ascii="方正仿宋_GBK" w:hAnsi="方正仿宋_GBK" w:eastAsia="方正仿宋_GBK" w:cs="方正仿宋_GBK"/>
          <w:b w:val="0"/>
          <w:bCs/>
          <w:kern w:val="0"/>
          <w:sz w:val="32"/>
          <w:szCs w:val="32"/>
          <w:shd w:val="clear" w:color="auto" w:fill="FFFFFF"/>
        </w:rPr>
        <w:t>年度未发生公务车购置费用。较上年支出数增加0.00万元，增长0%，与上年决算数持平</w:t>
      </w:r>
      <w:r>
        <w:rPr>
          <w:rFonts w:hint="eastAsia" w:ascii="方正仿宋_GBK" w:hAnsi="方正仿宋_GBK" w:eastAsia="方正仿宋_GBK" w:cs="方正仿宋_GBK"/>
          <w:b w:val="0"/>
          <w:bCs/>
          <w:kern w:val="0"/>
          <w:sz w:val="32"/>
          <w:szCs w:val="32"/>
          <w:shd w:val="clear" w:color="auto" w:fill="FFFFFF"/>
          <w:lang w:eastAsia="zh-CN"/>
        </w:rPr>
        <w:t>，</w:t>
      </w:r>
      <w:r>
        <w:rPr>
          <w:rFonts w:hint="eastAsia" w:ascii="方正仿宋_GBK" w:hAnsi="方正仿宋_GBK" w:eastAsia="方正仿宋_GBK" w:cs="方正仿宋_GBK"/>
          <w:b w:val="0"/>
          <w:bCs/>
          <w:kern w:val="0"/>
          <w:sz w:val="32"/>
          <w:szCs w:val="32"/>
          <w:shd w:val="clear" w:color="auto" w:fill="FFFFFF"/>
        </w:rPr>
        <w:t>主要原因是本单位202</w:t>
      </w:r>
      <w:r>
        <w:rPr>
          <w:rFonts w:hint="eastAsia" w:ascii="方正仿宋_GBK" w:hAnsi="方正仿宋_GBK" w:eastAsia="方正仿宋_GBK" w:cs="方正仿宋_GBK"/>
          <w:b w:val="0"/>
          <w:bCs/>
          <w:kern w:val="0"/>
          <w:sz w:val="32"/>
          <w:szCs w:val="32"/>
          <w:shd w:val="clear" w:color="auto" w:fill="FFFFFF"/>
          <w:lang w:val="en-US" w:eastAsia="zh-CN"/>
        </w:rPr>
        <w:t>2</w:t>
      </w:r>
      <w:r>
        <w:rPr>
          <w:rFonts w:hint="eastAsia" w:ascii="方正仿宋_GBK" w:hAnsi="方正仿宋_GBK" w:eastAsia="方正仿宋_GBK" w:cs="方正仿宋_GBK"/>
          <w:b w:val="0"/>
          <w:bCs/>
          <w:kern w:val="0"/>
          <w:sz w:val="32"/>
          <w:szCs w:val="32"/>
          <w:shd w:val="clear" w:color="auto" w:fill="FFFFFF"/>
        </w:rPr>
        <w:t>年度未发生公务车购置费用。</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rPr>
      </w:pPr>
      <w:r>
        <w:rPr>
          <w:rFonts w:hint="eastAsia" w:ascii="方正仿宋_GBK" w:hAnsi="方正仿宋_GBK" w:eastAsia="方正仿宋_GBK" w:cs="方正仿宋_GBK"/>
          <w:b w:val="0"/>
          <w:bCs/>
          <w:kern w:val="0"/>
          <w:sz w:val="32"/>
          <w:szCs w:val="32"/>
          <w:shd w:val="clear" w:color="auto" w:fill="FFFFFF"/>
        </w:rPr>
        <w:t>公务车运行维护费0.00万元，主要是本单位202</w:t>
      </w:r>
      <w:r>
        <w:rPr>
          <w:rFonts w:hint="eastAsia" w:ascii="方正仿宋_GBK" w:hAnsi="方正仿宋_GBK" w:eastAsia="方正仿宋_GBK" w:cs="方正仿宋_GBK"/>
          <w:b w:val="0"/>
          <w:bCs/>
          <w:kern w:val="0"/>
          <w:sz w:val="32"/>
          <w:szCs w:val="32"/>
          <w:shd w:val="clear" w:color="auto" w:fill="FFFFFF"/>
          <w:lang w:val="en-US" w:eastAsia="zh-CN"/>
        </w:rPr>
        <w:t>2</w:t>
      </w:r>
      <w:r>
        <w:rPr>
          <w:rFonts w:hint="eastAsia" w:ascii="方正仿宋_GBK" w:hAnsi="方正仿宋_GBK" w:eastAsia="方正仿宋_GBK" w:cs="方正仿宋_GBK"/>
          <w:b w:val="0"/>
          <w:bCs/>
          <w:kern w:val="0"/>
          <w:sz w:val="32"/>
          <w:szCs w:val="32"/>
          <w:shd w:val="clear" w:color="auto" w:fill="FFFFFF"/>
        </w:rPr>
        <w:t>年度未发生公务车运行费用。费用支出较年初预算数增加0.00万元，增长</w:t>
      </w:r>
      <w:r>
        <w:rPr>
          <w:rFonts w:hint="eastAsia" w:ascii="方正仿宋_GBK" w:hAnsi="方正仿宋_GBK" w:eastAsia="方正仿宋_GBK" w:cs="方正仿宋_GBK"/>
          <w:b w:val="0"/>
          <w:bCs/>
          <w:kern w:val="0"/>
          <w:sz w:val="32"/>
          <w:szCs w:val="32"/>
          <w:shd w:val="clear" w:color="auto" w:fill="FFFFFF"/>
          <w:lang w:val="en-US" w:eastAsia="zh-CN"/>
        </w:rPr>
        <w:t>0</w:t>
      </w:r>
      <w:r>
        <w:rPr>
          <w:rFonts w:hint="eastAsia" w:ascii="方正仿宋_GBK" w:hAnsi="方正仿宋_GBK" w:eastAsia="方正仿宋_GBK" w:cs="方正仿宋_GBK"/>
          <w:b w:val="0"/>
          <w:bCs/>
          <w:kern w:val="0"/>
          <w:sz w:val="32"/>
          <w:szCs w:val="32"/>
          <w:shd w:val="clear" w:color="auto" w:fill="FFFFFF"/>
        </w:rPr>
        <w:t>%，与年</w:t>
      </w:r>
      <w:r>
        <w:rPr>
          <w:rFonts w:hint="eastAsia" w:ascii="方正仿宋_GBK" w:hAnsi="方正仿宋_GBK" w:eastAsia="方正仿宋_GBK" w:cs="方正仿宋_GBK"/>
          <w:b w:val="0"/>
          <w:bCs/>
          <w:kern w:val="0"/>
          <w:sz w:val="32"/>
          <w:szCs w:val="32"/>
          <w:shd w:val="clear" w:color="auto" w:fill="FFFFFF"/>
          <w:lang w:val="en-US" w:eastAsia="zh-CN"/>
        </w:rPr>
        <w:t>初预</w:t>
      </w:r>
      <w:r>
        <w:rPr>
          <w:rFonts w:hint="eastAsia" w:ascii="方正仿宋_GBK" w:hAnsi="方正仿宋_GBK" w:eastAsia="方正仿宋_GBK" w:cs="方正仿宋_GBK"/>
          <w:b w:val="0"/>
          <w:bCs/>
          <w:kern w:val="0"/>
          <w:sz w:val="32"/>
          <w:szCs w:val="32"/>
          <w:shd w:val="clear" w:color="auto" w:fill="FFFFFF"/>
        </w:rPr>
        <w:t>算数持平</w:t>
      </w:r>
      <w:r>
        <w:rPr>
          <w:rFonts w:hint="eastAsia" w:ascii="方正仿宋_GBK" w:hAnsi="方正仿宋_GBK" w:eastAsia="方正仿宋_GBK" w:cs="方正仿宋_GBK"/>
          <w:b w:val="0"/>
          <w:bCs/>
          <w:kern w:val="0"/>
          <w:sz w:val="32"/>
          <w:szCs w:val="32"/>
          <w:shd w:val="clear" w:color="auto" w:fill="FFFFFF"/>
          <w:lang w:eastAsia="zh-CN"/>
        </w:rPr>
        <w:t>，</w:t>
      </w:r>
      <w:r>
        <w:rPr>
          <w:rFonts w:hint="eastAsia" w:ascii="方正仿宋_GBK" w:hAnsi="方正仿宋_GBK" w:eastAsia="方正仿宋_GBK" w:cs="方正仿宋_GBK"/>
          <w:b w:val="0"/>
          <w:bCs/>
          <w:kern w:val="0"/>
          <w:sz w:val="32"/>
          <w:szCs w:val="32"/>
          <w:shd w:val="clear" w:color="auto" w:fill="FFFFFF"/>
        </w:rPr>
        <w:t>主要原因是本单位202</w:t>
      </w:r>
      <w:r>
        <w:rPr>
          <w:rFonts w:hint="eastAsia" w:ascii="方正仿宋_GBK" w:hAnsi="方正仿宋_GBK" w:eastAsia="方正仿宋_GBK" w:cs="方正仿宋_GBK"/>
          <w:b w:val="0"/>
          <w:bCs/>
          <w:kern w:val="0"/>
          <w:sz w:val="32"/>
          <w:szCs w:val="32"/>
          <w:shd w:val="clear" w:color="auto" w:fill="FFFFFF"/>
          <w:lang w:val="en-US" w:eastAsia="zh-CN"/>
        </w:rPr>
        <w:t>2</w:t>
      </w:r>
      <w:r>
        <w:rPr>
          <w:rFonts w:hint="eastAsia" w:ascii="方正仿宋_GBK" w:hAnsi="方正仿宋_GBK" w:eastAsia="方正仿宋_GBK" w:cs="方正仿宋_GBK"/>
          <w:b w:val="0"/>
          <w:bCs/>
          <w:kern w:val="0"/>
          <w:sz w:val="32"/>
          <w:szCs w:val="32"/>
          <w:shd w:val="clear" w:color="auto" w:fill="FFFFFF"/>
        </w:rPr>
        <w:t>年度未发生公务车运行费用。较上年支出数增加0.00万元，增长</w:t>
      </w:r>
      <w:r>
        <w:rPr>
          <w:rFonts w:hint="eastAsia" w:ascii="方正仿宋_GBK" w:hAnsi="方正仿宋_GBK" w:eastAsia="方正仿宋_GBK" w:cs="方正仿宋_GBK"/>
          <w:b w:val="0"/>
          <w:bCs/>
          <w:kern w:val="0"/>
          <w:sz w:val="32"/>
          <w:szCs w:val="32"/>
          <w:shd w:val="clear" w:color="auto" w:fill="FFFFFF"/>
          <w:lang w:val="en-US" w:eastAsia="zh-CN"/>
        </w:rPr>
        <w:t>0</w:t>
      </w:r>
      <w:r>
        <w:rPr>
          <w:rFonts w:hint="eastAsia" w:ascii="方正仿宋_GBK" w:hAnsi="方正仿宋_GBK" w:eastAsia="方正仿宋_GBK" w:cs="方正仿宋_GBK"/>
          <w:b w:val="0"/>
          <w:bCs/>
          <w:kern w:val="0"/>
          <w:sz w:val="32"/>
          <w:szCs w:val="32"/>
          <w:shd w:val="clear" w:color="auto" w:fill="FFFFFF"/>
        </w:rPr>
        <w:t>%，与上年决算数持平</w:t>
      </w:r>
      <w:r>
        <w:rPr>
          <w:rFonts w:hint="eastAsia" w:ascii="方正仿宋_GBK" w:hAnsi="方正仿宋_GBK" w:eastAsia="方正仿宋_GBK" w:cs="方正仿宋_GBK"/>
          <w:b w:val="0"/>
          <w:bCs/>
          <w:kern w:val="0"/>
          <w:sz w:val="32"/>
          <w:szCs w:val="32"/>
          <w:shd w:val="clear" w:color="auto" w:fill="FFFFFF"/>
          <w:lang w:eastAsia="zh-CN"/>
        </w:rPr>
        <w:t>，</w:t>
      </w:r>
      <w:r>
        <w:rPr>
          <w:rFonts w:hint="eastAsia" w:ascii="方正仿宋_GBK" w:hAnsi="方正仿宋_GBK" w:eastAsia="方正仿宋_GBK" w:cs="方正仿宋_GBK"/>
          <w:b w:val="0"/>
          <w:bCs/>
          <w:kern w:val="0"/>
          <w:sz w:val="32"/>
          <w:szCs w:val="32"/>
          <w:shd w:val="clear" w:color="auto" w:fill="FFFFFF"/>
        </w:rPr>
        <w:t>主要原因是本单位202</w:t>
      </w:r>
      <w:r>
        <w:rPr>
          <w:rFonts w:hint="eastAsia" w:ascii="方正仿宋_GBK" w:hAnsi="方正仿宋_GBK" w:eastAsia="方正仿宋_GBK" w:cs="方正仿宋_GBK"/>
          <w:b w:val="0"/>
          <w:bCs/>
          <w:kern w:val="0"/>
          <w:sz w:val="32"/>
          <w:szCs w:val="32"/>
          <w:shd w:val="clear" w:color="auto" w:fill="FFFFFF"/>
          <w:lang w:val="en-US" w:eastAsia="zh-CN"/>
        </w:rPr>
        <w:t>2</w:t>
      </w:r>
      <w:r>
        <w:rPr>
          <w:rFonts w:hint="eastAsia" w:ascii="方正仿宋_GBK" w:hAnsi="方正仿宋_GBK" w:eastAsia="方正仿宋_GBK" w:cs="方正仿宋_GBK"/>
          <w:b w:val="0"/>
          <w:bCs/>
          <w:kern w:val="0"/>
          <w:sz w:val="32"/>
          <w:szCs w:val="32"/>
          <w:shd w:val="clear" w:color="auto" w:fill="FFFFFF"/>
        </w:rPr>
        <w:t>年度未发生公务车运行费用。</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shd w:val="clear" w:color="auto" w:fill="FFFFFF"/>
        </w:rPr>
      </w:pPr>
      <w:r>
        <w:rPr>
          <w:rFonts w:hint="eastAsia" w:ascii="方正仿宋_GBK" w:hAnsi="方正仿宋_GBK" w:eastAsia="方正仿宋_GBK" w:cs="方正仿宋_GBK"/>
          <w:b w:val="0"/>
          <w:bCs/>
          <w:kern w:val="0"/>
          <w:sz w:val="32"/>
          <w:szCs w:val="32"/>
          <w:shd w:val="clear" w:color="auto" w:fill="FFFFFF"/>
        </w:rPr>
        <w:t>公务接待费1.80万元，主要用于接待接受相关部门检查指导工作发生的接待支出。费用支出较年初预算数减少0.10万元，下降5.3%，较上年支出数减少0.05万元，下降2.7%，主要原因是贯彻落实党中央关于厉行节约过“紧日子”的要求，压减支出。</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楷体_GBK" w:hAnsi="方正楷体_GBK" w:eastAsia="方正楷体_GBK" w:cs="方正楷体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（三）“三公”经费实物量情况。</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shd w:val="clear" w:color="auto" w:fill="FFFFFF"/>
        </w:rPr>
      </w:pPr>
      <w:r>
        <w:rPr>
          <w:rFonts w:hint="eastAsia" w:ascii="方正仿宋_GBK" w:hAnsi="方正仿宋_GBK" w:eastAsia="方正仿宋_GBK" w:cs="方正仿宋_GBK"/>
          <w:b w:val="0"/>
          <w:bCs/>
          <w:kern w:val="0"/>
          <w:sz w:val="32"/>
          <w:szCs w:val="32"/>
          <w:shd w:val="clear" w:color="auto" w:fill="FFFFFF"/>
        </w:rPr>
        <w:t>2022年度本部门因公出国（境）共计0个团组，0人；公务用车购置0辆，公务车保有量为0辆；国内公务接待20批次196人，其中：国内外事接待0批次，0人；国（境）外公务接待0批次，0人。2022年本部门人均接待费91.84元，车均购置费0.00万元，车均维护费0.00万元。</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黑体_GBK" w:hAnsi="方正黑体_GBK" w:eastAsia="方正黑体_GBK" w:cs="方正黑体_GBK"/>
          <w:b w:val="0"/>
          <w:bCs/>
          <w:kern w:val="0"/>
          <w:sz w:val="32"/>
          <w:szCs w:val="32"/>
        </w:rPr>
      </w:pPr>
      <w:r>
        <w:rPr>
          <w:rStyle w:val="19"/>
          <w:rFonts w:hint="eastAsia" w:ascii="方正黑体_GBK" w:hAnsi="方正黑体_GBK" w:eastAsia="方正黑体_GBK" w:cs="方正黑体_GBK"/>
          <w:b w:val="0"/>
          <w:bCs/>
          <w:sz w:val="32"/>
          <w:szCs w:val="32"/>
          <w:shd w:val="clear" w:color="auto" w:fill="FFFFFF"/>
        </w:rPr>
        <w:t>四、其他需要说明的事项</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（一）一般公共预算财政拨款会议费和培训费情况说明。</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rPr>
      </w:pPr>
      <w:r>
        <w:rPr>
          <w:rFonts w:hint="eastAsia" w:ascii="方正仿宋_GBK" w:hAnsi="方正仿宋_GBK" w:eastAsia="方正仿宋_GBK" w:cs="方正仿宋_GBK"/>
          <w:b w:val="0"/>
          <w:bCs/>
          <w:kern w:val="0"/>
          <w:sz w:val="32"/>
          <w:szCs w:val="32"/>
          <w:shd w:val="clear" w:color="auto" w:fill="FFFFFF"/>
        </w:rPr>
        <w:t>本年度会议费支出3.92万元，较上年决算数增加2.32万元，增长145%，主要原因是增加了基层科普会</w:t>
      </w:r>
      <w:r>
        <w:rPr>
          <w:rFonts w:hint="eastAsia" w:ascii="方正仿宋_GBK" w:hAnsi="方正仿宋_GBK" w:eastAsia="方正仿宋_GBK" w:cs="方正仿宋_GBK"/>
          <w:b w:val="0"/>
          <w:bCs/>
          <w:kern w:val="0"/>
          <w:sz w:val="32"/>
          <w:szCs w:val="32"/>
          <w:shd w:val="clear" w:color="auto" w:fill="FFFFFF"/>
          <w:lang w:eastAsia="zh-CN"/>
        </w:rPr>
        <w:t>、</w:t>
      </w:r>
      <w:r>
        <w:rPr>
          <w:rFonts w:hint="eastAsia" w:ascii="方正仿宋_GBK" w:hAnsi="方正仿宋_GBK" w:eastAsia="方正仿宋_GBK" w:cs="方正仿宋_GBK"/>
          <w:b w:val="0"/>
          <w:bCs/>
          <w:kern w:val="0"/>
          <w:sz w:val="32"/>
          <w:szCs w:val="32"/>
          <w:shd w:val="clear" w:color="auto" w:fill="FFFFFF"/>
          <w:lang w:val="en-US" w:eastAsia="zh-CN"/>
        </w:rPr>
        <w:t>第三届社科联换届大会</w:t>
      </w:r>
      <w:r>
        <w:rPr>
          <w:rFonts w:hint="eastAsia" w:ascii="方正仿宋_GBK" w:hAnsi="方正仿宋_GBK" w:eastAsia="方正仿宋_GBK" w:cs="方正仿宋_GBK"/>
          <w:b w:val="0"/>
          <w:bCs/>
          <w:kern w:val="0"/>
          <w:sz w:val="32"/>
          <w:szCs w:val="32"/>
          <w:shd w:val="clear" w:color="auto" w:fill="FFFFFF"/>
        </w:rPr>
        <w:t>。本年度培训费支出0.00万元，较上年决算数减少2.30万元，下降100%，主要原因是</w:t>
      </w:r>
      <w:r>
        <w:rPr>
          <w:rFonts w:hint="eastAsia" w:ascii="方正仿宋_GBK" w:hAnsi="方正仿宋_GBK" w:eastAsia="方正仿宋_GBK" w:cs="方正仿宋_GBK"/>
          <w:b w:val="0"/>
          <w:bCs/>
          <w:kern w:val="0"/>
          <w:sz w:val="32"/>
          <w:szCs w:val="32"/>
          <w:shd w:val="clear" w:color="auto" w:fill="FFFFFF"/>
          <w:lang w:val="en-US" w:eastAsia="zh-CN"/>
        </w:rPr>
        <w:t>未开展</w:t>
      </w:r>
      <w:r>
        <w:rPr>
          <w:rFonts w:hint="eastAsia" w:ascii="方正仿宋_GBK" w:hAnsi="方正仿宋_GBK" w:eastAsia="方正仿宋_GBK" w:cs="方正仿宋_GBK"/>
          <w:b w:val="0"/>
          <w:bCs/>
          <w:kern w:val="0"/>
          <w:sz w:val="32"/>
          <w:szCs w:val="32"/>
          <w:shd w:val="clear" w:color="auto" w:fill="FFFFFF"/>
        </w:rPr>
        <w:t>培训。</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楷体_GBK" w:hAnsi="方正楷体_GBK" w:eastAsia="方正楷体_GBK" w:cs="方正楷体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（二）机关运行经费情况说明。</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shd w:val="clear" w:color="auto" w:fill="FFFFFF"/>
        </w:rPr>
      </w:pPr>
      <w:r>
        <w:rPr>
          <w:rFonts w:hint="eastAsia" w:ascii="方正仿宋_GBK" w:hAnsi="方正仿宋_GBK" w:eastAsia="方正仿宋_GBK" w:cs="方正仿宋_GBK"/>
          <w:b w:val="0"/>
          <w:bCs/>
          <w:kern w:val="0"/>
          <w:sz w:val="32"/>
          <w:szCs w:val="32"/>
          <w:shd w:val="clear" w:color="auto" w:fill="FFFFFF"/>
        </w:rPr>
        <w:t>2022年度本部门机关运行经费支出16.59万元，机关运行经费主要用于开支办公费、印刷费、咨询费、手续费、邮电费、差旅费、劳务费、交通费等。机关运行经费较上年决算数减少3.49万元，下降17.4%，主要原因是贯彻落实党中央关于厉行节约过“紧日子”的要求，压减支出。</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楷体_GBK" w:hAnsi="方正楷体_GBK" w:eastAsia="方正楷体_GBK" w:cs="方正楷体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（三）国有资产占用情况说明。</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rPr>
      </w:pPr>
      <w:r>
        <w:rPr>
          <w:rFonts w:hint="eastAsia" w:ascii="方正仿宋_GBK" w:hAnsi="方正仿宋_GBK" w:eastAsia="方正仿宋_GBK" w:cs="方正仿宋_GBK"/>
          <w:b w:val="0"/>
          <w:bCs/>
          <w:kern w:val="0"/>
          <w:sz w:val="32"/>
          <w:szCs w:val="32"/>
          <w:shd w:val="clear" w:color="auto" w:fill="FFFFFF"/>
        </w:rPr>
        <w:t>截至202</w:t>
      </w:r>
      <w:r>
        <w:rPr>
          <w:rFonts w:hint="eastAsia" w:ascii="方正仿宋_GBK" w:hAnsi="方正仿宋_GBK" w:eastAsia="方正仿宋_GBK" w:cs="方正仿宋_GBK"/>
          <w:b w:val="0"/>
          <w:bCs/>
          <w:kern w:val="0"/>
          <w:sz w:val="32"/>
          <w:szCs w:val="32"/>
          <w:shd w:val="clear" w:color="auto" w:fill="FFFFFF"/>
          <w:lang w:val="en-US" w:eastAsia="zh-CN"/>
        </w:rPr>
        <w:t>2</w:t>
      </w:r>
      <w:r>
        <w:rPr>
          <w:rFonts w:hint="eastAsia" w:ascii="方正仿宋_GBK" w:hAnsi="方正仿宋_GBK" w:eastAsia="方正仿宋_GBK" w:cs="方正仿宋_GBK"/>
          <w:b w:val="0"/>
          <w:bCs/>
          <w:kern w:val="0"/>
          <w:sz w:val="32"/>
          <w:szCs w:val="32"/>
          <w:shd w:val="clear" w:color="auto" w:fill="FFFFFF"/>
        </w:rPr>
        <w:t>年12月31日，本部门共有车辆0辆，其中，副部（省）级及以上领导用车0辆、主要领导干部用车0辆、机要通信用车0辆、应急保障用车0辆、执法执勤用车0辆，特种专业技术用车0辆，离退休干部用车0辆，其他用车0辆。单价50万元（含）以上通用设备0台（套），单价100万元（含）以上专用设备0台（套）。</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楷体_GBK" w:hAnsi="方正楷体_GBK" w:eastAsia="方正楷体_GBK" w:cs="方正楷体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（四）政府采购支出情况说明。</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shd w:val="clear" w:color="auto" w:fill="FFFFFF"/>
        </w:rPr>
      </w:pPr>
      <w:r>
        <w:rPr>
          <w:rFonts w:hint="eastAsia" w:ascii="方正仿宋_GBK" w:hAnsi="方正仿宋_GBK" w:eastAsia="方正仿宋_GBK" w:cs="方正仿宋_GBK"/>
          <w:b w:val="0"/>
          <w:bCs/>
          <w:kern w:val="0"/>
          <w:sz w:val="32"/>
          <w:szCs w:val="32"/>
          <w:shd w:val="clear" w:color="auto" w:fill="FFFFFF"/>
        </w:rPr>
        <w:t>202</w:t>
      </w:r>
      <w:r>
        <w:rPr>
          <w:rFonts w:hint="eastAsia" w:ascii="方正仿宋_GBK" w:hAnsi="方正仿宋_GBK" w:eastAsia="方正仿宋_GBK" w:cs="方正仿宋_GBK"/>
          <w:b w:val="0"/>
          <w:bCs/>
          <w:kern w:val="0"/>
          <w:sz w:val="32"/>
          <w:szCs w:val="32"/>
          <w:shd w:val="clear" w:color="auto" w:fill="FFFFFF"/>
          <w:lang w:val="en-US" w:eastAsia="zh-CN"/>
        </w:rPr>
        <w:t>2</w:t>
      </w:r>
      <w:r>
        <w:rPr>
          <w:rFonts w:hint="eastAsia" w:ascii="方正仿宋_GBK" w:hAnsi="方正仿宋_GBK" w:eastAsia="方正仿宋_GBK" w:cs="方正仿宋_GBK"/>
          <w:b w:val="0"/>
          <w:bCs/>
          <w:kern w:val="0"/>
          <w:sz w:val="32"/>
          <w:szCs w:val="32"/>
          <w:shd w:val="clear" w:color="auto" w:fill="FFFFFF"/>
        </w:rPr>
        <w:t>年度我单位未发生政府采购事项，无相关经费支出。”</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黑体_GBK" w:hAnsi="方正黑体_GBK" w:eastAsia="方正黑体_GBK" w:cs="方正黑体_GBK"/>
          <w:b w:val="0"/>
          <w:bCs/>
          <w:kern w:val="0"/>
          <w:sz w:val="32"/>
          <w:szCs w:val="32"/>
        </w:rPr>
      </w:pPr>
      <w:r>
        <w:rPr>
          <w:rStyle w:val="19"/>
          <w:rFonts w:hint="eastAsia" w:ascii="方正黑体_GBK" w:hAnsi="方正黑体_GBK" w:eastAsia="方正黑体_GBK" w:cs="方正黑体_GBK"/>
          <w:b w:val="0"/>
          <w:bCs/>
          <w:sz w:val="32"/>
          <w:szCs w:val="32"/>
          <w:shd w:val="clear" w:color="auto" w:fill="FFFFFF"/>
        </w:rPr>
        <w:t>五、预算绩效管理情况说明</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Style w:val="19"/>
          <w:rFonts w:hint="eastAsia" w:ascii="方正楷体_GBK" w:hAnsi="方正楷体_GBK" w:eastAsia="方正楷体_GBK" w:cs="方正楷体_GBK"/>
          <w:b w:val="0"/>
          <w:bCs/>
          <w:sz w:val="32"/>
          <w:szCs w:val="32"/>
          <w:shd w:val="clear" w:color="auto" w:fill="FFFFFF"/>
        </w:rPr>
      </w:pPr>
      <w:r>
        <w:rPr>
          <w:rStyle w:val="19"/>
          <w:rFonts w:hint="eastAsia" w:ascii="方正楷体_GBK" w:hAnsi="方正楷体_GBK" w:eastAsia="方正楷体_GBK" w:cs="方正楷体_GBK"/>
          <w:b w:val="0"/>
          <w:bCs/>
          <w:sz w:val="32"/>
          <w:szCs w:val="32"/>
          <w:shd w:val="clear" w:color="auto" w:fill="FFFFFF"/>
        </w:rPr>
        <w:t>（一）预算绩效管理工作开展情况。</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Fonts w:hint="eastAsia" w:ascii="方正仿宋_GBK" w:hAnsi="方正仿宋_GBK" w:eastAsia="方正仿宋_GBK" w:cs="方正仿宋_GBK"/>
          <w:b w:val="0"/>
          <w:bCs/>
          <w:kern w:val="0"/>
          <w:sz w:val="32"/>
          <w:szCs w:val="32"/>
          <w:shd w:val="clear" w:color="auto" w:fill="FFFFFF"/>
        </w:rPr>
      </w:pPr>
      <w:r>
        <w:rPr>
          <w:rFonts w:hint="eastAsia" w:ascii="方正仿宋_GBK" w:hAnsi="方正仿宋_GBK" w:eastAsia="方正仿宋_GBK" w:cs="方正仿宋_GBK"/>
          <w:b w:val="0"/>
          <w:bCs/>
          <w:kern w:val="0"/>
          <w:sz w:val="32"/>
          <w:szCs w:val="32"/>
          <w:shd w:val="clear" w:color="auto" w:fill="FFFFFF"/>
        </w:rPr>
        <w:t>根据预算绩效管理要求，本单位对2021年度一般公共预算项目支出全面开展绩效自评，共计项目5个，涉及资金130.58万元；从评价情况来看，项目立项较为规范，绩效目标明确，预算编制合理，管理科学规范，资金到位及时，总体完成情况。</w:t>
      </w:r>
    </w:p>
    <w:p>
      <w:pPr>
        <w:pStyle w:val="25"/>
        <w:keepNext w:val="0"/>
        <w:keepLines w:val="0"/>
        <w:widowControl/>
        <w:suppressLineNumbers w:val="0"/>
        <w:autoSpaceDE w:val="0"/>
        <w:autoSpaceDN/>
        <w:spacing w:before="0" w:beforeAutospacing="0" w:after="0" w:afterAutospacing="0" w:line="606" w:lineRule="exact"/>
        <w:ind w:left="0" w:firstLine="640" w:firstLineChars="200"/>
        <w:jc w:val="both"/>
        <w:rPr>
          <w:rStyle w:val="19"/>
          <w:rFonts w:hint="eastAsia" w:ascii="方正楷体_GBK" w:hAnsi="方正楷体_GBK" w:eastAsia="方正楷体_GBK" w:cs="方正楷体_GBK"/>
          <w:b w:val="0"/>
          <w:bCs/>
          <w:sz w:val="32"/>
          <w:szCs w:val="32"/>
          <w:shd w:val="clear" w:color="auto" w:fill="FFFFFF"/>
        </w:rPr>
      </w:pPr>
      <w:r>
        <w:rPr>
          <w:rStyle w:val="19"/>
          <w:rFonts w:hint="eastAsia" w:ascii="方正楷体_GBK" w:hAnsi="方正楷体_GBK" w:eastAsia="方正楷体_GBK" w:cs="方正楷体_GBK"/>
          <w:b w:val="0"/>
          <w:bCs/>
          <w:sz w:val="32"/>
          <w:szCs w:val="32"/>
          <w:shd w:val="clear" w:color="auto" w:fill="FFFFFF"/>
        </w:rPr>
        <w:t>（二）绩效自评结果。</w:t>
      </w:r>
    </w:p>
    <w:p>
      <w:pPr>
        <w:pStyle w:val="25"/>
        <w:keepNext w:val="0"/>
        <w:keepLines w:val="0"/>
        <w:widowControl/>
        <w:suppressLineNumbers w:val="0"/>
        <w:autoSpaceDE w:val="0"/>
        <w:autoSpaceDN/>
        <w:spacing w:before="0" w:beforeAutospacing="0" w:after="0" w:afterAutospacing="0" w:line="594" w:lineRule="exact"/>
        <w:ind w:left="0" w:firstLine="640" w:firstLineChars="200"/>
        <w:jc w:val="both"/>
        <w:rPr>
          <w:rStyle w:val="19"/>
          <w:rFonts w:hint="eastAsia" w:ascii="方正仿宋_GBK" w:hAnsi="方正仿宋_GBK" w:eastAsia="方正仿宋_GBK" w:cs="方正仿宋_GBK"/>
          <w:b w:val="0"/>
          <w:bCs/>
          <w:sz w:val="32"/>
          <w:szCs w:val="32"/>
          <w:shd w:val="clear" w:color="auto" w:fill="FFFFFF"/>
        </w:rPr>
        <w:sectPr>
          <w:footerReference r:id="rId4" w:type="default"/>
          <w:pgSz w:w="11915" w:h="16851"/>
          <w:pgMar w:top="1440" w:right="1446" w:bottom="1440" w:left="1446" w:header="851" w:footer="992" w:gutter="0"/>
          <w:cols w:space="720" w:num="1"/>
          <w:docGrid w:type="lines" w:linePitch="312" w:charSpace="0"/>
        </w:sectPr>
      </w:pPr>
      <w:r>
        <w:rPr>
          <w:rStyle w:val="19"/>
          <w:rFonts w:hint="eastAsia" w:ascii="方正仿宋_GBK" w:hAnsi="方正仿宋_GBK" w:eastAsia="方正仿宋_GBK" w:cs="方正仿宋_GBK"/>
          <w:b w:val="0"/>
          <w:bCs/>
          <w:sz w:val="32"/>
          <w:szCs w:val="32"/>
          <w:shd w:val="clear" w:color="auto" w:fill="FFFFFF"/>
        </w:rPr>
        <w:t>1.绩效自评表。</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00"/>
        <w:gridCol w:w="1260"/>
        <w:gridCol w:w="1035"/>
        <w:gridCol w:w="1200"/>
        <w:gridCol w:w="1365"/>
        <w:gridCol w:w="720"/>
        <w:gridCol w:w="1185"/>
        <w:gridCol w:w="1080"/>
        <w:gridCol w:w="1065"/>
        <w:gridCol w:w="975"/>
        <w:gridCol w:w="1035"/>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13245"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40"/>
                <w:szCs w:val="40"/>
                <w:u w:val="none"/>
              </w:rPr>
            </w:pPr>
            <w:r>
              <w:rPr>
                <w:rFonts w:hint="eastAsia" w:ascii="微软雅黑" w:hAnsi="微软雅黑" w:eastAsia="微软雅黑" w:cs="微软雅黑"/>
                <w:b/>
                <w:i w:val="0"/>
                <w:color w:val="000000"/>
                <w:kern w:val="0"/>
                <w:sz w:val="40"/>
                <w:szCs w:val="40"/>
                <w:u w:val="none"/>
                <w:lang w:val="en-US" w:eastAsia="zh-CN" w:bidi="ar"/>
              </w:rPr>
              <w:t>2022年度二级项目绩效自评表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3245"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DA3232"/>
                <w:sz w:val="22"/>
                <w:szCs w:val="22"/>
                <w:u w:val="none"/>
              </w:rPr>
            </w:pPr>
            <w:r>
              <w:rPr>
                <w:rFonts w:hint="eastAsia" w:ascii="宋体" w:hAnsi="宋体" w:eastAsia="宋体" w:cs="宋体"/>
                <w:b/>
                <w:i w:val="0"/>
                <w:color w:val="DA3232"/>
                <w:kern w:val="0"/>
                <w:sz w:val="22"/>
                <w:szCs w:val="22"/>
                <w:u w:val="none"/>
                <w:lang w:val="en-US" w:eastAsia="zh-CN" w:bidi="ar"/>
              </w:rPr>
              <w:t>状态：绩效审核已审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2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社科基层工作项目</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项目编码：</w:t>
            </w:r>
          </w:p>
        </w:tc>
        <w:tc>
          <w:tcPr>
            <w:tcW w:w="20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50011122T000000137701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自评总分：</w:t>
            </w:r>
          </w:p>
        </w:tc>
        <w:tc>
          <w:tcPr>
            <w:tcW w:w="21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b/>
                <w:i w:val="0"/>
                <w:color w:val="000000"/>
                <w:sz w:val="18"/>
                <w:szCs w:val="18"/>
                <w:u w:val="none"/>
              </w:rPr>
            </w:pP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项目主管部门：</w:t>
            </w:r>
          </w:p>
        </w:tc>
        <w:tc>
          <w:tcPr>
            <w:tcW w:w="22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107-大足区委宣传部</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财政归口处室：</w:t>
            </w:r>
          </w:p>
        </w:tc>
        <w:tc>
          <w:tcPr>
            <w:tcW w:w="20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013-行财科</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部门联系人：</w:t>
            </w:r>
          </w:p>
        </w:tc>
        <w:tc>
          <w:tcPr>
            <w:tcW w:w="21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尹艳</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联系电话：</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13983861710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245"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8"/>
                <w:szCs w:val="18"/>
                <w:u w:val="none"/>
              </w:rPr>
            </w:pPr>
            <w:r>
              <w:rPr>
                <w:rFonts w:hint="eastAsia" w:ascii="微软雅黑" w:hAnsi="微软雅黑" w:eastAsia="微软雅黑" w:cs="微软雅黑"/>
                <w:b/>
                <w:i w:val="0"/>
                <w:color w:val="808080"/>
                <w:kern w:val="0"/>
                <w:sz w:val="18"/>
                <w:szCs w:val="18"/>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7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年初预算数</w:t>
            </w:r>
          </w:p>
        </w:tc>
        <w:tc>
          <w:tcPr>
            <w:tcW w:w="20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全年（调整）预算数</w:t>
            </w:r>
          </w:p>
        </w:tc>
        <w:tc>
          <w:tcPr>
            <w:tcW w:w="22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全年执行数</w:t>
            </w:r>
          </w:p>
        </w:tc>
        <w:tc>
          <w:tcPr>
            <w:tcW w:w="20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执行率</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执行率权重</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7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年度总金额</w:t>
            </w:r>
          </w:p>
        </w:tc>
        <w:tc>
          <w:tcPr>
            <w:tcW w:w="22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100,000.00 </w:t>
            </w:r>
          </w:p>
        </w:tc>
        <w:tc>
          <w:tcPr>
            <w:tcW w:w="20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80,000.00 </w:t>
            </w:r>
          </w:p>
        </w:tc>
        <w:tc>
          <w:tcPr>
            <w:tcW w:w="22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80,000.00 </w:t>
            </w:r>
          </w:p>
        </w:tc>
        <w:tc>
          <w:tcPr>
            <w:tcW w:w="20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7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22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100,000.00 </w:t>
            </w:r>
          </w:p>
        </w:tc>
        <w:tc>
          <w:tcPr>
            <w:tcW w:w="20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80,000.00 </w:t>
            </w:r>
          </w:p>
        </w:tc>
        <w:tc>
          <w:tcPr>
            <w:tcW w:w="22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80,000.00 </w:t>
            </w:r>
          </w:p>
        </w:tc>
        <w:tc>
          <w:tcPr>
            <w:tcW w:w="20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245"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8"/>
                <w:szCs w:val="18"/>
                <w:u w:val="none"/>
              </w:rPr>
            </w:pPr>
            <w:r>
              <w:rPr>
                <w:rFonts w:hint="eastAsia" w:ascii="微软雅黑" w:hAnsi="微软雅黑" w:eastAsia="微软雅黑" w:cs="微软雅黑"/>
                <w:b/>
                <w:i w:val="0"/>
                <w:color w:val="808080"/>
                <w:kern w:val="0"/>
                <w:sz w:val="18"/>
                <w:szCs w:val="18"/>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499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年初绩效目标</w:t>
            </w:r>
          </w:p>
        </w:tc>
        <w:tc>
          <w:tcPr>
            <w:tcW w:w="435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全年（调整）绩效目标</w:t>
            </w:r>
          </w:p>
        </w:tc>
        <w:tc>
          <w:tcPr>
            <w:tcW w:w="39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0" w:hRule="atLeast"/>
        </w:trPr>
        <w:tc>
          <w:tcPr>
            <w:tcW w:w="499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积极稳妥地发展社会科学学术团体和民办社会科学研究机构，培育社科普及基地，大力推进国家级、市级人文社科普及基地建设，培育命名一批区级人文社科普及基地，促进社科联组织和社科工作向高校、学区、网络等延伸。</w:t>
            </w:r>
          </w:p>
        </w:tc>
        <w:tc>
          <w:tcPr>
            <w:tcW w:w="435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积极稳妥地发展社会科学学术团体和民办社会科学研究机构，培育社科普及基地，大力推进国家级、市级人文社科普及基地建设，培育命名一批区级人文社科普及基地，促进社科联组织和社科工作向高校、学区、网络等延伸。</w:t>
            </w:r>
          </w:p>
        </w:tc>
        <w:tc>
          <w:tcPr>
            <w:tcW w:w="39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全部完成目标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245"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8"/>
                <w:szCs w:val="18"/>
                <w:u w:val="none"/>
              </w:rPr>
            </w:pPr>
            <w:r>
              <w:rPr>
                <w:rFonts w:hint="eastAsia" w:ascii="微软雅黑" w:hAnsi="微软雅黑" w:eastAsia="微软雅黑" w:cs="微软雅黑"/>
                <w:b/>
                <w:i w:val="0"/>
                <w:color w:val="808080"/>
                <w:kern w:val="0"/>
                <w:sz w:val="18"/>
                <w:szCs w:val="18"/>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指标名称</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计量单位</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指标性质</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全年完成值</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偏离度（%）</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得分系数（%）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指标权重</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指标得分</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是否核心指标</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说明</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承接上级部门专题系列活动</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场次</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举办三峡大讲坛昌州分讲堂</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场次</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社科普及活动</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场次</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印刷宣传资料</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份</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提升全区人民的社科知识理论素养</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bl>
    <w:p>
      <w:pPr>
        <w:pStyle w:val="25"/>
        <w:keepNext w:val="0"/>
        <w:keepLines w:val="0"/>
        <w:widowControl/>
        <w:suppressLineNumbers w:val="0"/>
        <w:autoSpaceDE w:val="0"/>
        <w:autoSpaceDN/>
        <w:spacing w:before="0" w:beforeAutospacing="0" w:after="0" w:afterAutospacing="0" w:line="594" w:lineRule="exact"/>
        <w:ind w:left="0" w:firstLine="640" w:firstLineChars="200"/>
        <w:jc w:val="both"/>
        <w:rPr>
          <w:rStyle w:val="19"/>
          <w:rFonts w:hint="eastAsia" w:ascii="方正仿宋_GBK" w:hAnsi="方正仿宋_GBK" w:eastAsia="方正仿宋_GBK" w:cs="方正仿宋_GBK"/>
          <w:b w:val="0"/>
          <w:bCs/>
          <w:sz w:val="32"/>
          <w:szCs w:val="32"/>
          <w:shd w:val="clear" w:color="auto" w:fill="FFFFFF"/>
        </w:rPr>
        <w:sectPr>
          <w:pgSz w:w="16851" w:h="11915" w:orient="landscape"/>
          <w:pgMar w:top="1446" w:right="1440" w:bottom="1446" w:left="1440" w:header="851" w:footer="992" w:gutter="0"/>
          <w:cols w:space="720" w:num="1"/>
          <w:docGrid w:type="lines" w:linePitch="312" w:charSpace="0"/>
        </w:sectPr>
      </w:pPr>
    </w:p>
    <w:p>
      <w:pPr>
        <w:pStyle w:val="25"/>
        <w:keepNext w:val="0"/>
        <w:keepLines w:val="0"/>
        <w:widowControl/>
        <w:suppressLineNumbers w:val="0"/>
        <w:autoSpaceDE w:val="0"/>
        <w:autoSpaceDN/>
        <w:spacing w:before="0" w:beforeAutospacing="0" w:after="0" w:afterAutospacing="0" w:line="594" w:lineRule="exact"/>
        <w:ind w:firstLine="640" w:firstLineChars="200"/>
        <w:jc w:val="both"/>
        <w:rPr>
          <w:rFonts w:hint="eastAsia" w:ascii="方正仿宋_GBK" w:hAnsi="方正仿宋_GBK" w:eastAsia="方正仿宋_GBK" w:cs="方正仿宋_GBK"/>
          <w:b w:val="0"/>
          <w:bCs/>
          <w:kern w:val="0"/>
          <w:sz w:val="32"/>
          <w:szCs w:val="32"/>
          <w:shd w:val="clear" w:color="auto" w:fill="FFFFFF"/>
        </w:rPr>
      </w:pPr>
      <w:r>
        <w:rPr>
          <w:rStyle w:val="19"/>
          <w:rFonts w:hint="eastAsia" w:ascii="方正仿宋_GBK" w:hAnsi="方正仿宋_GBK" w:eastAsia="方正仿宋_GBK" w:cs="方正仿宋_GBK"/>
          <w:b w:val="0"/>
          <w:bCs/>
          <w:sz w:val="32"/>
          <w:szCs w:val="32"/>
          <w:shd w:val="clear" w:color="auto" w:fill="FFFFFF"/>
        </w:rPr>
        <w:t>2.绩效自评报告或案例。</w:t>
      </w:r>
    </w:p>
    <w:p>
      <w:pPr>
        <w:pStyle w:val="25"/>
        <w:keepNext w:val="0"/>
        <w:keepLines w:val="0"/>
        <w:widowControl/>
        <w:suppressLineNumbers w:val="0"/>
        <w:autoSpaceDE w:val="0"/>
        <w:autoSpaceDN/>
        <w:spacing w:before="0" w:beforeAutospacing="0" w:after="0" w:afterAutospacing="0" w:line="594" w:lineRule="exact"/>
        <w:ind w:left="0" w:firstLine="640" w:firstLineChars="200"/>
        <w:jc w:val="both"/>
        <w:rPr>
          <w:rFonts w:hint="eastAsia" w:ascii="方正仿宋_GBK" w:hAnsi="方正仿宋_GBK" w:eastAsia="方正仿宋_GBK" w:cs="方正仿宋_GBK"/>
          <w:b w:val="0"/>
          <w:bCs/>
          <w:kern w:val="0"/>
          <w:sz w:val="32"/>
          <w:szCs w:val="32"/>
          <w:shd w:val="clear" w:color="auto" w:fill="FFFFFF"/>
        </w:rPr>
      </w:pPr>
      <w:r>
        <w:rPr>
          <w:rStyle w:val="19"/>
          <w:rFonts w:hint="eastAsia" w:ascii="方正仿宋_GBK" w:hAnsi="方正仿宋_GBK" w:eastAsia="方正仿宋_GBK" w:cs="方正仿宋_GBK"/>
          <w:b w:val="0"/>
          <w:bCs/>
          <w:sz w:val="32"/>
          <w:szCs w:val="32"/>
          <w:shd w:val="clear" w:color="auto" w:fill="FFFFFF"/>
        </w:rPr>
        <w:t>没有委托第三方开展绩效评价。</w:t>
      </w:r>
    </w:p>
    <w:p>
      <w:pPr>
        <w:pStyle w:val="25"/>
        <w:keepNext w:val="0"/>
        <w:keepLines w:val="0"/>
        <w:widowControl/>
        <w:suppressLineNumbers w:val="0"/>
        <w:autoSpaceDE w:val="0"/>
        <w:autoSpaceDN/>
        <w:spacing w:before="0" w:beforeAutospacing="0" w:after="0" w:afterAutospacing="0" w:line="594" w:lineRule="exact"/>
        <w:ind w:left="0" w:firstLine="640" w:firstLineChars="200"/>
        <w:jc w:val="both"/>
        <w:rPr>
          <w:rFonts w:hint="eastAsia" w:ascii="方正仿宋_GBK" w:hAnsi="方正仿宋_GBK" w:eastAsia="方正仿宋_GBK" w:cs="方正仿宋_GBK"/>
          <w:b w:val="0"/>
          <w:bCs/>
          <w:kern w:val="0"/>
          <w:sz w:val="32"/>
          <w:szCs w:val="32"/>
        </w:rPr>
      </w:pPr>
      <w:r>
        <w:rPr>
          <w:rStyle w:val="19"/>
          <w:rFonts w:hint="eastAsia" w:ascii="方正仿宋_GBK" w:hAnsi="方正仿宋_GBK" w:eastAsia="方正仿宋_GBK" w:cs="方正仿宋_GBK"/>
          <w:b w:val="0"/>
          <w:bCs/>
          <w:sz w:val="32"/>
          <w:szCs w:val="32"/>
          <w:shd w:val="clear" w:color="auto" w:fill="FFFFFF"/>
        </w:rPr>
        <w:t>3.关于绩效自评结果的说明。</w:t>
      </w:r>
    </w:p>
    <w:p>
      <w:pPr>
        <w:pStyle w:val="25"/>
        <w:keepNext w:val="0"/>
        <w:keepLines w:val="0"/>
        <w:widowControl/>
        <w:suppressLineNumbers w:val="0"/>
        <w:autoSpaceDE w:val="0"/>
        <w:autoSpaceDN/>
        <w:spacing w:before="0" w:beforeAutospacing="0" w:after="0" w:afterAutospacing="0" w:line="594" w:lineRule="exact"/>
        <w:ind w:left="0" w:firstLine="640" w:firstLineChars="200"/>
        <w:jc w:val="both"/>
        <w:rPr>
          <w:rFonts w:hint="eastAsia" w:ascii="方正仿宋_GBK" w:hAnsi="宋体" w:eastAsia="方正仿宋_GBK" w:cs="宋体"/>
          <w:kern w:val="0"/>
          <w:sz w:val="32"/>
          <w:szCs w:val="32"/>
        </w:rPr>
      </w:pPr>
      <w:r>
        <w:rPr>
          <w:rFonts w:hint="eastAsia" w:ascii="方正仿宋_GBK" w:hAnsi="方正仿宋_GBK" w:eastAsia="方正仿宋_GBK" w:cs="方正仿宋_GBK"/>
          <w:kern w:val="0"/>
          <w:sz w:val="32"/>
          <w:szCs w:val="32"/>
        </w:rPr>
        <w:t>认真开展预算绩效管理工作，强化资金管理，切实提高资金使用效益，圆满完成年度绩效目标。</w:t>
      </w:r>
    </w:p>
    <w:p>
      <w:pPr>
        <w:pStyle w:val="25"/>
        <w:keepNext w:val="0"/>
        <w:keepLines w:val="0"/>
        <w:widowControl/>
        <w:suppressLineNumbers w:val="0"/>
        <w:autoSpaceDE w:val="0"/>
        <w:autoSpaceDN/>
        <w:spacing w:before="0" w:beforeAutospacing="0" w:after="0" w:afterAutospacing="0" w:line="594" w:lineRule="exact"/>
        <w:ind w:left="0" w:firstLine="640" w:firstLineChars="200"/>
        <w:jc w:val="both"/>
        <w:rPr>
          <w:rFonts w:hint="eastAsia" w:ascii="方正楷体_GBK" w:hAnsi="方正楷体_GBK" w:eastAsia="方正楷体_GBK" w:cs="方正楷体_GBK"/>
          <w:b w:val="0"/>
          <w:bCs/>
          <w:kern w:val="0"/>
          <w:sz w:val="32"/>
          <w:szCs w:val="32"/>
          <w:shd w:val="clear" w:color="auto" w:fill="FFFFFF"/>
        </w:rPr>
      </w:pPr>
      <w:r>
        <w:rPr>
          <w:rStyle w:val="19"/>
          <w:rFonts w:hint="eastAsia" w:ascii="方正楷体_GBK" w:hAnsi="方正楷体_GBK" w:eastAsia="方正楷体_GBK" w:cs="方正楷体_GBK"/>
          <w:b w:val="0"/>
          <w:bCs/>
          <w:sz w:val="32"/>
          <w:szCs w:val="32"/>
          <w:shd w:val="clear" w:color="auto" w:fill="FFFFFF"/>
        </w:rPr>
        <w:t>（三）重点绩效评价结果。</w:t>
      </w:r>
    </w:p>
    <w:p>
      <w:pPr>
        <w:pStyle w:val="25"/>
        <w:keepNext w:val="0"/>
        <w:keepLines w:val="0"/>
        <w:widowControl/>
        <w:suppressLineNumbers w:val="0"/>
        <w:autoSpaceDE w:val="0"/>
        <w:autoSpaceDN/>
        <w:spacing w:before="0" w:beforeAutospacing="0" w:after="0" w:afterAutospacing="0" w:line="594" w:lineRule="exact"/>
        <w:ind w:left="0" w:firstLine="640" w:firstLineChars="200"/>
        <w:jc w:val="both"/>
        <w:rPr>
          <w:rFonts w:hint="eastAsia" w:ascii="方正仿宋_GBK" w:hAnsi="方正仿宋_GBK" w:eastAsia="方正仿宋_GBK" w:cs="方正仿宋_GBK"/>
          <w:b w:val="0"/>
          <w:bCs/>
          <w:kern w:val="0"/>
          <w:sz w:val="32"/>
          <w:szCs w:val="32"/>
          <w:shd w:val="clear" w:color="auto" w:fill="FFFFFF"/>
        </w:rPr>
      </w:pPr>
      <w:r>
        <w:rPr>
          <w:rStyle w:val="19"/>
          <w:rFonts w:hint="eastAsia" w:ascii="方正仿宋_GBK" w:hAnsi="方正仿宋_GBK" w:eastAsia="方正仿宋_GBK" w:cs="方正仿宋_GBK"/>
          <w:b w:val="0"/>
          <w:bCs/>
          <w:sz w:val="32"/>
          <w:szCs w:val="32"/>
          <w:shd w:val="clear" w:color="auto" w:fill="FFFFFF"/>
        </w:rPr>
        <w:t>区财政局没有委托第三方对部门政策或项目开展重点绩效评价。</w:t>
      </w:r>
    </w:p>
    <w:p>
      <w:pPr>
        <w:pStyle w:val="25"/>
        <w:keepNext w:val="0"/>
        <w:keepLines w:val="0"/>
        <w:widowControl/>
        <w:suppressLineNumbers w:val="0"/>
        <w:autoSpaceDE w:val="0"/>
        <w:autoSpaceDN/>
        <w:spacing w:before="0" w:beforeAutospacing="0" w:after="0" w:afterAutospacing="0" w:line="594" w:lineRule="exact"/>
        <w:ind w:left="0" w:firstLine="640" w:firstLineChars="200"/>
        <w:jc w:val="both"/>
        <w:rPr>
          <w:rFonts w:hint="eastAsia" w:ascii="方正黑体_GBK" w:hAnsi="方正黑体_GBK" w:eastAsia="方正黑体_GBK" w:cs="方正黑体_GBK"/>
          <w:b w:val="0"/>
          <w:bCs/>
          <w:kern w:val="0"/>
          <w:sz w:val="32"/>
          <w:szCs w:val="32"/>
        </w:rPr>
      </w:pPr>
      <w:r>
        <w:rPr>
          <w:rStyle w:val="19"/>
          <w:rFonts w:hint="eastAsia" w:ascii="方正黑体_GBK" w:hAnsi="方正黑体_GBK" w:eastAsia="方正黑体_GBK" w:cs="方正黑体_GBK"/>
          <w:b w:val="0"/>
          <w:bCs/>
          <w:sz w:val="32"/>
          <w:szCs w:val="32"/>
          <w:shd w:val="clear" w:color="auto" w:fill="FFFFFF"/>
        </w:rPr>
        <w:t>六、专业名词解释</w:t>
      </w:r>
    </w:p>
    <w:p>
      <w:pPr>
        <w:pStyle w:val="25"/>
        <w:keepNext w:val="0"/>
        <w:keepLines w:val="0"/>
        <w:widowControl/>
        <w:suppressLineNumbers w:val="0"/>
        <w:autoSpaceDE w:val="0"/>
        <w:autoSpaceDN/>
        <w:spacing w:before="0" w:beforeAutospacing="0" w:after="0" w:afterAutospacing="0" w:line="594" w:lineRule="exact"/>
        <w:ind w:left="0" w:firstLine="640" w:firstLineChars="200"/>
        <w:jc w:val="both"/>
        <w:rPr>
          <w:rFonts w:hint="eastAsia" w:ascii="方正仿宋_GBK" w:hAnsi="方正仿宋_GBK" w:eastAsia="方正仿宋_GBK" w:cs="方正仿宋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（一）财政拨款收入</w:t>
      </w:r>
      <w:r>
        <w:rPr>
          <w:rFonts w:hint="eastAsia" w:ascii="方正楷体_GBK" w:hAnsi="方正楷体_GBK" w:eastAsia="方正楷体_GBK" w:cs="方正楷体_GBK"/>
          <w:b w:val="0"/>
          <w:bCs/>
          <w:kern w:val="0"/>
          <w:sz w:val="32"/>
          <w:szCs w:val="32"/>
          <w:shd w:val="clear" w:color="auto" w:fill="FFFFFF"/>
        </w:rPr>
        <w:t>：</w:t>
      </w:r>
      <w:r>
        <w:rPr>
          <w:rFonts w:hint="eastAsia" w:ascii="方正仿宋_GBK" w:hAnsi="方正仿宋_GBK" w:eastAsia="方正仿宋_GBK" w:cs="方正仿宋_GBK"/>
          <w:b w:val="0"/>
          <w:bCs/>
          <w:kern w:val="0"/>
          <w:sz w:val="32"/>
          <w:szCs w:val="32"/>
          <w:shd w:val="clear" w:color="auto" w:fill="FFFFFF"/>
        </w:rPr>
        <w:t>指本年度从本级财政部门取得的财政拨款，包括一般公共预算财政拨款和政府性基金预算财政拨款。</w:t>
      </w:r>
    </w:p>
    <w:p>
      <w:pPr>
        <w:pStyle w:val="25"/>
        <w:keepNext w:val="0"/>
        <w:keepLines w:val="0"/>
        <w:widowControl/>
        <w:suppressLineNumbers w:val="0"/>
        <w:autoSpaceDE w:val="0"/>
        <w:autoSpaceDN/>
        <w:spacing w:before="0" w:beforeAutospacing="0" w:after="0" w:afterAutospacing="0" w:line="594" w:lineRule="exact"/>
        <w:ind w:left="0" w:firstLine="640" w:firstLineChars="200"/>
        <w:jc w:val="both"/>
        <w:rPr>
          <w:rFonts w:hint="eastAsia" w:ascii="方正仿宋_GBK" w:hAnsi="方正仿宋_GBK" w:eastAsia="方正仿宋_GBK" w:cs="方正仿宋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（二）事业收入：</w:t>
      </w:r>
      <w:r>
        <w:rPr>
          <w:rFonts w:hint="eastAsia" w:ascii="方正仿宋_GBK" w:hAnsi="方正仿宋_GBK" w:eastAsia="方正仿宋_GBK" w:cs="方正仿宋_GBK"/>
          <w:b w:val="0"/>
          <w:bCs/>
          <w:kern w:val="0"/>
          <w:sz w:val="32"/>
          <w:szCs w:val="32"/>
          <w:shd w:val="clear" w:color="auto" w:fill="FFFFFF"/>
        </w:rPr>
        <w:t>指事业单位开展专业业务活动及其辅助活动取得的现金流入；事业单位收到的财政专户实际核拨的教育收费等资金在此反映。</w:t>
      </w:r>
    </w:p>
    <w:p>
      <w:pPr>
        <w:pStyle w:val="25"/>
        <w:keepNext w:val="0"/>
        <w:keepLines w:val="0"/>
        <w:widowControl/>
        <w:suppressLineNumbers w:val="0"/>
        <w:autoSpaceDE w:val="0"/>
        <w:autoSpaceDN/>
        <w:spacing w:before="0" w:beforeAutospacing="0" w:after="0" w:afterAutospacing="0" w:line="594" w:lineRule="exact"/>
        <w:ind w:left="0" w:firstLine="640" w:firstLineChars="200"/>
        <w:jc w:val="both"/>
        <w:rPr>
          <w:rFonts w:hint="eastAsia" w:ascii="方正仿宋_GBK" w:hAnsi="方正仿宋_GBK" w:eastAsia="方正仿宋_GBK" w:cs="方正仿宋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（三）经营收入：</w:t>
      </w:r>
      <w:r>
        <w:rPr>
          <w:rFonts w:hint="eastAsia" w:ascii="方正仿宋_GBK" w:hAnsi="方正仿宋_GBK" w:eastAsia="方正仿宋_GBK" w:cs="方正仿宋_GBK"/>
          <w:b w:val="0"/>
          <w:bCs/>
          <w:kern w:val="0"/>
          <w:sz w:val="32"/>
          <w:szCs w:val="32"/>
          <w:shd w:val="clear" w:color="auto" w:fill="FFFFFF"/>
        </w:rPr>
        <w:t>指事业单位在专业业务活动及其辅助活动之外开展非独立核算经营活动取得的现金流入。</w:t>
      </w:r>
    </w:p>
    <w:p>
      <w:pPr>
        <w:pStyle w:val="25"/>
        <w:keepNext w:val="0"/>
        <w:keepLines w:val="0"/>
        <w:widowControl/>
        <w:suppressLineNumbers w:val="0"/>
        <w:autoSpaceDE w:val="0"/>
        <w:autoSpaceDN/>
        <w:spacing w:before="0" w:beforeAutospacing="0" w:after="0" w:afterAutospacing="0" w:line="594" w:lineRule="exact"/>
        <w:ind w:left="0" w:firstLine="640" w:firstLineChars="200"/>
        <w:jc w:val="both"/>
        <w:rPr>
          <w:rFonts w:hint="eastAsia" w:ascii="方正仿宋_GBK" w:hAnsi="方正仿宋_GBK" w:eastAsia="方正仿宋_GBK" w:cs="方正仿宋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（四）其他收入：</w:t>
      </w:r>
      <w:r>
        <w:rPr>
          <w:rFonts w:hint="eastAsia" w:ascii="方正仿宋_GBK" w:hAnsi="方正仿宋_GBK" w:eastAsia="方正仿宋_GBK" w:cs="方正仿宋_GBK"/>
          <w:b w:val="0"/>
          <w:bCs/>
          <w:kern w:val="0"/>
          <w:sz w:val="32"/>
          <w:szCs w:val="32"/>
          <w:shd w:val="clear" w:color="auto"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5"/>
        <w:keepNext w:val="0"/>
        <w:keepLines w:val="0"/>
        <w:widowControl/>
        <w:suppressLineNumbers w:val="0"/>
        <w:autoSpaceDE w:val="0"/>
        <w:autoSpaceDN/>
        <w:spacing w:before="0" w:beforeAutospacing="0" w:after="0" w:afterAutospacing="0" w:line="594" w:lineRule="exact"/>
        <w:ind w:left="0" w:firstLine="640" w:firstLineChars="200"/>
        <w:jc w:val="both"/>
        <w:rPr>
          <w:rFonts w:hint="eastAsia" w:ascii="方正仿宋_GBK" w:hAnsi="方正仿宋_GBK" w:eastAsia="方正仿宋_GBK" w:cs="方正仿宋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（五）使用非财政拨款结余：</w:t>
      </w:r>
      <w:r>
        <w:rPr>
          <w:rFonts w:hint="eastAsia" w:ascii="方正仿宋_GBK" w:hAnsi="方正仿宋_GBK" w:eastAsia="方正仿宋_GBK" w:cs="方正仿宋_GBK"/>
          <w:b w:val="0"/>
          <w:bCs/>
          <w:kern w:val="0"/>
          <w:sz w:val="32"/>
          <w:szCs w:val="32"/>
          <w:shd w:val="clear" w:color="auto" w:fill="FFFFFF"/>
        </w:rPr>
        <w:t>指单位在当年的“财政拨款收入”、“事业收入”、“经营收入”、“其他收入”等不足以安排当年支出的情况下，使用以前年度积累的非财政拨款结余弥补本年度收支缺口的资金。</w:t>
      </w:r>
    </w:p>
    <w:p>
      <w:pPr>
        <w:pStyle w:val="25"/>
        <w:keepNext w:val="0"/>
        <w:keepLines w:val="0"/>
        <w:widowControl/>
        <w:suppressLineNumbers w:val="0"/>
        <w:autoSpaceDE w:val="0"/>
        <w:autoSpaceDN/>
        <w:spacing w:before="0" w:beforeAutospacing="0" w:after="0" w:afterAutospacing="0" w:line="594" w:lineRule="exact"/>
        <w:ind w:left="0" w:firstLine="640" w:firstLineChars="200"/>
        <w:jc w:val="both"/>
        <w:rPr>
          <w:rFonts w:hint="eastAsia" w:ascii="方正仿宋_GBK" w:hAnsi="方正仿宋_GBK" w:eastAsia="方正仿宋_GBK" w:cs="方正仿宋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（六）年初结转和结余：</w:t>
      </w:r>
      <w:r>
        <w:rPr>
          <w:rFonts w:hint="eastAsia" w:ascii="方正仿宋_GBK" w:hAnsi="方正仿宋_GBK" w:eastAsia="方正仿宋_GBK" w:cs="方正仿宋_GBK"/>
          <w:b w:val="0"/>
          <w:bCs/>
          <w:kern w:val="0"/>
          <w:sz w:val="32"/>
          <w:szCs w:val="32"/>
          <w:shd w:val="clear" w:color="auto" w:fill="FFFFFF"/>
        </w:rPr>
        <w:t>指单位上年结转本年使用的基本支出结转、项目支出结转和结余、经营结余。</w:t>
      </w:r>
    </w:p>
    <w:p>
      <w:pPr>
        <w:pStyle w:val="25"/>
        <w:keepNext w:val="0"/>
        <w:keepLines w:val="0"/>
        <w:widowControl/>
        <w:suppressLineNumbers w:val="0"/>
        <w:autoSpaceDE w:val="0"/>
        <w:autoSpaceDN/>
        <w:spacing w:before="0" w:beforeAutospacing="0" w:after="0" w:afterAutospacing="0" w:line="594" w:lineRule="exact"/>
        <w:ind w:left="0" w:firstLine="640" w:firstLineChars="200"/>
        <w:jc w:val="both"/>
        <w:rPr>
          <w:rFonts w:hint="eastAsia" w:ascii="方正仿宋_GBK" w:hAnsi="方正仿宋_GBK" w:eastAsia="方正仿宋_GBK" w:cs="方正仿宋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（七）结余分配：</w:t>
      </w:r>
      <w:r>
        <w:rPr>
          <w:rFonts w:hint="eastAsia" w:ascii="方正仿宋_GBK" w:hAnsi="方正仿宋_GBK" w:eastAsia="方正仿宋_GBK" w:cs="方正仿宋_GBK"/>
          <w:b w:val="0"/>
          <w:bCs/>
          <w:kern w:val="0"/>
          <w:sz w:val="32"/>
          <w:szCs w:val="32"/>
          <w:shd w:val="clear" w:color="auto" w:fill="FFFFFF"/>
        </w:rPr>
        <w:t>指单位按照国家有关规定，缴纳所得税、提取专用基金、转入非财政拨款结余等当年结余的分配情况。</w:t>
      </w:r>
    </w:p>
    <w:p>
      <w:pPr>
        <w:pStyle w:val="25"/>
        <w:keepNext w:val="0"/>
        <w:keepLines w:val="0"/>
        <w:widowControl/>
        <w:suppressLineNumbers w:val="0"/>
        <w:autoSpaceDE w:val="0"/>
        <w:autoSpaceDN/>
        <w:spacing w:before="0" w:beforeAutospacing="0" w:after="0" w:afterAutospacing="0" w:line="594" w:lineRule="exact"/>
        <w:ind w:left="0" w:firstLine="640" w:firstLineChars="200"/>
        <w:jc w:val="both"/>
        <w:rPr>
          <w:rFonts w:hint="eastAsia" w:ascii="方正仿宋_GBK" w:hAnsi="方正仿宋_GBK" w:eastAsia="方正仿宋_GBK" w:cs="方正仿宋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（八）年末结转和结余：</w:t>
      </w:r>
      <w:r>
        <w:rPr>
          <w:rFonts w:hint="eastAsia" w:ascii="方正仿宋_GBK" w:hAnsi="方正仿宋_GBK" w:eastAsia="方正仿宋_GBK" w:cs="方正仿宋_GBK"/>
          <w:b w:val="0"/>
          <w:bCs/>
          <w:kern w:val="0"/>
          <w:sz w:val="32"/>
          <w:szCs w:val="32"/>
          <w:shd w:val="clear" w:color="auto" w:fill="FFFFFF"/>
        </w:rPr>
        <w:t>指单位结转下年的基本支出结转、项目支出结转和结余、经营结余。</w:t>
      </w:r>
    </w:p>
    <w:p>
      <w:pPr>
        <w:pStyle w:val="25"/>
        <w:keepNext w:val="0"/>
        <w:keepLines w:val="0"/>
        <w:widowControl/>
        <w:suppressLineNumbers w:val="0"/>
        <w:autoSpaceDE w:val="0"/>
        <w:autoSpaceDN/>
        <w:spacing w:before="0" w:beforeAutospacing="0" w:after="0" w:afterAutospacing="0" w:line="594" w:lineRule="exact"/>
        <w:ind w:left="0" w:firstLine="640" w:firstLineChars="200"/>
        <w:jc w:val="both"/>
        <w:rPr>
          <w:rFonts w:hint="eastAsia" w:ascii="方正仿宋_GBK" w:hAnsi="方正仿宋_GBK" w:eastAsia="方正仿宋_GBK" w:cs="方正仿宋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（九）基本支出：</w:t>
      </w:r>
      <w:r>
        <w:rPr>
          <w:rFonts w:hint="eastAsia" w:ascii="方正仿宋_GBK" w:hAnsi="方正仿宋_GBK" w:eastAsia="方正仿宋_GBK" w:cs="方正仿宋_GBK"/>
          <w:b w:val="0"/>
          <w:bCs/>
          <w:kern w:val="0"/>
          <w:sz w:val="32"/>
          <w:szCs w:val="32"/>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5"/>
        <w:keepNext w:val="0"/>
        <w:keepLines w:val="0"/>
        <w:widowControl/>
        <w:suppressLineNumbers w:val="0"/>
        <w:autoSpaceDE w:val="0"/>
        <w:autoSpaceDN/>
        <w:spacing w:before="0" w:beforeAutospacing="0" w:after="0" w:afterAutospacing="0" w:line="594" w:lineRule="exact"/>
        <w:ind w:left="0" w:firstLine="640" w:firstLineChars="200"/>
        <w:jc w:val="both"/>
        <w:rPr>
          <w:rFonts w:hint="eastAsia" w:ascii="方正仿宋_GBK" w:hAnsi="方正仿宋_GBK" w:eastAsia="方正仿宋_GBK" w:cs="方正仿宋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（十）项目支出：</w:t>
      </w:r>
      <w:r>
        <w:rPr>
          <w:rFonts w:hint="eastAsia" w:ascii="方正仿宋_GBK" w:hAnsi="方正仿宋_GBK" w:eastAsia="方正仿宋_GBK" w:cs="方正仿宋_GBK"/>
          <w:b w:val="0"/>
          <w:bCs/>
          <w:kern w:val="0"/>
          <w:sz w:val="32"/>
          <w:szCs w:val="32"/>
          <w:shd w:val="clear" w:color="auto" w:fill="FFFFFF"/>
        </w:rPr>
        <w:t>指在基本支出之外为完成特定行政任务和事业发展目标所发生的支出。</w:t>
      </w:r>
    </w:p>
    <w:p>
      <w:pPr>
        <w:pStyle w:val="25"/>
        <w:keepNext w:val="0"/>
        <w:keepLines w:val="0"/>
        <w:widowControl/>
        <w:suppressLineNumbers w:val="0"/>
        <w:autoSpaceDE w:val="0"/>
        <w:autoSpaceDN/>
        <w:spacing w:before="0" w:beforeAutospacing="0" w:after="0" w:afterAutospacing="0" w:line="594" w:lineRule="exact"/>
        <w:ind w:left="0" w:firstLine="640" w:firstLineChars="200"/>
        <w:jc w:val="both"/>
        <w:rPr>
          <w:rFonts w:hint="eastAsia" w:ascii="方正仿宋_GBK" w:hAnsi="方正仿宋_GBK" w:eastAsia="方正仿宋_GBK" w:cs="方正仿宋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（十一）经营支出：</w:t>
      </w:r>
      <w:r>
        <w:rPr>
          <w:rFonts w:hint="eastAsia" w:ascii="方正仿宋_GBK" w:hAnsi="方正仿宋_GBK" w:eastAsia="方正仿宋_GBK" w:cs="方正仿宋_GBK"/>
          <w:b w:val="0"/>
          <w:bCs/>
          <w:kern w:val="0"/>
          <w:sz w:val="32"/>
          <w:szCs w:val="32"/>
          <w:shd w:val="clear" w:color="auto" w:fill="FFFFFF"/>
        </w:rPr>
        <w:t>指事业单位在专业业务活动及其辅助活动之外开展非独立核算经营活动发生的支出。</w:t>
      </w:r>
    </w:p>
    <w:p>
      <w:pPr>
        <w:pStyle w:val="2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4" w:lineRule="exact"/>
        <w:ind w:left="0" w:firstLine="640" w:firstLineChars="200"/>
        <w:jc w:val="both"/>
        <w:textAlignment w:val="auto"/>
        <w:rPr>
          <w:rFonts w:hint="eastAsia" w:ascii="方正仿宋_GBK" w:hAnsi="方正仿宋_GBK" w:eastAsia="方正仿宋_GBK" w:cs="方正仿宋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（十二）“三公”经费：</w:t>
      </w:r>
      <w:r>
        <w:rPr>
          <w:rFonts w:hint="eastAsia" w:ascii="方正仿宋_GBK" w:hAnsi="方正仿宋_GBK" w:eastAsia="方正仿宋_GBK" w:cs="方正仿宋_GBK"/>
          <w:b w:val="0"/>
          <w:bCs/>
          <w:kern w:val="0"/>
          <w:sz w:val="32"/>
          <w:szCs w:val="32"/>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4" w:lineRule="exact"/>
        <w:ind w:left="0" w:firstLine="640" w:firstLineChars="200"/>
        <w:jc w:val="both"/>
        <w:textAlignment w:val="auto"/>
        <w:rPr>
          <w:rFonts w:hint="eastAsia" w:ascii="方正仿宋_GBK" w:hAnsi="方正仿宋_GBK" w:eastAsia="方正仿宋_GBK" w:cs="方正仿宋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（十三）机关运行经费：</w:t>
      </w:r>
      <w:r>
        <w:rPr>
          <w:rFonts w:hint="eastAsia" w:ascii="方正仿宋_GBK" w:hAnsi="方正仿宋_GBK" w:eastAsia="方正仿宋_GBK" w:cs="方正仿宋_GBK"/>
          <w:b w:val="0"/>
          <w:bCs/>
          <w:kern w:val="0"/>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4" w:lineRule="exact"/>
        <w:ind w:left="0" w:firstLine="640" w:firstLineChars="200"/>
        <w:jc w:val="both"/>
        <w:textAlignment w:val="auto"/>
        <w:rPr>
          <w:rFonts w:hint="eastAsia" w:ascii="方正仿宋_GBK" w:hAnsi="方正仿宋_GBK" w:eastAsia="方正仿宋_GBK" w:cs="方正仿宋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（十四）工资福利支出（支出经济分类科目类级）：</w:t>
      </w:r>
      <w:r>
        <w:rPr>
          <w:rFonts w:hint="eastAsia" w:ascii="方正仿宋_GBK" w:hAnsi="方正仿宋_GBK" w:eastAsia="方正仿宋_GBK" w:cs="方正仿宋_GBK"/>
          <w:b w:val="0"/>
          <w:bCs/>
          <w:kern w:val="0"/>
          <w:sz w:val="32"/>
          <w:szCs w:val="32"/>
          <w:shd w:val="clear" w:color="auto" w:fill="FFFFFF"/>
        </w:rPr>
        <w:t>反映单位开支的在职职工和编制外长期聘用人员的各类劳动报酬，以及为上述人员缴纳的各项社会保险费等。</w:t>
      </w:r>
    </w:p>
    <w:p>
      <w:pPr>
        <w:pStyle w:val="2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4" w:lineRule="exact"/>
        <w:ind w:left="0" w:firstLine="640" w:firstLineChars="200"/>
        <w:jc w:val="both"/>
        <w:textAlignment w:val="auto"/>
        <w:rPr>
          <w:rFonts w:hint="eastAsia" w:ascii="方正仿宋_GBK" w:hAnsi="方正仿宋_GBK" w:eastAsia="方正仿宋_GBK" w:cs="方正仿宋_GBK"/>
          <w:b w:val="0"/>
          <w:bCs/>
          <w:kern w:val="0"/>
          <w:sz w:val="32"/>
          <w:szCs w:val="32"/>
          <w:shd w:val="clear" w:color="auto" w:fill="FFFFFF"/>
        </w:rPr>
        <w:sectPr>
          <w:pgSz w:w="11915" w:h="16851"/>
          <w:pgMar w:top="1440" w:right="1446" w:bottom="1440" w:left="1446" w:header="851" w:footer="992" w:gutter="0"/>
          <w:cols w:space="720" w:num="1"/>
          <w:docGrid w:type="lines" w:linePitch="312" w:charSpace="0"/>
        </w:sectPr>
      </w:pPr>
    </w:p>
    <w:p>
      <w:pPr>
        <w:pStyle w:val="2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4" w:lineRule="exact"/>
        <w:ind w:left="0" w:firstLine="640" w:firstLineChars="200"/>
        <w:jc w:val="both"/>
        <w:textAlignment w:val="auto"/>
        <w:rPr>
          <w:rFonts w:hint="eastAsia" w:ascii="方正仿宋_GBK" w:hAnsi="方正仿宋_GBK" w:eastAsia="方正仿宋_GBK" w:cs="方正仿宋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（十五）商品和服务支出（支出经济分类科目类级）：</w:t>
      </w:r>
      <w:r>
        <w:rPr>
          <w:rFonts w:hint="eastAsia" w:ascii="方正仿宋_GBK" w:hAnsi="方正仿宋_GBK" w:eastAsia="方正仿宋_GBK" w:cs="方正仿宋_GBK"/>
          <w:b w:val="0"/>
          <w:bCs/>
          <w:kern w:val="0"/>
          <w:sz w:val="32"/>
          <w:szCs w:val="32"/>
          <w:shd w:val="clear" w:color="auto" w:fill="FFFFFF"/>
        </w:rPr>
        <w:t>反映单位购买商品和服务的支出（不包括用于购置固定资产的支出、战略性和应急储备支出）。</w:t>
      </w:r>
    </w:p>
    <w:p>
      <w:pPr>
        <w:pStyle w:val="2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4" w:lineRule="exact"/>
        <w:ind w:left="0" w:firstLine="640" w:firstLineChars="200"/>
        <w:jc w:val="both"/>
        <w:textAlignment w:val="auto"/>
        <w:rPr>
          <w:rFonts w:hint="eastAsia" w:ascii="方正仿宋_GBK" w:hAnsi="方正仿宋_GBK" w:eastAsia="方正仿宋_GBK" w:cs="方正仿宋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（十六）对个人和家庭的补助（支出经济分类科目类级）</w:t>
      </w:r>
      <w:r>
        <w:rPr>
          <w:rFonts w:hint="eastAsia" w:ascii="方正仿宋_GBK" w:hAnsi="方正仿宋_GBK" w:eastAsia="方正仿宋_GBK" w:cs="方正仿宋_GBK"/>
          <w:b w:val="0"/>
          <w:bCs/>
          <w:kern w:val="0"/>
          <w:sz w:val="32"/>
          <w:szCs w:val="32"/>
          <w:shd w:val="clear" w:color="auto" w:fill="FFFFFF"/>
        </w:rPr>
        <w:t>：反映用于对个人和家庭的补助支出。</w:t>
      </w:r>
    </w:p>
    <w:p>
      <w:pPr>
        <w:pStyle w:val="2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4" w:lineRule="exact"/>
        <w:ind w:left="0" w:firstLine="640" w:firstLineChars="200"/>
        <w:jc w:val="both"/>
        <w:textAlignment w:val="auto"/>
        <w:rPr>
          <w:rFonts w:hint="eastAsia" w:ascii="方正仿宋_GBK" w:hAnsi="方正仿宋_GBK" w:eastAsia="方正仿宋_GBK" w:cs="方正仿宋_GBK"/>
          <w:b w:val="0"/>
          <w:bCs/>
          <w:kern w:val="0"/>
          <w:sz w:val="32"/>
          <w:szCs w:val="32"/>
        </w:rPr>
      </w:pPr>
      <w:r>
        <w:rPr>
          <w:rStyle w:val="19"/>
          <w:rFonts w:hint="eastAsia" w:ascii="方正楷体_GBK" w:hAnsi="方正楷体_GBK" w:eastAsia="方正楷体_GBK" w:cs="方正楷体_GBK"/>
          <w:b w:val="0"/>
          <w:bCs/>
          <w:sz w:val="32"/>
          <w:szCs w:val="32"/>
          <w:shd w:val="clear" w:color="auto" w:fill="FFFFFF"/>
        </w:rPr>
        <w:t>（十七）其他资本性支出（支出经济分类科目类级）：</w:t>
      </w:r>
      <w:r>
        <w:rPr>
          <w:rFonts w:hint="eastAsia" w:ascii="方正仿宋_GBK" w:hAnsi="方正仿宋_GBK" w:eastAsia="方正仿宋_GBK" w:cs="方正仿宋_GBK"/>
          <w:b w:val="0"/>
          <w:bCs/>
          <w:kern w:val="0"/>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pPr>
        <w:pStyle w:val="2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4" w:lineRule="exact"/>
        <w:ind w:left="0" w:firstLine="640" w:firstLineChars="200"/>
        <w:jc w:val="both"/>
        <w:textAlignment w:val="auto"/>
        <w:rPr>
          <w:rFonts w:hint="eastAsia" w:ascii="方正黑体_GBK" w:hAnsi="方正黑体_GBK" w:eastAsia="方正黑体_GBK" w:cs="方正黑体_GBK"/>
          <w:b w:val="0"/>
          <w:bCs/>
          <w:kern w:val="0"/>
          <w:sz w:val="32"/>
          <w:szCs w:val="32"/>
        </w:rPr>
      </w:pPr>
      <w:r>
        <w:rPr>
          <w:rStyle w:val="19"/>
          <w:rFonts w:hint="eastAsia" w:ascii="方正黑体_GBK" w:hAnsi="方正黑体_GBK" w:eastAsia="方正黑体_GBK" w:cs="方正黑体_GBK"/>
          <w:b w:val="0"/>
          <w:bCs/>
          <w:sz w:val="32"/>
          <w:szCs w:val="32"/>
          <w:shd w:val="clear" w:color="auto" w:fill="FFFFFF"/>
        </w:rPr>
        <w:t>七、决算公开联系方式及信息反馈渠道</w:t>
      </w:r>
    </w:p>
    <w:p>
      <w:pPr>
        <w:pStyle w:val="2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54" w:lineRule="exact"/>
        <w:ind w:left="0" w:firstLine="640" w:firstLineChars="200"/>
        <w:jc w:val="both"/>
        <w:textAlignment w:val="auto"/>
        <w:rPr>
          <w:rFonts w:hint="default" w:ascii="Times New Roman" w:hAnsi="Times New Roman" w:eastAsia="方正仿宋_GBK" w:cs="Times New Roman"/>
          <w:b w:val="0"/>
          <w:bCs/>
          <w:kern w:val="0"/>
          <w:sz w:val="32"/>
          <w:szCs w:val="32"/>
          <w:shd w:val="clear" w:color="auto" w:fill="FFFFFF"/>
        </w:rPr>
      </w:pPr>
      <w:r>
        <w:rPr>
          <w:rFonts w:hint="eastAsia" w:ascii="方正仿宋_GBK" w:hAnsi="方正仿宋_GBK" w:eastAsia="方正仿宋_GBK" w:cs="方正仿宋_GBK"/>
          <w:b w:val="0"/>
          <w:bCs/>
          <w:kern w:val="0"/>
          <w:sz w:val="32"/>
          <w:szCs w:val="32"/>
          <w:shd w:val="clear" w:color="auto" w:fill="FFFFFF"/>
        </w:rPr>
        <w:t>本单位决算公开信息反馈和联系方式：</w:t>
      </w:r>
      <w:r>
        <w:rPr>
          <w:rFonts w:hint="default" w:ascii="Times New Roman" w:hAnsi="Times New Roman" w:eastAsia="方正仿宋_GBK" w:cs="Times New Roman"/>
          <w:b w:val="0"/>
          <w:bCs/>
          <w:kern w:val="0"/>
          <w:sz w:val="32"/>
          <w:szCs w:val="32"/>
          <w:shd w:val="clear" w:color="auto" w:fill="FFFFFF"/>
        </w:rPr>
        <w:t>023-43769035</w:t>
      </w:r>
      <w:r>
        <w:rPr>
          <w:rFonts w:hint="eastAsia" w:ascii="方正仿宋_GBK" w:hAnsi="方正仿宋_GBK" w:eastAsia="方正仿宋_GBK" w:cs="方正仿宋_GBK"/>
          <w:b w:val="0"/>
          <w:bCs/>
          <w:kern w:val="0"/>
          <w:sz w:val="32"/>
          <w:szCs w:val="32"/>
          <w:shd w:val="clear" w:color="auto" w:fill="FFFFFF"/>
        </w:rPr>
        <w:t>。</w:t>
      </w:r>
    </w:p>
    <w:p>
      <w:pPr>
        <w:pStyle w:val="25"/>
        <w:keepNext w:val="0"/>
        <w:keepLines w:val="0"/>
        <w:widowControl/>
        <w:suppressLineNumbers w:val="0"/>
        <w:autoSpaceDE w:val="0"/>
        <w:autoSpaceDN/>
        <w:spacing w:before="0" w:beforeAutospacing="0" w:after="0" w:afterAutospacing="0" w:line="594" w:lineRule="exact"/>
        <w:ind w:left="0" w:firstLine="640" w:firstLineChars="200"/>
        <w:jc w:val="both"/>
        <w:rPr>
          <w:rFonts w:hint="default" w:ascii="Times New Roman" w:hAnsi="Times New Roman" w:eastAsia="方正仿宋_GBK" w:cs="Times New Roman"/>
          <w:b w:val="0"/>
          <w:bCs/>
          <w:kern w:val="0"/>
          <w:sz w:val="32"/>
          <w:szCs w:val="32"/>
          <w:shd w:val="clear" w:color="auto" w:fill="FFFFFF"/>
        </w:rPr>
        <w:sectPr>
          <w:type w:val="continuous"/>
          <w:pgSz w:w="11915" w:h="16851"/>
          <w:pgMar w:top="1440" w:right="1446" w:bottom="1440" w:left="1446" w:header="851" w:footer="992" w:gutter="0"/>
          <w:cols w:space="720" w:num="1"/>
          <w:docGrid w:type="lines" w:linePitch="312" w:charSpace="0"/>
        </w:sectPr>
      </w:pPr>
      <w:r>
        <w:rPr>
          <w:rFonts w:hint="default" w:ascii="Times New Roman" w:hAnsi="Times New Roman" w:eastAsia="方正仿宋_GBK" w:cs="Times New Roman"/>
          <w:b w:val="0"/>
          <w:bCs/>
          <w:kern w:val="0"/>
          <w:sz w:val="32"/>
          <w:szCs w:val="32"/>
          <w:shd w:val="clear" w:color="auto" w:fill="FFFFFF"/>
        </w:rPr>
        <w:t xml:space="preserve"> </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396"/>
        <w:gridCol w:w="2129"/>
        <w:gridCol w:w="3706"/>
        <w:gridCol w:w="1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2599" w:type="dxa"/>
            <w:gridSpan w:val="4"/>
            <w:tcBorders>
              <w:top w:val="nil"/>
              <w:left w:val="nil"/>
              <w:bottom w:val="nil"/>
              <w:right w:val="single" w:color="80808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29" w:type="dxa"/>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06" w:type="dxa"/>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68" w:type="dxa"/>
            <w:tcBorders>
              <w:top w:val="nil"/>
              <w:left w:val="nil"/>
              <w:bottom w:val="nil"/>
              <w:right w:val="single" w:color="808080" w:sz="4" w:space="0"/>
            </w:tcBorders>
            <w:shd w:val="clear" w:color="auto" w:fill="FFFFFF"/>
            <w:noWrap w:val="0"/>
            <w:tcMar>
              <w:top w:w="15" w:type="dxa"/>
              <w:left w:w="15" w:type="dxa"/>
              <w:right w:w="15" w:type="dxa"/>
            </w:tcMar>
            <w:vAlign w:val="center"/>
          </w:tcPr>
          <w:p>
            <w:pPr>
              <w:jc w:val="left"/>
              <w:rPr>
                <w:rFonts w:hint="eastAsia" w:ascii="Tahoma" w:hAnsi="Tahoma" w:eastAsia="Tahoma" w:cs="Tahom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nil"/>
              <w:bottom w:val="nil"/>
              <w:right w:val="nil"/>
            </w:tcBorders>
            <w:shd w:val="clear" w:color="auto" w:fill="FFFFFF"/>
            <w:noWrap w:val="0"/>
            <w:tcMar>
              <w:top w:w="15" w:type="dxa"/>
              <w:left w:w="15" w:type="dxa"/>
              <w:right w:w="15" w:type="dxa"/>
            </w:tcMar>
            <w:vAlign w:val="center"/>
          </w:tcPr>
          <w:p>
            <w:pPr>
              <w:jc w:val="left"/>
              <w:rPr>
                <w:rFonts w:hint="default" w:ascii="Tahoma" w:hAnsi="Tahoma" w:eastAsia="Tahoma" w:cs="Tahoma"/>
                <w:i w:val="0"/>
                <w:color w:val="000000"/>
                <w:sz w:val="16"/>
                <w:szCs w:val="16"/>
                <w:u w:val="none"/>
              </w:rPr>
            </w:pPr>
          </w:p>
        </w:tc>
        <w:tc>
          <w:tcPr>
            <w:tcW w:w="2129" w:type="dxa"/>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06" w:type="dxa"/>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68" w:type="dxa"/>
            <w:tcBorders>
              <w:top w:val="nil"/>
              <w:left w:val="nil"/>
              <w:bottom w:val="nil"/>
              <w:right w:val="single" w:color="80808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nil"/>
              <w:bottom w:val="single" w:color="80808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公开部门：重庆市大足区社会科学界联合会</w:t>
            </w:r>
          </w:p>
        </w:tc>
        <w:tc>
          <w:tcPr>
            <w:tcW w:w="2129" w:type="dxa"/>
            <w:tcBorders>
              <w:top w:val="nil"/>
              <w:left w:val="nil"/>
              <w:bottom w:val="single" w:color="80808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06" w:type="dxa"/>
            <w:tcBorders>
              <w:top w:val="nil"/>
              <w:left w:val="nil"/>
              <w:bottom w:val="single" w:color="808080" w:sz="4" w:space="0"/>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68" w:type="dxa"/>
            <w:tcBorders>
              <w:top w:val="nil"/>
              <w:left w:val="nil"/>
              <w:bottom w:val="single" w:color="808080" w:sz="4" w:space="0"/>
              <w:right w:val="single" w:color="80808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7525"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w:t>
            </w:r>
          </w:p>
        </w:tc>
        <w:tc>
          <w:tcPr>
            <w:tcW w:w="5074"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2129"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决算数</w:t>
            </w: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功能分类科目</w:t>
            </w:r>
          </w:p>
        </w:tc>
        <w:tc>
          <w:tcPr>
            <w:tcW w:w="136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212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154.10</w:t>
            </w: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212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212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212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212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212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212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212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2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2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2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2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2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2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2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2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2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2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2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2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2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2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2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2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2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12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212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154.10</w:t>
            </w: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使用非财政拨款结余</w:t>
            </w:r>
          </w:p>
        </w:tc>
        <w:tc>
          <w:tcPr>
            <w:tcW w:w="212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结余分配</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年初结转和结余</w:t>
            </w:r>
          </w:p>
        </w:tc>
        <w:tc>
          <w:tcPr>
            <w:tcW w:w="212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5396"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212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154.10</w:t>
            </w:r>
          </w:p>
        </w:tc>
        <w:tc>
          <w:tcPr>
            <w:tcW w:w="3706"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36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599" w:type="dxa"/>
            <w:gridSpan w:val="4"/>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备注：本表反映部门本年度的总收支和年末结转结余等情况。</w:t>
            </w:r>
          </w:p>
        </w:tc>
      </w:tr>
    </w:tbl>
    <w:p>
      <w:pPr>
        <w:pStyle w:val="25"/>
        <w:keepNext w:val="0"/>
        <w:keepLines w:val="0"/>
        <w:widowControl/>
        <w:suppressLineNumbers w:val="0"/>
        <w:autoSpaceDE w:val="0"/>
        <w:autoSpaceDN/>
        <w:spacing w:before="0" w:beforeAutospacing="0" w:after="0" w:afterAutospacing="0" w:line="594" w:lineRule="exact"/>
        <w:jc w:val="center"/>
        <w:rPr>
          <w:rFonts w:hint="eastAsia" w:ascii="黑体" w:hAnsi="宋体" w:eastAsia="黑体" w:cs="黑体"/>
          <w:i w:val="0"/>
          <w:color w:val="000000"/>
          <w:kern w:val="0"/>
          <w:sz w:val="44"/>
          <w:szCs w:val="44"/>
        </w:rPr>
      </w:pPr>
      <w:r>
        <w:rPr>
          <w:rFonts w:hint="eastAsia" w:ascii="黑体" w:hAnsi="宋体" w:eastAsia="黑体" w:cs="黑体"/>
          <w:i w:val="0"/>
          <w:color w:val="000000"/>
          <w:kern w:val="0"/>
          <w:sz w:val="44"/>
          <w:szCs w:val="44"/>
        </w:rPr>
        <w:t xml:space="preserve"> </w:t>
      </w:r>
    </w:p>
    <w:p>
      <w:pPr>
        <w:pStyle w:val="25"/>
        <w:keepNext w:val="0"/>
        <w:keepLines w:val="0"/>
        <w:widowControl/>
        <w:suppressLineNumbers w:val="0"/>
        <w:autoSpaceDE w:val="0"/>
        <w:autoSpaceDN/>
        <w:spacing w:before="0" w:beforeAutospacing="0" w:after="0" w:afterAutospacing="0" w:line="594" w:lineRule="exact"/>
        <w:jc w:val="center"/>
        <w:rPr>
          <w:rFonts w:hint="eastAsia" w:ascii="黑体" w:hAnsi="宋体" w:eastAsia="黑体" w:cs="黑体"/>
          <w:i w:val="0"/>
          <w:color w:val="000000"/>
          <w:kern w:val="0"/>
          <w:sz w:val="44"/>
          <w:szCs w:val="44"/>
        </w:rPr>
      </w:pPr>
      <w:r>
        <w:rPr>
          <w:rFonts w:hint="eastAsia" w:ascii="黑体" w:hAnsi="宋体" w:eastAsia="黑体" w:cs="黑体"/>
          <w:i w:val="0"/>
          <w:color w:val="000000"/>
          <w:kern w:val="0"/>
          <w:sz w:val="44"/>
          <w:szCs w:val="44"/>
        </w:rPr>
        <w:t xml:space="preserve"> </w:t>
      </w:r>
    </w:p>
    <w:p>
      <w:pPr>
        <w:pStyle w:val="25"/>
        <w:keepNext w:val="0"/>
        <w:keepLines w:val="0"/>
        <w:widowControl/>
        <w:suppressLineNumbers w:val="0"/>
        <w:autoSpaceDE w:val="0"/>
        <w:autoSpaceDN/>
        <w:spacing w:before="0" w:beforeAutospacing="0" w:after="0" w:afterAutospacing="0" w:line="594" w:lineRule="exact"/>
        <w:jc w:val="center"/>
        <w:rPr>
          <w:rFonts w:hint="eastAsia" w:ascii="黑体" w:hAnsi="宋体" w:eastAsia="黑体" w:cs="黑体"/>
          <w:i w:val="0"/>
          <w:color w:val="000000"/>
          <w:kern w:val="0"/>
          <w:sz w:val="44"/>
          <w:szCs w:val="44"/>
        </w:rPr>
      </w:pPr>
      <w:r>
        <w:rPr>
          <w:rFonts w:hint="eastAsia" w:ascii="黑体" w:hAnsi="宋体" w:eastAsia="黑体" w:cs="黑体"/>
          <w:i w:val="0"/>
          <w:color w:val="000000"/>
          <w:kern w:val="0"/>
          <w:sz w:val="44"/>
          <w:szCs w:val="44"/>
        </w:rPr>
        <w:t xml:space="preserve"> </w:t>
      </w:r>
    </w:p>
    <w:p>
      <w:pPr>
        <w:pStyle w:val="25"/>
        <w:keepNext w:val="0"/>
        <w:keepLines w:val="0"/>
        <w:widowControl/>
        <w:suppressLineNumbers w:val="0"/>
        <w:autoSpaceDE w:val="0"/>
        <w:autoSpaceDN/>
        <w:spacing w:before="0" w:beforeAutospacing="0" w:after="0" w:afterAutospacing="0" w:line="594" w:lineRule="exact"/>
        <w:jc w:val="center"/>
        <w:rPr>
          <w:rFonts w:hint="eastAsia" w:ascii="黑体" w:hAnsi="宋体" w:eastAsia="黑体" w:cs="黑体"/>
          <w:i w:val="0"/>
          <w:color w:val="000000"/>
          <w:kern w:val="0"/>
          <w:sz w:val="44"/>
          <w:szCs w:val="44"/>
        </w:rPr>
      </w:pPr>
      <w:r>
        <w:rPr>
          <w:rFonts w:hint="eastAsia" w:ascii="黑体" w:hAnsi="宋体" w:eastAsia="黑体" w:cs="黑体"/>
          <w:i w:val="0"/>
          <w:color w:val="000000"/>
          <w:kern w:val="0"/>
          <w:sz w:val="44"/>
          <w:szCs w:val="44"/>
        </w:rPr>
        <w:t xml:space="preserve"> </w:t>
      </w:r>
    </w:p>
    <w:p>
      <w:pPr>
        <w:pStyle w:val="25"/>
        <w:keepNext w:val="0"/>
        <w:keepLines w:val="0"/>
        <w:widowControl/>
        <w:suppressLineNumbers w:val="0"/>
        <w:autoSpaceDE w:val="0"/>
        <w:autoSpaceDN/>
        <w:spacing w:before="0" w:beforeAutospacing="0" w:after="0" w:afterAutospacing="0" w:line="594" w:lineRule="exact"/>
        <w:jc w:val="center"/>
        <w:rPr>
          <w:rFonts w:hint="eastAsia" w:ascii="黑体" w:hAnsi="宋体" w:eastAsia="黑体" w:cs="黑体"/>
          <w:i w:val="0"/>
          <w:color w:val="000000"/>
          <w:kern w:val="0"/>
          <w:sz w:val="44"/>
          <w:szCs w:val="44"/>
        </w:rPr>
      </w:pPr>
      <w:r>
        <w:rPr>
          <w:rFonts w:hint="eastAsia" w:ascii="黑体" w:hAnsi="宋体" w:eastAsia="黑体" w:cs="黑体"/>
          <w:i w:val="0"/>
          <w:color w:val="000000"/>
          <w:kern w:val="0"/>
          <w:sz w:val="44"/>
          <w:szCs w:val="44"/>
        </w:rPr>
        <w:t xml:space="preserve"> </w:t>
      </w:r>
    </w:p>
    <w:p>
      <w:pPr>
        <w:pStyle w:val="25"/>
        <w:keepNext w:val="0"/>
        <w:keepLines w:val="0"/>
        <w:widowControl/>
        <w:suppressLineNumbers w:val="0"/>
        <w:autoSpaceDE w:val="0"/>
        <w:autoSpaceDN/>
        <w:spacing w:before="0" w:beforeAutospacing="0" w:after="0" w:afterAutospacing="0" w:line="594" w:lineRule="exact"/>
        <w:jc w:val="center"/>
        <w:rPr>
          <w:rFonts w:hint="eastAsia" w:ascii="黑体" w:hAnsi="宋体" w:eastAsia="黑体" w:cs="黑体"/>
          <w:i w:val="0"/>
          <w:color w:val="000000"/>
          <w:kern w:val="0"/>
          <w:sz w:val="44"/>
          <w:szCs w:val="44"/>
        </w:rPr>
      </w:pPr>
      <w:r>
        <w:rPr>
          <w:rFonts w:hint="eastAsia" w:ascii="黑体" w:hAnsi="宋体" w:eastAsia="黑体" w:cs="黑体"/>
          <w:i w:val="0"/>
          <w:color w:val="000000"/>
          <w:kern w:val="0"/>
          <w:sz w:val="44"/>
          <w:szCs w:val="44"/>
        </w:rPr>
        <w:t xml:space="preserve"> </w:t>
      </w:r>
    </w:p>
    <w:p>
      <w:pPr>
        <w:pStyle w:val="25"/>
        <w:keepNext w:val="0"/>
        <w:keepLines w:val="0"/>
        <w:widowControl/>
        <w:suppressLineNumbers w:val="0"/>
        <w:autoSpaceDE w:val="0"/>
        <w:autoSpaceDN/>
        <w:spacing w:before="0" w:beforeAutospacing="0" w:after="0" w:afterAutospacing="0" w:line="594" w:lineRule="exact"/>
        <w:jc w:val="center"/>
        <w:rPr>
          <w:rFonts w:hint="eastAsia" w:ascii="黑体" w:hAnsi="宋体" w:eastAsia="黑体" w:cs="黑体"/>
          <w:i w:val="0"/>
          <w:color w:val="000000"/>
          <w:kern w:val="0"/>
          <w:sz w:val="44"/>
          <w:szCs w:val="44"/>
        </w:rPr>
      </w:pPr>
    </w:p>
    <w:p>
      <w:pPr>
        <w:pStyle w:val="25"/>
        <w:keepNext w:val="0"/>
        <w:keepLines w:val="0"/>
        <w:widowControl/>
        <w:suppressLineNumbers w:val="0"/>
        <w:autoSpaceDE w:val="0"/>
        <w:autoSpaceDN/>
        <w:spacing w:before="0" w:beforeAutospacing="0" w:after="0" w:afterAutospacing="0" w:line="594" w:lineRule="exact"/>
        <w:jc w:val="center"/>
        <w:rPr>
          <w:rFonts w:hint="eastAsia" w:ascii="黑体" w:hAnsi="宋体" w:eastAsia="黑体" w:cs="黑体"/>
          <w:i w:val="0"/>
          <w:color w:val="000000"/>
          <w:kern w:val="0"/>
          <w:sz w:val="44"/>
          <w:szCs w:val="44"/>
        </w:rPr>
      </w:pPr>
    </w:p>
    <w:p>
      <w:pPr>
        <w:pStyle w:val="25"/>
        <w:keepNext w:val="0"/>
        <w:keepLines w:val="0"/>
        <w:widowControl/>
        <w:suppressLineNumbers w:val="0"/>
        <w:autoSpaceDE w:val="0"/>
        <w:autoSpaceDN/>
        <w:spacing w:before="0" w:beforeAutospacing="0" w:after="0" w:afterAutospacing="0" w:line="594" w:lineRule="exact"/>
        <w:jc w:val="center"/>
        <w:rPr>
          <w:rFonts w:hint="eastAsia" w:ascii="黑体" w:hAnsi="宋体" w:eastAsia="黑体" w:cs="黑体"/>
          <w:i w:val="0"/>
          <w:color w:val="000000"/>
          <w:kern w:val="0"/>
          <w:sz w:val="44"/>
          <w:szCs w:val="44"/>
        </w:rPr>
      </w:pPr>
    </w:p>
    <w:p>
      <w:pPr>
        <w:pStyle w:val="25"/>
        <w:keepNext w:val="0"/>
        <w:keepLines w:val="0"/>
        <w:widowControl/>
        <w:suppressLineNumbers w:val="0"/>
        <w:autoSpaceDE w:val="0"/>
        <w:autoSpaceDN/>
        <w:spacing w:before="0" w:beforeAutospacing="0" w:after="0" w:afterAutospacing="0" w:line="594" w:lineRule="exact"/>
        <w:jc w:val="center"/>
        <w:rPr>
          <w:rFonts w:hint="eastAsia" w:ascii="黑体" w:hAnsi="宋体" w:eastAsia="黑体" w:cs="黑体"/>
          <w:i w:val="0"/>
          <w:color w:val="000000"/>
          <w:kern w:val="0"/>
          <w:sz w:val="44"/>
          <w:szCs w:val="44"/>
        </w:rPr>
      </w:pPr>
    </w:p>
    <w:p>
      <w:pPr>
        <w:pStyle w:val="25"/>
        <w:keepNext w:val="0"/>
        <w:keepLines w:val="0"/>
        <w:widowControl/>
        <w:suppressLineNumbers w:val="0"/>
        <w:autoSpaceDE w:val="0"/>
        <w:autoSpaceDN/>
        <w:spacing w:before="0" w:beforeAutospacing="0" w:after="0" w:afterAutospacing="0" w:line="594" w:lineRule="exact"/>
        <w:jc w:val="center"/>
        <w:rPr>
          <w:rFonts w:hint="eastAsia" w:ascii="黑体" w:hAnsi="宋体" w:eastAsia="黑体" w:cs="黑体"/>
          <w:i w:val="0"/>
          <w:color w:val="000000"/>
          <w:kern w:val="0"/>
          <w:sz w:val="44"/>
          <w:szCs w:val="44"/>
        </w:rPr>
      </w:pPr>
      <w:r>
        <w:rPr>
          <w:rFonts w:hint="eastAsia" w:ascii="黑体" w:hAnsi="宋体" w:eastAsia="黑体" w:cs="黑体"/>
          <w:i w:val="0"/>
          <w:color w:val="000000"/>
          <w:kern w:val="0"/>
          <w:sz w:val="44"/>
          <w:szCs w:val="44"/>
        </w:rPr>
        <w:t xml:space="preserve">  </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61"/>
        <w:gridCol w:w="2272"/>
        <w:gridCol w:w="1738"/>
        <w:gridCol w:w="1487"/>
        <w:gridCol w:w="1350"/>
        <w:gridCol w:w="1225"/>
        <w:gridCol w:w="1263"/>
        <w:gridCol w:w="1250"/>
        <w:gridCol w:w="1212"/>
        <w:gridCol w:w="1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4096" w:type="dxa"/>
            <w:gridSpan w:val="10"/>
            <w:tcBorders>
              <w:top w:val="nil"/>
              <w:left w:val="nil"/>
              <w:bottom w:val="nil"/>
              <w:right w:val="single" w:color="80808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096" w:type="dxa"/>
            <w:gridSpan w:val="10"/>
            <w:tcBorders>
              <w:top w:val="nil"/>
              <w:left w:val="nil"/>
              <w:bottom w:val="nil"/>
              <w:right w:val="single" w:color="80808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096" w:type="dxa"/>
            <w:gridSpan w:val="10"/>
            <w:tcBorders>
              <w:top w:val="nil"/>
              <w:left w:val="nil"/>
              <w:bottom w:val="single" w:color="808080" w:sz="4" w:space="0"/>
              <w:right w:val="single" w:color="80808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公开部门：重庆市大足区社会科学界联合会</w:t>
            </w:r>
          </w:p>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33"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1738" w:type="dxa"/>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487" w:type="dxa"/>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财政拨款收入</w:t>
            </w:r>
          </w:p>
        </w:tc>
        <w:tc>
          <w:tcPr>
            <w:tcW w:w="1350" w:type="dxa"/>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上级补助收入</w:t>
            </w:r>
          </w:p>
        </w:tc>
        <w:tc>
          <w:tcPr>
            <w:tcW w:w="248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事业收入</w:t>
            </w:r>
          </w:p>
        </w:tc>
        <w:tc>
          <w:tcPr>
            <w:tcW w:w="1250" w:type="dxa"/>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经营收入</w:t>
            </w:r>
          </w:p>
        </w:tc>
        <w:tc>
          <w:tcPr>
            <w:tcW w:w="1212" w:type="dxa"/>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附属单位上缴收入</w:t>
            </w:r>
          </w:p>
        </w:tc>
        <w:tc>
          <w:tcPr>
            <w:tcW w:w="1138" w:type="dxa"/>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vMerge w:val="restart"/>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功能分类科目编码</w:t>
            </w:r>
          </w:p>
        </w:tc>
        <w:tc>
          <w:tcPr>
            <w:tcW w:w="2272" w:type="dxa"/>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项目（按“项”级功能分类科目）</w:t>
            </w:r>
          </w:p>
        </w:tc>
        <w:tc>
          <w:tcPr>
            <w:tcW w:w="1738"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487"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50"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25" w:type="dxa"/>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1263" w:type="dxa"/>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其中：教育收费</w:t>
            </w:r>
          </w:p>
        </w:tc>
        <w:tc>
          <w:tcPr>
            <w:tcW w:w="1250"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12"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138"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vMerge w:val="continue"/>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272"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38"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487"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50"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25"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63"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50"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12"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138"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vMerge w:val="continue"/>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272"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38"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487"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50"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25"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63"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50"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12"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138"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33"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73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154.10</w:t>
            </w:r>
          </w:p>
        </w:tc>
        <w:tc>
          <w:tcPr>
            <w:tcW w:w="1487"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154.10</w:t>
            </w:r>
          </w:p>
        </w:tc>
        <w:tc>
          <w:tcPr>
            <w:tcW w:w="13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3"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2"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3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w:t>
            </w:r>
          </w:p>
        </w:tc>
        <w:tc>
          <w:tcPr>
            <w:tcW w:w="2272"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一般公共服务支出</w:t>
            </w:r>
          </w:p>
        </w:tc>
        <w:tc>
          <w:tcPr>
            <w:tcW w:w="17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127.04</w:t>
            </w:r>
          </w:p>
        </w:tc>
        <w:tc>
          <w:tcPr>
            <w:tcW w:w="1487"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127.04</w:t>
            </w:r>
          </w:p>
        </w:tc>
        <w:tc>
          <w:tcPr>
            <w:tcW w:w="1350"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63"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12"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20129</w:t>
            </w:r>
          </w:p>
        </w:tc>
        <w:tc>
          <w:tcPr>
            <w:tcW w:w="2272"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群众团体事务</w:t>
            </w:r>
          </w:p>
        </w:tc>
        <w:tc>
          <w:tcPr>
            <w:tcW w:w="17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127.04</w:t>
            </w:r>
          </w:p>
        </w:tc>
        <w:tc>
          <w:tcPr>
            <w:tcW w:w="1487"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127.04</w:t>
            </w:r>
          </w:p>
        </w:tc>
        <w:tc>
          <w:tcPr>
            <w:tcW w:w="1350"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63"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12"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2012901</w:t>
            </w:r>
          </w:p>
        </w:tc>
        <w:tc>
          <w:tcPr>
            <w:tcW w:w="2272" w:type="dxa"/>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73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104.04</w:t>
            </w:r>
          </w:p>
        </w:tc>
        <w:tc>
          <w:tcPr>
            <w:tcW w:w="1487"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104.04</w:t>
            </w:r>
          </w:p>
        </w:tc>
        <w:tc>
          <w:tcPr>
            <w:tcW w:w="13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3"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2"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3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2012999</w:t>
            </w:r>
          </w:p>
        </w:tc>
        <w:tc>
          <w:tcPr>
            <w:tcW w:w="2272" w:type="dxa"/>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其他群众团体事务支出</w:t>
            </w:r>
          </w:p>
        </w:tc>
        <w:tc>
          <w:tcPr>
            <w:tcW w:w="173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23.00</w:t>
            </w:r>
          </w:p>
        </w:tc>
        <w:tc>
          <w:tcPr>
            <w:tcW w:w="1487"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23.00</w:t>
            </w:r>
          </w:p>
        </w:tc>
        <w:tc>
          <w:tcPr>
            <w:tcW w:w="13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3"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2"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3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w:t>
            </w:r>
          </w:p>
        </w:tc>
        <w:tc>
          <w:tcPr>
            <w:tcW w:w="2272"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7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15.43</w:t>
            </w:r>
          </w:p>
        </w:tc>
        <w:tc>
          <w:tcPr>
            <w:tcW w:w="1487"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15.43</w:t>
            </w:r>
          </w:p>
        </w:tc>
        <w:tc>
          <w:tcPr>
            <w:tcW w:w="1350"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63"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12"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20805</w:t>
            </w:r>
          </w:p>
        </w:tc>
        <w:tc>
          <w:tcPr>
            <w:tcW w:w="2272"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行政事业单位养老支出</w:t>
            </w:r>
          </w:p>
        </w:tc>
        <w:tc>
          <w:tcPr>
            <w:tcW w:w="17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15.29</w:t>
            </w:r>
          </w:p>
        </w:tc>
        <w:tc>
          <w:tcPr>
            <w:tcW w:w="1487"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15.29</w:t>
            </w:r>
          </w:p>
        </w:tc>
        <w:tc>
          <w:tcPr>
            <w:tcW w:w="1350"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63"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12"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2272" w:type="dxa"/>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73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w:t>
            </w:r>
          </w:p>
        </w:tc>
        <w:tc>
          <w:tcPr>
            <w:tcW w:w="1487"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w:t>
            </w:r>
          </w:p>
        </w:tc>
        <w:tc>
          <w:tcPr>
            <w:tcW w:w="13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3"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2"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3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2272" w:type="dxa"/>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73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w:t>
            </w:r>
          </w:p>
        </w:tc>
        <w:tc>
          <w:tcPr>
            <w:tcW w:w="1487"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w:t>
            </w:r>
          </w:p>
        </w:tc>
        <w:tc>
          <w:tcPr>
            <w:tcW w:w="13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3"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2"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3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20899</w:t>
            </w:r>
          </w:p>
        </w:tc>
        <w:tc>
          <w:tcPr>
            <w:tcW w:w="2272"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其他社会保障和就业支出</w:t>
            </w:r>
          </w:p>
        </w:tc>
        <w:tc>
          <w:tcPr>
            <w:tcW w:w="17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0.14</w:t>
            </w:r>
          </w:p>
        </w:tc>
        <w:tc>
          <w:tcPr>
            <w:tcW w:w="1487"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0.14</w:t>
            </w:r>
          </w:p>
        </w:tc>
        <w:tc>
          <w:tcPr>
            <w:tcW w:w="1350"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63"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12"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2089999</w:t>
            </w:r>
          </w:p>
        </w:tc>
        <w:tc>
          <w:tcPr>
            <w:tcW w:w="2272" w:type="dxa"/>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73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0.14</w:t>
            </w:r>
          </w:p>
        </w:tc>
        <w:tc>
          <w:tcPr>
            <w:tcW w:w="1487"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0.14</w:t>
            </w:r>
          </w:p>
        </w:tc>
        <w:tc>
          <w:tcPr>
            <w:tcW w:w="13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3"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2"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3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210</w:t>
            </w:r>
          </w:p>
        </w:tc>
        <w:tc>
          <w:tcPr>
            <w:tcW w:w="2272"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卫生健康支出</w:t>
            </w:r>
          </w:p>
        </w:tc>
        <w:tc>
          <w:tcPr>
            <w:tcW w:w="17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5.94</w:t>
            </w:r>
          </w:p>
        </w:tc>
        <w:tc>
          <w:tcPr>
            <w:tcW w:w="1487"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5.94</w:t>
            </w:r>
          </w:p>
        </w:tc>
        <w:tc>
          <w:tcPr>
            <w:tcW w:w="1350"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63"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12"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21011</w:t>
            </w:r>
          </w:p>
        </w:tc>
        <w:tc>
          <w:tcPr>
            <w:tcW w:w="2272"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行政事业单位医疗</w:t>
            </w:r>
          </w:p>
        </w:tc>
        <w:tc>
          <w:tcPr>
            <w:tcW w:w="17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5.94</w:t>
            </w:r>
          </w:p>
        </w:tc>
        <w:tc>
          <w:tcPr>
            <w:tcW w:w="1487"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5.94</w:t>
            </w:r>
          </w:p>
        </w:tc>
        <w:tc>
          <w:tcPr>
            <w:tcW w:w="1350"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63"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12"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2272" w:type="dxa"/>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73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w:t>
            </w:r>
          </w:p>
        </w:tc>
        <w:tc>
          <w:tcPr>
            <w:tcW w:w="1487"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w:t>
            </w:r>
          </w:p>
        </w:tc>
        <w:tc>
          <w:tcPr>
            <w:tcW w:w="13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3"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2"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3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2272" w:type="dxa"/>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73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w:t>
            </w:r>
          </w:p>
        </w:tc>
        <w:tc>
          <w:tcPr>
            <w:tcW w:w="1487"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w:t>
            </w:r>
          </w:p>
        </w:tc>
        <w:tc>
          <w:tcPr>
            <w:tcW w:w="13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3"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2"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3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221</w:t>
            </w:r>
          </w:p>
        </w:tc>
        <w:tc>
          <w:tcPr>
            <w:tcW w:w="2272"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住房保障支出</w:t>
            </w:r>
          </w:p>
        </w:tc>
        <w:tc>
          <w:tcPr>
            <w:tcW w:w="17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5.68</w:t>
            </w:r>
          </w:p>
        </w:tc>
        <w:tc>
          <w:tcPr>
            <w:tcW w:w="1487"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5.68</w:t>
            </w:r>
          </w:p>
        </w:tc>
        <w:tc>
          <w:tcPr>
            <w:tcW w:w="1350"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63"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12"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22102</w:t>
            </w:r>
          </w:p>
        </w:tc>
        <w:tc>
          <w:tcPr>
            <w:tcW w:w="2272"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住房改革支出</w:t>
            </w:r>
          </w:p>
        </w:tc>
        <w:tc>
          <w:tcPr>
            <w:tcW w:w="17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5.68</w:t>
            </w:r>
          </w:p>
        </w:tc>
        <w:tc>
          <w:tcPr>
            <w:tcW w:w="1487"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5.68</w:t>
            </w:r>
          </w:p>
        </w:tc>
        <w:tc>
          <w:tcPr>
            <w:tcW w:w="1350"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63"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12"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2272" w:type="dxa"/>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73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5.68</w:t>
            </w:r>
          </w:p>
        </w:tc>
        <w:tc>
          <w:tcPr>
            <w:tcW w:w="1487"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5.68</w:t>
            </w:r>
          </w:p>
        </w:tc>
        <w:tc>
          <w:tcPr>
            <w:tcW w:w="13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3"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2"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38"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096" w:type="dxa"/>
            <w:gridSpan w:val="10"/>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备注：本表反映部门本年度取得的各项收入情况。</w:t>
            </w:r>
          </w:p>
        </w:tc>
      </w:tr>
    </w:tbl>
    <w:p>
      <w:pPr>
        <w:pStyle w:val="25"/>
        <w:keepNext w:val="0"/>
        <w:keepLines w:val="0"/>
        <w:widowControl/>
        <w:suppressLineNumbers w:val="0"/>
        <w:autoSpaceDE w:val="0"/>
        <w:autoSpaceDN/>
        <w:spacing w:before="0" w:beforeAutospacing="0" w:after="0" w:afterAutospacing="0" w:line="594" w:lineRule="exact"/>
        <w:jc w:val="center"/>
        <w:rPr>
          <w:rFonts w:hint="eastAsia" w:ascii="黑体" w:hAnsi="宋体" w:eastAsia="黑体" w:cs="黑体"/>
          <w:i w:val="0"/>
          <w:color w:val="000000"/>
          <w:kern w:val="0"/>
          <w:sz w:val="44"/>
          <w:szCs w:val="44"/>
        </w:rPr>
      </w:pPr>
    </w:p>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3"/>
        <w:gridCol w:w="128"/>
        <w:gridCol w:w="2847"/>
        <w:gridCol w:w="202"/>
        <w:gridCol w:w="1648"/>
        <w:gridCol w:w="207"/>
        <w:gridCol w:w="1506"/>
        <w:gridCol w:w="906"/>
        <w:gridCol w:w="769"/>
        <w:gridCol w:w="444"/>
        <w:gridCol w:w="1225"/>
        <w:gridCol w:w="218"/>
        <w:gridCol w:w="944"/>
        <w:gridCol w:w="831"/>
        <w:gridCol w:w="569"/>
        <w:gridCol w:w="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8" w:hRule="atLeast"/>
        </w:trPr>
        <w:tc>
          <w:tcPr>
            <w:tcW w:w="14358" w:type="dxa"/>
            <w:gridSpan w:val="16"/>
            <w:tcBorders>
              <w:top w:val="nil"/>
              <w:left w:val="nil"/>
              <w:bottom w:val="nil"/>
              <w:right w:val="single" w:color="80808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358" w:type="dxa"/>
            <w:gridSpan w:val="16"/>
            <w:tcBorders>
              <w:top w:val="nil"/>
              <w:left w:val="nil"/>
              <w:bottom w:val="nil"/>
              <w:right w:val="single" w:color="80808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trPr>
        <w:tc>
          <w:tcPr>
            <w:tcW w:w="14358" w:type="dxa"/>
            <w:gridSpan w:val="16"/>
            <w:tcBorders>
              <w:top w:val="nil"/>
              <w:left w:val="nil"/>
              <w:bottom w:val="single" w:color="808080" w:sz="4" w:space="0"/>
              <w:right w:val="single" w:color="80808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公开部门：重庆市大足区社会科学界联合会</w:t>
            </w:r>
          </w:p>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008"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1850" w:type="dxa"/>
            <w:gridSpan w:val="2"/>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713" w:type="dxa"/>
            <w:gridSpan w:val="2"/>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675" w:type="dxa"/>
            <w:gridSpan w:val="2"/>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c>
          <w:tcPr>
            <w:tcW w:w="1887" w:type="dxa"/>
            <w:gridSpan w:val="3"/>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上缴上级支出</w:t>
            </w:r>
          </w:p>
        </w:tc>
        <w:tc>
          <w:tcPr>
            <w:tcW w:w="1775" w:type="dxa"/>
            <w:gridSpan w:val="2"/>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经营支出</w:t>
            </w:r>
          </w:p>
        </w:tc>
        <w:tc>
          <w:tcPr>
            <w:tcW w:w="1450" w:type="dxa"/>
            <w:gridSpan w:val="2"/>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gridSpan w:val="2"/>
            <w:vMerge w:val="restart"/>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功能分类科目编码</w:t>
            </w:r>
          </w:p>
        </w:tc>
        <w:tc>
          <w:tcPr>
            <w:tcW w:w="2847" w:type="dxa"/>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项目（按“项”级功能分类科目）</w:t>
            </w:r>
          </w:p>
        </w:tc>
        <w:tc>
          <w:tcPr>
            <w:tcW w:w="1850"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13"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75"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887" w:type="dxa"/>
            <w:gridSpan w:val="3"/>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75"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450"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gridSpan w:val="2"/>
            <w:vMerge w:val="continue"/>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847"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850"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13"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75"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887" w:type="dxa"/>
            <w:gridSpan w:val="3"/>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75"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450"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161" w:type="dxa"/>
            <w:gridSpan w:val="2"/>
            <w:vMerge w:val="continue"/>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847"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850"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13"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75"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887" w:type="dxa"/>
            <w:gridSpan w:val="3"/>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75"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450"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008"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85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154.10</w:t>
            </w:r>
          </w:p>
        </w:tc>
        <w:tc>
          <w:tcPr>
            <w:tcW w:w="17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131.10</w:t>
            </w:r>
          </w:p>
        </w:tc>
        <w:tc>
          <w:tcPr>
            <w:tcW w:w="167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23.00</w:t>
            </w:r>
          </w:p>
        </w:tc>
        <w:tc>
          <w:tcPr>
            <w:tcW w:w="1887" w:type="dxa"/>
            <w:gridSpan w:val="3"/>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7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5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w:t>
            </w:r>
          </w:p>
        </w:tc>
        <w:tc>
          <w:tcPr>
            <w:tcW w:w="2847"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一般公共服务支出</w:t>
            </w:r>
          </w:p>
        </w:tc>
        <w:tc>
          <w:tcPr>
            <w:tcW w:w="1850"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127.04</w:t>
            </w:r>
          </w:p>
        </w:tc>
        <w:tc>
          <w:tcPr>
            <w:tcW w:w="171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104.04</w:t>
            </w:r>
          </w:p>
        </w:tc>
        <w:tc>
          <w:tcPr>
            <w:tcW w:w="1675"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23.00</w:t>
            </w:r>
          </w:p>
        </w:tc>
        <w:tc>
          <w:tcPr>
            <w:tcW w:w="1887" w:type="dxa"/>
            <w:gridSpan w:val="3"/>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775"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50"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20129</w:t>
            </w:r>
          </w:p>
        </w:tc>
        <w:tc>
          <w:tcPr>
            <w:tcW w:w="2847"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群众团体事务</w:t>
            </w:r>
          </w:p>
        </w:tc>
        <w:tc>
          <w:tcPr>
            <w:tcW w:w="1850"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127.04</w:t>
            </w:r>
          </w:p>
        </w:tc>
        <w:tc>
          <w:tcPr>
            <w:tcW w:w="171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104.04</w:t>
            </w:r>
          </w:p>
        </w:tc>
        <w:tc>
          <w:tcPr>
            <w:tcW w:w="1675"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23.00</w:t>
            </w:r>
          </w:p>
        </w:tc>
        <w:tc>
          <w:tcPr>
            <w:tcW w:w="1887" w:type="dxa"/>
            <w:gridSpan w:val="3"/>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775"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50"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gridSpan w:val="2"/>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2012901</w:t>
            </w:r>
          </w:p>
        </w:tc>
        <w:tc>
          <w:tcPr>
            <w:tcW w:w="2847" w:type="dxa"/>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5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104.04</w:t>
            </w:r>
          </w:p>
        </w:tc>
        <w:tc>
          <w:tcPr>
            <w:tcW w:w="17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104.04</w:t>
            </w:r>
          </w:p>
        </w:tc>
        <w:tc>
          <w:tcPr>
            <w:tcW w:w="167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87" w:type="dxa"/>
            <w:gridSpan w:val="3"/>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7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5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gridSpan w:val="2"/>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2012999</w:t>
            </w:r>
          </w:p>
        </w:tc>
        <w:tc>
          <w:tcPr>
            <w:tcW w:w="2847" w:type="dxa"/>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其他群众团体事务支出</w:t>
            </w:r>
          </w:p>
        </w:tc>
        <w:tc>
          <w:tcPr>
            <w:tcW w:w="185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23.00</w:t>
            </w:r>
          </w:p>
        </w:tc>
        <w:tc>
          <w:tcPr>
            <w:tcW w:w="17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7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23.00</w:t>
            </w:r>
          </w:p>
        </w:tc>
        <w:tc>
          <w:tcPr>
            <w:tcW w:w="1887" w:type="dxa"/>
            <w:gridSpan w:val="3"/>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7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5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w:t>
            </w:r>
          </w:p>
        </w:tc>
        <w:tc>
          <w:tcPr>
            <w:tcW w:w="2847"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850"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15.43</w:t>
            </w:r>
          </w:p>
        </w:tc>
        <w:tc>
          <w:tcPr>
            <w:tcW w:w="171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15.43</w:t>
            </w:r>
          </w:p>
        </w:tc>
        <w:tc>
          <w:tcPr>
            <w:tcW w:w="1675"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87" w:type="dxa"/>
            <w:gridSpan w:val="3"/>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775"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50"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20805</w:t>
            </w:r>
          </w:p>
        </w:tc>
        <w:tc>
          <w:tcPr>
            <w:tcW w:w="2847"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行政事业单位养老支出</w:t>
            </w:r>
          </w:p>
        </w:tc>
        <w:tc>
          <w:tcPr>
            <w:tcW w:w="1850"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15.29</w:t>
            </w:r>
          </w:p>
        </w:tc>
        <w:tc>
          <w:tcPr>
            <w:tcW w:w="171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15.29</w:t>
            </w:r>
          </w:p>
        </w:tc>
        <w:tc>
          <w:tcPr>
            <w:tcW w:w="1675"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87" w:type="dxa"/>
            <w:gridSpan w:val="3"/>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775"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50"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gridSpan w:val="2"/>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2847" w:type="dxa"/>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185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w:t>
            </w:r>
          </w:p>
        </w:tc>
        <w:tc>
          <w:tcPr>
            <w:tcW w:w="17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w:t>
            </w:r>
          </w:p>
        </w:tc>
        <w:tc>
          <w:tcPr>
            <w:tcW w:w="167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87" w:type="dxa"/>
            <w:gridSpan w:val="3"/>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7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5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gridSpan w:val="2"/>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2847" w:type="dxa"/>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85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w:t>
            </w:r>
          </w:p>
        </w:tc>
        <w:tc>
          <w:tcPr>
            <w:tcW w:w="17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w:t>
            </w:r>
          </w:p>
        </w:tc>
        <w:tc>
          <w:tcPr>
            <w:tcW w:w="167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87" w:type="dxa"/>
            <w:gridSpan w:val="3"/>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7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5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20899</w:t>
            </w:r>
          </w:p>
        </w:tc>
        <w:tc>
          <w:tcPr>
            <w:tcW w:w="2847"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其他社会保障和就业支出</w:t>
            </w:r>
          </w:p>
        </w:tc>
        <w:tc>
          <w:tcPr>
            <w:tcW w:w="1850"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0.14</w:t>
            </w:r>
          </w:p>
        </w:tc>
        <w:tc>
          <w:tcPr>
            <w:tcW w:w="171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0.14</w:t>
            </w:r>
          </w:p>
        </w:tc>
        <w:tc>
          <w:tcPr>
            <w:tcW w:w="1675"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87" w:type="dxa"/>
            <w:gridSpan w:val="3"/>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775"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50"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gridSpan w:val="2"/>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2089999</w:t>
            </w:r>
          </w:p>
        </w:tc>
        <w:tc>
          <w:tcPr>
            <w:tcW w:w="2847" w:type="dxa"/>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85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0.14</w:t>
            </w:r>
          </w:p>
        </w:tc>
        <w:tc>
          <w:tcPr>
            <w:tcW w:w="17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0.14</w:t>
            </w:r>
          </w:p>
        </w:tc>
        <w:tc>
          <w:tcPr>
            <w:tcW w:w="167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87" w:type="dxa"/>
            <w:gridSpan w:val="3"/>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7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5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210</w:t>
            </w:r>
          </w:p>
        </w:tc>
        <w:tc>
          <w:tcPr>
            <w:tcW w:w="2847"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卫生健康支出</w:t>
            </w:r>
          </w:p>
        </w:tc>
        <w:tc>
          <w:tcPr>
            <w:tcW w:w="1850"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5.94</w:t>
            </w:r>
          </w:p>
        </w:tc>
        <w:tc>
          <w:tcPr>
            <w:tcW w:w="171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5.94</w:t>
            </w:r>
          </w:p>
        </w:tc>
        <w:tc>
          <w:tcPr>
            <w:tcW w:w="1675"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87" w:type="dxa"/>
            <w:gridSpan w:val="3"/>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775"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50"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21011</w:t>
            </w:r>
          </w:p>
        </w:tc>
        <w:tc>
          <w:tcPr>
            <w:tcW w:w="2847"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行政事业单位医疗</w:t>
            </w:r>
          </w:p>
        </w:tc>
        <w:tc>
          <w:tcPr>
            <w:tcW w:w="1850"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5.94</w:t>
            </w:r>
          </w:p>
        </w:tc>
        <w:tc>
          <w:tcPr>
            <w:tcW w:w="171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5.94</w:t>
            </w:r>
          </w:p>
        </w:tc>
        <w:tc>
          <w:tcPr>
            <w:tcW w:w="1675"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87" w:type="dxa"/>
            <w:gridSpan w:val="3"/>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775"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50"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gridSpan w:val="2"/>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2847" w:type="dxa"/>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85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w:t>
            </w:r>
          </w:p>
        </w:tc>
        <w:tc>
          <w:tcPr>
            <w:tcW w:w="17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w:t>
            </w:r>
          </w:p>
        </w:tc>
        <w:tc>
          <w:tcPr>
            <w:tcW w:w="167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87" w:type="dxa"/>
            <w:gridSpan w:val="3"/>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7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5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gridSpan w:val="2"/>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2847" w:type="dxa"/>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85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w:t>
            </w:r>
          </w:p>
        </w:tc>
        <w:tc>
          <w:tcPr>
            <w:tcW w:w="17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w:t>
            </w:r>
          </w:p>
        </w:tc>
        <w:tc>
          <w:tcPr>
            <w:tcW w:w="167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87" w:type="dxa"/>
            <w:gridSpan w:val="3"/>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7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5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221</w:t>
            </w:r>
          </w:p>
        </w:tc>
        <w:tc>
          <w:tcPr>
            <w:tcW w:w="2847"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住房保障支出</w:t>
            </w:r>
          </w:p>
        </w:tc>
        <w:tc>
          <w:tcPr>
            <w:tcW w:w="1850"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5.68</w:t>
            </w:r>
          </w:p>
        </w:tc>
        <w:tc>
          <w:tcPr>
            <w:tcW w:w="171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5.68</w:t>
            </w:r>
          </w:p>
        </w:tc>
        <w:tc>
          <w:tcPr>
            <w:tcW w:w="1675"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87" w:type="dxa"/>
            <w:gridSpan w:val="3"/>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775"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50"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22102</w:t>
            </w:r>
          </w:p>
        </w:tc>
        <w:tc>
          <w:tcPr>
            <w:tcW w:w="2847"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住房改革支出</w:t>
            </w:r>
          </w:p>
        </w:tc>
        <w:tc>
          <w:tcPr>
            <w:tcW w:w="1850"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5.68</w:t>
            </w:r>
          </w:p>
        </w:tc>
        <w:tc>
          <w:tcPr>
            <w:tcW w:w="171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5.68</w:t>
            </w:r>
          </w:p>
        </w:tc>
        <w:tc>
          <w:tcPr>
            <w:tcW w:w="1675"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87" w:type="dxa"/>
            <w:gridSpan w:val="3"/>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775"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50"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61" w:type="dxa"/>
            <w:gridSpan w:val="2"/>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2847" w:type="dxa"/>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85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5.68</w:t>
            </w:r>
          </w:p>
        </w:tc>
        <w:tc>
          <w:tcPr>
            <w:tcW w:w="17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5.68</w:t>
            </w:r>
          </w:p>
        </w:tc>
        <w:tc>
          <w:tcPr>
            <w:tcW w:w="167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87" w:type="dxa"/>
            <w:gridSpan w:val="3"/>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7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5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4358" w:type="dxa"/>
            <w:gridSpan w:val="16"/>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555" w:hRule="atLeast"/>
        </w:trPr>
        <w:tc>
          <w:tcPr>
            <w:tcW w:w="12444" w:type="dxa"/>
            <w:gridSpan w:val="14"/>
            <w:tcBorders>
              <w:top w:val="nil"/>
              <w:left w:val="nil"/>
              <w:bottom w:val="nil"/>
              <w:right w:val="single" w:color="80808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Tahoma" w:hAnsi="Tahoma" w:eastAsia="Tahoma" w:cs="Tahoma"/>
                <w:i w:val="0"/>
                <w:color w:val="000000"/>
                <w:sz w:val="16"/>
                <w:szCs w:val="16"/>
                <w:u w:val="none"/>
              </w:rPr>
            </w:pPr>
          </w:p>
        </w:tc>
        <w:tc>
          <w:tcPr>
            <w:tcW w:w="1855" w:type="dxa"/>
            <w:gridSpan w:val="2"/>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12" w:type="dxa"/>
            <w:gridSpan w:val="2"/>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3" w:type="dxa"/>
            <w:gridSpan w:val="2"/>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25" w:type="dxa"/>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62" w:type="dxa"/>
            <w:gridSpan w:val="2"/>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0" w:type="dxa"/>
            <w:gridSpan w:val="2"/>
            <w:tcBorders>
              <w:top w:val="nil"/>
              <w:left w:val="nil"/>
              <w:bottom w:val="nil"/>
              <w:right w:val="single" w:color="80808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12444" w:type="dxa"/>
            <w:gridSpan w:val="14"/>
            <w:tcBorders>
              <w:top w:val="nil"/>
              <w:left w:val="nil"/>
              <w:bottom w:val="single" w:color="808080" w:sz="4" w:space="0"/>
              <w:right w:val="single" w:color="80808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公开部门：重庆市大足区社会科学界联合会</w:t>
            </w:r>
          </w:p>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5032" w:type="dxa"/>
            <w:gridSpan w:val="5"/>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     入</w:t>
            </w:r>
          </w:p>
        </w:tc>
        <w:tc>
          <w:tcPr>
            <w:tcW w:w="7412" w:type="dxa"/>
            <w:gridSpan w:val="9"/>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285" w:hRule="atLeast"/>
        </w:trPr>
        <w:tc>
          <w:tcPr>
            <w:tcW w:w="3177" w:type="dxa"/>
            <w:gridSpan w:val="3"/>
            <w:vMerge w:val="restart"/>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1855" w:type="dxa"/>
            <w:gridSpan w:val="2"/>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决算数</w:t>
            </w:r>
          </w:p>
        </w:tc>
        <w:tc>
          <w:tcPr>
            <w:tcW w:w="2412" w:type="dxa"/>
            <w:gridSpan w:val="2"/>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功能分类科目</w:t>
            </w:r>
          </w:p>
        </w:tc>
        <w:tc>
          <w:tcPr>
            <w:tcW w:w="5000" w:type="dxa"/>
            <w:gridSpan w:val="7"/>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600" w:hRule="atLeast"/>
        </w:trPr>
        <w:tc>
          <w:tcPr>
            <w:tcW w:w="3177" w:type="dxa"/>
            <w:gridSpan w:val="3"/>
            <w:vMerge w:val="continue"/>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855"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412"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1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122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一般公共预算财政拨款</w:t>
            </w:r>
          </w:p>
        </w:tc>
        <w:tc>
          <w:tcPr>
            <w:tcW w:w="116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政府性基金预算财政拨款</w:t>
            </w:r>
          </w:p>
        </w:tc>
        <w:tc>
          <w:tcPr>
            <w:tcW w:w="1400"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85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154.10</w:t>
            </w: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127.04</w:t>
            </w: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127.04</w:t>
            </w: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85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w:t>
            </w:r>
          </w:p>
        </w:tc>
        <w:tc>
          <w:tcPr>
            <w:tcW w:w="185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55"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55"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55"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55"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55"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15.44</w:t>
            </w: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15.44</w:t>
            </w: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55"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w:t>
            </w: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w:t>
            </w: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55"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55"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55"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55"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55"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55"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55"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55"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55"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55"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5.68</w:t>
            </w: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5.68</w:t>
            </w: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55"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55"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55"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55"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85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154.10</w:t>
            </w: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185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85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85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154.10</w:t>
            </w: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154.10</w:t>
            </w: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w:t>
            </w:r>
          </w:p>
        </w:tc>
        <w:tc>
          <w:tcPr>
            <w:tcW w:w="185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00" w:hRule="atLeast"/>
        </w:trPr>
        <w:tc>
          <w:tcPr>
            <w:tcW w:w="3177" w:type="dxa"/>
            <w:gridSpan w:val="3"/>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855"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154.10</w:t>
            </w:r>
          </w:p>
        </w:tc>
        <w:tc>
          <w:tcPr>
            <w:tcW w:w="2412"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213"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154.10</w:t>
            </w:r>
          </w:p>
        </w:tc>
        <w:tc>
          <w:tcPr>
            <w:tcW w:w="122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154.10</w:t>
            </w:r>
          </w:p>
        </w:tc>
        <w:tc>
          <w:tcPr>
            <w:tcW w:w="1162"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33" w:type="dxa"/>
          <w:wAfter w:w="881" w:type="dxa"/>
          <w:trHeight w:val="360" w:hRule="atLeast"/>
        </w:trPr>
        <w:tc>
          <w:tcPr>
            <w:tcW w:w="12444" w:type="dxa"/>
            <w:gridSpan w:val="14"/>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备注：本表反映部门本年度一般公共预算财政拨款、政府性基金预算财政拨款及国有资本经营预算财政拨款的总收支和年末结转结余情况。</w:t>
            </w:r>
          </w:p>
        </w:tc>
      </w:tr>
    </w:tbl>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7"/>
        <w:gridCol w:w="671"/>
        <w:gridCol w:w="1620"/>
        <w:gridCol w:w="325"/>
        <w:gridCol w:w="324"/>
        <w:gridCol w:w="99"/>
        <w:gridCol w:w="1199"/>
        <w:gridCol w:w="838"/>
        <w:gridCol w:w="947"/>
        <w:gridCol w:w="1506"/>
        <w:gridCol w:w="694"/>
        <w:gridCol w:w="7"/>
        <w:gridCol w:w="831"/>
        <w:gridCol w:w="1376"/>
        <w:gridCol w:w="947"/>
        <w:gridCol w:w="1257"/>
        <w:gridCol w:w="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555" w:hRule="atLeast"/>
          <w:jc w:val="center"/>
        </w:trPr>
        <w:tc>
          <w:tcPr>
            <w:tcW w:w="12641" w:type="dxa"/>
            <w:gridSpan w:val="15"/>
            <w:tcBorders>
              <w:top w:val="nil"/>
              <w:left w:val="nil"/>
              <w:bottom w:val="nil"/>
              <w:right w:val="single" w:color="80808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2291" w:type="dxa"/>
            <w:gridSpan w:val="2"/>
            <w:tcBorders>
              <w:top w:val="nil"/>
              <w:left w:val="nil"/>
              <w:bottom w:val="nil"/>
              <w:right w:val="nil"/>
            </w:tcBorders>
            <w:shd w:val="clear" w:color="auto" w:fill="FFFFFF"/>
            <w:noWrap w:val="0"/>
            <w:tcMar>
              <w:top w:w="15" w:type="dxa"/>
              <w:left w:w="15" w:type="dxa"/>
              <w:right w:w="15" w:type="dxa"/>
            </w:tcMar>
            <w:vAlign w:val="center"/>
          </w:tcPr>
          <w:p>
            <w:pPr>
              <w:jc w:val="left"/>
              <w:rPr>
                <w:rFonts w:hint="default" w:ascii="Tahoma" w:hAnsi="Tahoma" w:eastAsia="Tahoma" w:cs="Tahoma"/>
                <w:i w:val="0"/>
                <w:color w:val="000000"/>
                <w:sz w:val="16"/>
                <w:szCs w:val="16"/>
                <w:u w:val="none"/>
              </w:rPr>
            </w:pPr>
          </w:p>
        </w:tc>
        <w:tc>
          <w:tcPr>
            <w:tcW w:w="325" w:type="dxa"/>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4" w:type="dxa"/>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83" w:type="dxa"/>
            <w:gridSpan w:val="4"/>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07" w:type="dxa"/>
            <w:gridSpan w:val="3"/>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07" w:type="dxa"/>
            <w:gridSpan w:val="2"/>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04" w:type="dxa"/>
            <w:gridSpan w:val="2"/>
            <w:tcBorders>
              <w:top w:val="nil"/>
              <w:left w:val="nil"/>
              <w:bottom w:val="nil"/>
              <w:right w:val="single" w:color="80808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12641" w:type="dxa"/>
            <w:gridSpan w:val="15"/>
            <w:tcBorders>
              <w:top w:val="nil"/>
              <w:left w:val="nil"/>
              <w:bottom w:val="single" w:color="808080" w:sz="4" w:space="0"/>
              <w:right w:val="single" w:color="80808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公开部门：重庆市大足区社会科学界联合会</w:t>
            </w:r>
          </w:p>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6023" w:type="dxa"/>
            <w:gridSpan w:val="8"/>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6618" w:type="dxa"/>
            <w:gridSpan w:val="7"/>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2940" w:type="dxa"/>
            <w:gridSpan w:val="4"/>
            <w:vMerge w:val="restart"/>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功能分类科目编码</w:t>
            </w:r>
          </w:p>
        </w:tc>
        <w:tc>
          <w:tcPr>
            <w:tcW w:w="3083" w:type="dxa"/>
            <w:gridSpan w:val="4"/>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18"/>
                <w:szCs w:val="18"/>
                <w:u w:val="none"/>
                <w:lang w:val="en-US" w:eastAsia="zh-CN" w:bidi="ar"/>
              </w:rPr>
              <w:t>项目（按“项”级功能分类科目）</w:t>
            </w:r>
          </w:p>
        </w:tc>
        <w:tc>
          <w:tcPr>
            <w:tcW w:w="2207" w:type="dxa"/>
            <w:gridSpan w:val="3"/>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2207" w:type="dxa"/>
            <w:gridSpan w:val="2"/>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2204" w:type="dxa"/>
            <w:gridSpan w:val="2"/>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270" w:hRule="atLeast"/>
          <w:jc w:val="center"/>
        </w:trPr>
        <w:tc>
          <w:tcPr>
            <w:tcW w:w="2940" w:type="dxa"/>
            <w:gridSpan w:val="4"/>
            <w:vMerge w:val="continue"/>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083" w:type="dxa"/>
            <w:gridSpan w:val="4"/>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207" w:type="dxa"/>
            <w:gridSpan w:val="3"/>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207"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204"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12" w:hRule="atLeast"/>
          <w:jc w:val="center"/>
        </w:trPr>
        <w:tc>
          <w:tcPr>
            <w:tcW w:w="2940" w:type="dxa"/>
            <w:gridSpan w:val="4"/>
            <w:vMerge w:val="continue"/>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083" w:type="dxa"/>
            <w:gridSpan w:val="4"/>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207" w:type="dxa"/>
            <w:gridSpan w:val="3"/>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207"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204"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6023" w:type="dxa"/>
            <w:gridSpan w:val="8"/>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2207" w:type="dxa"/>
            <w:gridSpan w:val="3"/>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154.10</w:t>
            </w:r>
          </w:p>
        </w:tc>
        <w:tc>
          <w:tcPr>
            <w:tcW w:w="2207"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131.10</w:t>
            </w:r>
          </w:p>
        </w:tc>
        <w:tc>
          <w:tcPr>
            <w:tcW w:w="220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2940" w:type="dxa"/>
            <w:gridSpan w:val="4"/>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w:t>
            </w:r>
          </w:p>
        </w:tc>
        <w:tc>
          <w:tcPr>
            <w:tcW w:w="3083"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一般公共服务支出</w:t>
            </w:r>
          </w:p>
        </w:tc>
        <w:tc>
          <w:tcPr>
            <w:tcW w:w="2207" w:type="dxa"/>
            <w:gridSpan w:val="3"/>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127.04</w:t>
            </w:r>
          </w:p>
        </w:tc>
        <w:tc>
          <w:tcPr>
            <w:tcW w:w="2207"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104.04</w:t>
            </w:r>
          </w:p>
        </w:tc>
        <w:tc>
          <w:tcPr>
            <w:tcW w:w="2204"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2940" w:type="dxa"/>
            <w:gridSpan w:val="4"/>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20129</w:t>
            </w:r>
          </w:p>
        </w:tc>
        <w:tc>
          <w:tcPr>
            <w:tcW w:w="3083"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群众团体事务</w:t>
            </w:r>
          </w:p>
        </w:tc>
        <w:tc>
          <w:tcPr>
            <w:tcW w:w="2207" w:type="dxa"/>
            <w:gridSpan w:val="3"/>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127.04</w:t>
            </w:r>
          </w:p>
        </w:tc>
        <w:tc>
          <w:tcPr>
            <w:tcW w:w="2207"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104.04</w:t>
            </w:r>
          </w:p>
        </w:tc>
        <w:tc>
          <w:tcPr>
            <w:tcW w:w="2204"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2940" w:type="dxa"/>
            <w:gridSpan w:val="4"/>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2012901</w:t>
            </w:r>
          </w:p>
        </w:tc>
        <w:tc>
          <w:tcPr>
            <w:tcW w:w="3083" w:type="dxa"/>
            <w:gridSpan w:val="4"/>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207" w:type="dxa"/>
            <w:gridSpan w:val="3"/>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104.04</w:t>
            </w:r>
          </w:p>
        </w:tc>
        <w:tc>
          <w:tcPr>
            <w:tcW w:w="2207"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104.04</w:t>
            </w:r>
          </w:p>
        </w:tc>
        <w:tc>
          <w:tcPr>
            <w:tcW w:w="220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2940" w:type="dxa"/>
            <w:gridSpan w:val="4"/>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2012999</w:t>
            </w:r>
          </w:p>
        </w:tc>
        <w:tc>
          <w:tcPr>
            <w:tcW w:w="3083" w:type="dxa"/>
            <w:gridSpan w:val="4"/>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其他群众团体事务支出</w:t>
            </w:r>
          </w:p>
        </w:tc>
        <w:tc>
          <w:tcPr>
            <w:tcW w:w="2207" w:type="dxa"/>
            <w:gridSpan w:val="3"/>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23.00</w:t>
            </w:r>
          </w:p>
        </w:tc>
        <w:tc>
          <w:tcPr>
            <w:tcW w:w="2207"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0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2940" w:type="dxa"/>
            <w:gridSpan w:val="4"/>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w:t>
            </w:r>
          </w:p>
        </w:tc>
        <w:tc>
          <w:tcPr>
            <w:tcW w:w="3083"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社会保障和就业支出</w:t>
            </w:r>
          </w:p>
        </w:tc>
        <w:tc>
          <w:tcPr>
            <w:tcW w:w="2207" w:type="dxa"/>
            <w:gridSpan w:val="3"/>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15.43</w:t>
            </w:r>
          </w:p>
        </w:tc>
        <w:tc>
          <w:tcPr>
            <w:tcW w:w="2207"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15.43</w:t>
            </w:r>
          </w:p>
        </w:tc>
        <w:tc>
          <w:tcPr>
            <w:tcW w:w="2204"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2940" w:type="dxa"/>
            <w:gridSpan w:val="4"/>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20805</w:t>
            </w:r>
          </w:p>
        </w:tc>
        <w:tc>
          <w:tcPr>
            <w:tcW w:w="3083"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行政事业单位养老支出</w:t>
            </w:r>
          </w:p>
        </w:tc>
        <w:tc>
          <w:tcPr>
            <w:tcW w:w="2207" w:type="dxa"/>
            <w:gridSpan w:val="3"/>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15.29</w:t>
            </w:r>
          </w:p>
        </w:tc>
        <w:tc>
          <w:tcPr>
            <w:tcW w:w="2207"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15.29</w:t>
            </w:r>
          </w:p>
        </w:tc>
        <w:tc>
          <w:tcPr>
            <w:tcW w:w="2204"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2940" w:type="dxa"/>
            <w:gridSpan w:val="4"/>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083" w:type="dxa"/>
            <w:gridSpan w:val="4"/>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207" w:type="dxa"/>
            <w:gridSpan w:val="3"/>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w:t>
            </w:r>
          </w:p>
        </w:tc>
        <w:tc>
          <w:tcPr>
            <w:tcW w:w="2207"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w:t>
            </w:r>
          </w:p>
        </w:tc>
        <w:tc>
          <w:tcPr>
            <w:tcW w:w="220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2940" w:type="dxa"/>
            <w:gridSpan w:val="4"/>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3083" w:type="dxa"/>
            <w:gridSpan w:val="4"/>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2207" w:type="dxa"/>
            <w:gridSpan w:val="3"/>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w:t>
            </w:r>
          </w:p>
        </w:tc>
        <w:tc>
          <w:tcPr>
            <w:tcW w:w="2207"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w:t>
            </w:r>
          </w:p>
        </w:tc>
        <w:tc>
          <w:tcPr>
            <w:tcW w:w="220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2940" w:type="dxa"/>
            <w:gridSpan w:val="4"/>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20899</w:t>
            </w:r>
          </w:p>
        </w:tc>
        <w:tc>
          <w:tcPr>
            <w:tcW w:w="3083"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其他社会保障和就业支出</w:t>
            </w:r>
          </w:p>
        </w:tc>
        <w:tc>
          <w:tcPr>
            <w:tcW w:w="2207" w:type="dxa"/>
            <w:gridSpan w:val="3"/>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0.14</w:t>
            </w:r>
          </w:p>
        </w:tc>
        <w:tc>
          <w:tcPr>
            <w:tcW w:w="2207"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0.14</w:t>
            </w:r>
          </w:p>
        </w:tc>
        <w:tc>
          <w:tcPr>
            <w:tcW w:w="2204"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2940" w:type="dxa"/>
            <w:gridSpan w:val="4"/>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2089999</w:t>
            </w:r>
          </w:p>
        </w:tc>
        <w:tc>
          <w:tcPr>
            <w:tcW w:w="3083" w:type="dxa"/>
            <w:gridSpan w:val="4"/>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2207" w:type="dxa"/>
            <w:gridSpan w:val="3"/>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0.14</w:t>
            </w:r>
          </w:p>
        </w:tc>
        <w:tc>
          <w:tcPr>
            <w:tcW w:w="2207"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0.14</w:t>
            </w:r>
          </w:p>
        </w:tc>
        <w:tc>
          <w:tcPr>
            <w:tcW w:w="220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2940" w:type="dxa"/>
            <w:gridSpan w:val="4"/>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210</w:t>
            </w:r>
          </w:p>
        </w:tc>
        <w:tc>
          <w:tcPr>
            <w:tcW w:w="3083"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卫生健康支出</w:t>
            </w:r>
          </w:p>
        </w:tc>
        <w:tc>
          <w:tcPr>
            <w:tcW w:w="2207" w:type="dxa"/>
            <w:gridSpan w:val="3"/>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5.94</w:t>
            </w:r>
          </w:p>
        </w:tc>
        <w:tc>
          <w:tcPr>
            <w:tcW w:w="2207"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5.94</w:t>
            </w:r>
          </w:p>
        </w:tc>
        <w:tc>
          <w:tcPr>
            <w:tcW w:w="2204"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2940" w:type="dxa"/>
            <w:gridSpan w:val="4"/>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21011</w:t>
            </w:r>
          </w:p>
        </w:tc>
        <w:tc>
          <w:tcPr>
            <w:tcW w:w="3083"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行政事业单位医疗</w:t>
            </w:r>
          </w:p>
        </w:tc>
        <w:tc>
          <w:tcPr>
            <w:tcW w:w="2207" w:type="dxa"/>
            <w:gridSpan w:val="3"/>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5.94</w:t>
            </w:r>
          </w:p>
        </w:tc>
        <w:tc>
          <w:tcPr>
            <w:tcW w:w="2207"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5.94</w:t>
            </w:r>
          </w:p>
        </w:tc>
        <w:tc>
          <w:tcPr>
            <w:tcW w:w="2204"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2940" w:type="dxa"/>
            <w:gridSpan w:val="4"/>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083" w:type="dxa"/>
            <w:gridSpan w:val="4"/>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2207" w:type="dxa"/>
            <w:gridSpan w:val="3"/>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w:t>
            </w:r>
          </w:p>
        </w:tc>
        <w:tc>
          <w:tcPr>
            <w:tcW w:w="2207"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w:t>
            </w:r>
          </w:p>
        </w:tc>
        <w:tc>
          <w:tcPr>
            <w:tcW w:w="220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2940" w:type="dxa"/>
            <w:gridSpan w:val="4"/>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3083" w:type="dxa"/>
            <w:gridSpan w:val="4"/>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2207" w:type="dxa"/>
            <w:gridSpan w:val="3"/>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w:t>
            </w:r>
          </w:p>
        </w:tc>
        <w:tc>
          <w:tcPr>
            <w:tcW w:w="2207"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w:t>
            </w:r>
          </w:p>
        </w:tc>
        <w:tc>
          <w:tcPr>
            <w:tcW w:w="220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2940" w:type="dxa"/>
            <w:gridSpan w:val="4"/>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221</w:t>
            </w:r>
          </w:p>
        </w:tc>
        <w:tc>
          <w:tcPr>
            <w:tcW w:w="3083"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住房保障支出</w:t>
            </w:r>
          </w:p>
        </w:tc>
        <w:tc>
          <w:tcPr>
            <w:tcW w:w="2207" w:type="dxa"/>
            <w:gridSpan w:val="3"/>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5.68</w:t>
            </w:r>
          </w:p>
        </w:tc>
        <w:tc>
          <w:tcPr>
            <w:tcW w:w="2207"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5.68</w:t>
            </w:r>
          </w:p>
        </w:tc>
        <w:tc>
          <w:tcPr>
            <w:tcW w:w="2204"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2940" w:type="dxa"/>
            <w:gridSpan w:val="4"/>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22102</w:t>
            </w:r>
          </w:p>
        </w:tc>
        <w:tc>
          <w:tcPr>
            <w:tcW w:w="3083"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住房改革支出</w:t>
            </w:r>
          </w:p>
        </w:tc>
        <w:tc>
          <w:tcPr>
            <w:tcW w:w="2207" w:type="dxa"/>
            <w:gridSpan w:val="3"/>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5.68</w:t>
            </w:r>
          </w:p>
        </w:tc>
        <w:tc>
          <w:tcPr>
            <w:tcW w:w="2207"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5.68</w:t>
            </w:r>
          </w:p>
        </w:tc>
        <w:tc>
          <w:tcPr>
            <w:tcW w:w="2204"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2940" w:type="dxa"/>
            <w:gridSpan w:val="4"/>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083" w:type="dxa"/>
            <w:gridSpan w:val="4"/>
            <w:tcBorders>
              <w:top w:val="nil"/>
              <w:left w:val="nil"/>
              <w:bottom w:val="single" w:color="000000" w:sz="4" w:space="0"/>
              <w:right w:val="single" w:color="000000" w:sz="4" w:space="0"/>
            </w:tcBorders>
            <w:shd w:val="clear" w:color="auto" w:fill="CC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2207" w:type="dxa"/>
            <w:gridSpan w:val="3"/>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5.68</w:t>
            </w:r>
          </w:p>
        </w:tc>
        <w:tc>
          <w:tcPr>
            <w:tcW w:w="2207"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5.68</w:t>
            </w:r>
          </w:p>
        </w:tc>
        <w:tc>
          <w:tcPr>
            <w:tcW w:w="220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67" w:type="dxa"/>
          <w:wAfter w:w="167" w:type="dxa"/>
          <w:trHeight w:val="300" w:hRule="atLeast"/>
          <w:jc w:val="center"/>
        </w:trPr>
        <w:tc>
          <w:tcPr>
            <w:tcW w:w="12641" w:type="dxa"/>
            <w:gridSpan w:val="15"/>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备注：本表反映部门本年度一般公共预算财政拨款支出情况。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2975" w:type="dxa"/>
            <w:gridSpan w:val="17"/>
            <w:tcBorders>
              <w:top w:val="nil"/>
              <w:left w:val="nil"/>
              <w:bottom w:val="nil"/>
              <w:right w:val="single" w:color="80808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Tahoma" w:hAnsi="Tahoma" w:eastAsia="Tahoma" w:cs="Tahoma"/>
                <w:i w:val="0"/>
                <w:color w:val="000000"/>
                <w:sz w:val="16"/>
                <w:szCs w:val="16"/>
                <w:u w:val="none"/>
              </w:rPr>
            </w:pPr>
          </w:p>
        </w:tc>
        <w:tc>
          <w:tcPr>
            <w:tcW w:w="2368" w:type="dxa"/>
            <w:gridSpan w:val="4"/>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99"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53"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94"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3"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4" w:type="dxa"/>
            <w:gridSpan w:val="2"/>
            <w:tcBorders>
              <w:top w:val="nil"/>
              <w:left w:val="nil"/>
              <w:bottom w:val="nil"/>
              <w:right w:val="single" w:color="80808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75" w:type="dxa"/>
            <w:gridSpan w:val="17"/>
            <w:tcBorders>
              <w:top w:val="nil"/>
              <w:left w:val="nil"/>
              <w:bottom w:val="single" w:color="808080" w:sz="4" w:space="0"/>
              <w:right w:val="single" w:color="80808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公开部门：重庆市大足区社会科学界联合会</w:t>
            </w:r>
          </w:p>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4405" w:type="dxa"/>
            <w:gridSpan w:val="7"/>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人员经费</w:t>
            </w:r>
          </w:p>
        </w:tc>
        <w:tc>
          <w:tcPr>
            <w:tcW w:w="8570" w:type="dxa"/>
            <w:gridSpan w:val="10"/>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vMerge w:val="restart"/>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经济分类科目编码</w:t>
            </w:r>
          </w:p>
        </w:tc>
        <w:tc>
          <w:tcPr>
            <w:tcW w:w="2368" w:type="dxa"/>
            <w:gridSpan w:val="4"/>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经济分类科目（按“款”级功能分类科目）</w:t>
            </w:r>
          </w:p>
        </w:tc>
        <w:tc>
          <w:tcPr>
            <w:tcW w:w="1199" w:type="dxa"/>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金额</w:t>
            </w:r>
          </w:p>
        </w:tc>
        <w:tc>
          <w:tcPr>
            <w:tcW w:w="838" w:type="dxa"/>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经济分类科目编码</w:t>
            </w:r>
          </w:p>
        </w:tc>
        <w:tc>
          <w:tcPr>
            <w:tcW w:w="2453" w:type="dxa"/>
            <w:gridSpan w:val="2"/>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经济分类科目（按“款”级功能分类科目）</w:t>
            </w:r>
          </w:p>
        </w:tc>
        <w:tc>
          <w:tcPr>
            <w:tcW w:w="694" w:type="dxa"/>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金额</w:t>
            </w:r>
          </w:p>
        </w:tc>
        <w:tc>
          <w:tcPr>
            <w:tcW w:w="838" w:type="dxa"/>
            <w:gridSpan w:val="2"/>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经济分类科目编码</w:t>
            </w:r>
          </w:p>
        </w:tc>
        <w:tc>
          <w:tcPr>
            <w:tcW w:w="2323" w:type="dxa"/>
            <w:gridSpan w:val="2"/>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经济分类科目（按“款”级功能分类科目）</w:t>
            </w:r>
          </w:p>
        </w:tc>
        <w:tc>
          <w:tcPr>
            <w:tcW w:w="1424" w:type="dxa"/>
            <w:gridSpan w:val="2"/>
            <w:vMerge w:val="restart"/>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838" w:type="dxa"/>
            <w:gridSpan w:val="2"/>
            <w:vMerge w:val="continue"/>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368" w:type="dxa"/>
            <w:gridSpan w:val="4"/>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199"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38"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453"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94" w:type="dxa"/>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38"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323"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424" w:type="dxa"/>
            <w:gridSpan w:val="2"/>
            <w:vMerge w:val="continue"/>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114.52</w:t>
            </w: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16.59</w:t>
            </w: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29.89</w:t>
            </w: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0.94</w:t>
            </w: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19.32</w:t>
            </w: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0.38</w:t>
            </w: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33.23</w:t>
            </w: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专用设备购置</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伙食补助费</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手续费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大型修缮</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机关事业单位基本养老保险费</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w:t>
            </w: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职业年金缴费</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w:t>
            </w: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物资储备</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职工基本医疗保险缴费</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w:t>
            </w: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取暖费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土地补偿</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公务员医疗补助缴费</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w:t>
            </w: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物业管理费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安置补助</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其他社会保障缴费</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0.66</w:t>
            </w: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0.87</w:t>
            </w: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地上附着物和青苗补偿</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10.18</w:t>
            </w: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拆迁补偿</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0.07</w:t>
            </w: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0.48</w:t>
            </w: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其他交通工具购置</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0.32</w:t>
            </w: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文物和陈列品购置</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离休费</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无形资产购置</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退休费</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其他资本性支出</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退职（役）费</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专用材料费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对企业补助</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抚恤金</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被装购置费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31201</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资本金注入</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生活补助</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专用燃料费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31203</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政府投资基金股权投资</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救济费</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w:t>
            </w: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31204</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费用补贴</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医疗费补助</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委托业务费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31205</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利息补贴</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助学金</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31299</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其他对企业补助</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奖励金</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0.31</w:t>
            </w: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个人农业生产补贴</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国家赔偿费用支出</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代缴社会保险费</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w:t>
            </w: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对民间非营利组织和群众性自治组织补贴</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其他个人和家庭的补助支出</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税金及附加费用</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39909</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经常性赠与</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39910</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资本性赠与</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国内债务付息</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4"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国外债务付息</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4"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30703</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国内债务发行费用</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4"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38" w:type="dxa"/>
            <w:gridSpan w:val="2"/>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68" w:type="dxa"/>
            <w:gridSpan w:val="4"/>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9"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30704</w:t>
            </w:r>
          </w:p>
        </w:tc>
        <w:tc>
          <w:tcPr>
            <w:tcW w:w="245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国外债务发行费用</w:t>
            </w:r>
          </w:p>
        </w:tc>
        <w:tc>
          <w:tcPr>
            <w:tcW w:w="694"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3" w:type="dxa"/>
            <w:gridSpan w:val="2"/>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4" w:type="dxa"/>
            <w:gridSpan w:val="2"/>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3206" w:type="dxa"/>
            <w:gridSpan w:val="6"/>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人员经费合计</w:t>
            </w:r>
          </w:p>
        </w:tc>
        <w:tc>
          <w:tcPr>
            <w:tcW w:w="1199"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114.52</w:t>
            </w:r>
          </w:p>
        </w:tc>
        <w:tc>
          <w:tcPr>
            <w:tcW w:w="7146" w:type="dxa"/>
            <w:gridSpan w:val="8"/>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公用经费合计</w:t>
            </w:r>
          </w:p>
        </w:tc>
        <w:tc>
          <w:tcPr>
            <w:tcW w:w="1424" w:type="dxa"/>
            <w:gridSpan w:val="2"/>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75" w:type="dxa"/>
            <w:gridSpan w:val="17"/>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75" w:type="dxa"/>
            <w:gridSpan w:val="17"/>
            <w:tcBorders>
              <w:top w:val="nil"/>
              <w:left w:val="nil"/>
              <w:bottom w:val="nil"/>
              <w:right w:val="single" w:color="808080" w:sz="4" w:space="0"/>
            </w:tcBorders>
            <w:shd w:val="clear" w:color="auto" w:fill="FFFFFF"/>
            <w:noWrap w:val="0"/>
            <w:tcMar>
              <w:top w:w="15" w:type="dxa"/>
              <w:left w:w="15" w:type="dxa"/>
              <w:right w:w="15" w:type="dxa"/>
            </w:tcMar>
            <w:vAlign w:val="center"/>
          </w:tcPr>
          <w:p>
            <w:pPr>
              <w:jc w:val="center"/>
              <w:rPr>
                <w:rFonts w:hint="default" w:ascii="Tahoma" w:hAnsi="Tahoma" w:eastAsia="Tahoma" w:cs="Tahom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975" w:type="dxa"/>
            <w:gridSpan w:val="17"/>
            <w:tcBorders>
              <w:top w:val="nil"/>
              <w:left w:val="nil"/>
              <w:bottom w:val="single" w:color="808080" w:sz="4" w:space="0"/>
              <w:right w:val="single" w:color="80808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00"/>
        <w:gridCol w:w="1320"/>
        <w:gridCol w:w="1245"/>
        <w:gridCol w:w="1260"/>
        <w:gridCol w:w="4305"/>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2480" w:type="dxa"/>
            <w:gridSpan w:val="6"/>
            <w:tcBorders>
              <w:top w:val="nil"/>
              <w:left w:val="nil"/>
              <w:bottom w:val="nil"/>
              <w:right w:val="single" w:color="80808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44"/>
                <w:szCs w:val="44"/>
                <w:u w:val="none"/>
                <w:lang w:val="en-US" w:eastAsia="zh-CN" w:bidi="ar"/>
              </w:rPr>
              <w:t>机构运行信息表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480" w:type="dxa"/>
            <w:gridSpan w:val="6"/>
            <w:tcBorders>
              <w:top w:val="nil"/>
              <w:left w:val="nil"/>
              <w:bottom w:val="nil"/>
              <w:right w:val="single" w:color="80808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480" w:type="dxa"/>
            <w:gridSpan w:val="6"/>
            <w:tcBorders>
              <w:top w:val="nil"/>
              <w:left w:val="nil"/>
              <w:bottom w:val="single" w:color="808080" w:sz="4" w:space="0"/>
              <w:right w:val="single" w:color="80808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公开部门：重庆市大足区社会科学界联合会</w:t>
            </w:r>
          </w:p>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1320"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年初预算数</w:t>
            </w:r>
          </w:p>
        </w:tc>
        <w:tc>
          <w:tcPr>
            <w:tcW w:w="124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全年预算数</w:t>
            </w:r>
          </w:p>
        </w:tc>
        <w:tc>
          <w:tcPr>
            <w:tcW w:w="1260"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决算数</w:t>
            </w: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1650"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一、“三公”经费支出</w:t>
            </w:r>
          </w:p>
        </w:tc>
        <w:tc>
          <w:tcPr>
            <w:tcW w:w="13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四、机关运行经费</w:t>
            </w:r>
          </w:p>
        </w:tc>
        <w:tc>
          <w:tcPr>
            <w:tcW w:w="16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（一）支出合计</w:t>
            </w:r>
          </w:p>
        </w:tc>
        <w:tc>
          <w:tcPr>
            <w:tcW w:w="132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124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126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（一）行政单位</w:t>
            </w:r>
          </w:p>
        </w:tc>
        <w:tc>
          <w:tcPr>
            <w:tcW w:w="16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1．因公出国（境）费</w:t>
            </w:r>
          </w:p>
        </w:tc>
        <w:tc>
          <w:tcPr>
            <w:tcW w:w="132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（二）参照公务员法管理事业单位</w:t>
            </w:r>
          </w:p>
        </w:tc>
        <w:tc>
          <w:tcPr>
            <w:tcW w:w="16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2．公务用车购置及运行维护费</w:t>
            </w:r>
          </w:p>
        </w:tc>
        <w:tc>
          <w:tcPr>
            <w:tcW w:w="132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五、资产信息</w:t>
            </w:r>
          </w:p>
        </w:tc>
        <w:tc>
          <w:tcPr>
            <w:tcW w:w="165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（1）公务用车购置费</w:t>
            </w:r>
          </w:p>
        </w:tc>
        <w:tc>
          <w:tcPr>
            <w:tcW w:w="132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（一）车辆数合计（辆）</w:t>
            </w:r>
          </w:p>
        </w:tc>
        <w:tc>
          <w:tcPr>
            <w:tcW w:w="16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（2）公务用车运行维护费</w:t>
            </w:r>
          </w:p>
        </w:tc>
        <w:tc>
          <w:tcPr>
            <w:tcW w:w="132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1．副部（省）级及以上领导用车</w:t>
            </w:r>
          </w:p>
        </w:tc>
        <w:tc>
          <w:tcPr>
            <w:tcW w:w="16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3．公务接待费</w:t>
            </w:r>
          </w:p>
        </w:tc>
        <w:tc>
          <w:tcPr>
            <w:tcW w:w="132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1245"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126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2．主要领导干部用车</w:t>
            </w:r>
          </w:p>
        </w:tc>
        <w:tc>
          <w:tcPr>
            <w:tcW w:w="16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（1）国内接待费</w:t>
            </w:r>
          </w:p>
        </w:tc>
        <w:tc>
          <w:tcPr>
            <w:tcW w:w="13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3．机要通信用车</w:t>
            </w:r>
          </w:p>
        </w:tc>
        <w:tc>
          <w:tcPr>
            <w:tcW w:w="16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其中：外事接待费</w:t>
            </w:r>
          </w:p>
        </w:tc>
        <w:tc>
          <w:tcPr>
            <w:tcW w:w="13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4．应急保障用车</w:t>
            </w:r>
          </w:p>
        </w:tc>
        <w:tc>
          <w:tcPr>
            <w:tcW w:w="16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（2）国（境）外接待费</w:t>
            </w:r>
          </w:p>
        </w:tc>
        <w:tc>
          <w:tcPr>
            <w:tcW w:w="13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5．执法执勤用车</w:t>
            </w:r>
          </w:p>
        </w:tc>
        <w:tc>
          <w:tcPr>
            <w:tcW w:w="16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（二）相关统计数</w:t>
            </w:r>
          </w:p>
        </w:tc>
        <w:tc>
          <w:tcPr>
            <w:tcW w:w="13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6．特种专业技术用车</w:t>
            </w:r>
          </w:p>
        </w:tc>
        <w:tc>
          <w:tcPr>
            <w:tcW w:w="16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1．因公出国（境）团组数（个）</w:t>
            </w:r>
          </w:p>
        </w:tc>
        <w:tc>
          <w:tcPr>
            <w:tcW w:w="13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7．离退休干部用车</w:t>
            </w:r>
          </w:p>
        </w:tc>
        <w:tc>
          <w:tcPr>
            <w:tcW w:w="16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2．因公出国（境）人次数（人）</w:t>
            </w:r>
          </w:p>
        </w:tc>
        <w:tc>
          <w:tcPr>
            <w:tcW w:w="13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8．其他用车</w:t>
            </w:r>
          </w:p>
        </w:tc>
        <w:tc>
          <w:tcPr>
            <w:tcW w:w="16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3．公务用车购置数（辆）</w:t>
            </w:r>
          </w:p>
        </w:tc>
        <w:tc>
          <w:tcPr>
            <w:tcW w:w="13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（二）单价100万元（含）以上设备（不含车辆）</w:t>
            </w:r>
          </w:p>
        </w:tc>
        <w:tc>
          <w:tcPr>
            <w:tcW w:w="16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4．公务用车保有量（辆）</w:t>
            </w:r>
          </w:p>
        </w:tc>
        <w:tc>
          <w:tcPr>
            <w:tcW w:w="13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六、政府采购支出信息</w:t>
            </w:r>
          </w:p>
        </w:tc>
        <w:tc>
          <w:tcPr>
            <w:tcW w:w="165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5．国内公务接待批次（个）</w:t>
            </w:r>
          </w:p>
        </w:tc>
        <w:tc>
          <w:tcPr>
            <w:tcW w:w="13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（一）政府采购支出合计</w:t>
            </w:r>
          </w:p>
        </w:tc>
        <w:tc>
          <w:tcPr>
            <w:tcW w:w="16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其中：外事接待批次（个）</w:t>
            </w:r>
          </w:p>
        </w:tc>
        <w:tc>
          <w:tcPr>
            <w:tcW w:w="13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1．政府采购货物支出</w:t>
            </w:r>
          </w:p>
        </w:tc>
        <w:tc>
          <w:tcPr>
            <w:tcW w:w="16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6．国内公务接待人次（人）</w:t>
            </w:r>
          </w:p>
        </w:tc>
        <w:tc>
          <w:tcPr>
            <w:tcW w:w="13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2．政府采购工程支出</w:t>
            </w:r>
          </w:p>
        </w:tc>
        <w:tc>
          <w:tcPr>
            <w:tcW w:w="16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其中：外事接待人次（人）</w:t>
            </w:r>
          </w:p>
        </w:tc>
        <w:tc>
          <w:tcPr>
            <w:tcW w:w="13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3．政府采购服务支出</w:t>
            </w:r>
          </w:p>
        </w:tc>
        <w:tc>
          <w:tcPr>
            <w:tcW w:w="16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7．国（境）外公务接待批次（个）</w:t>
            </w:r>
          </w:p>
        </w:tc>
        <w:tc>
          <w:tcPr>
            <w:tcW w:w="13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（二）政府采购授予中小企业合同金额</w:t>
            </w:r>
          </w:p>
        </w:tc>
        <w:tc>
          <w:tcPr>
            <w:tcW w:w="16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8．国（境）外公务接待人次（人）</w:t>
            </w:r>
          </w:p>
        </w:tc>
        <w:tc>
          <w:tcPr>
            <w:tcW w:w="13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其中：授予小微企业合同金额</w:t>
            </w:r>
          </w:p>
        </w:tc>
        <w:tc>
          <w:tcPr>
            <w:tcW w:w="165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二、会议费</w:t>
            </w:r>
          </w:p>
        </w:tc>
        <w:tc>
          <w:tcPr>
            <w:tcW w:w="13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3.92</w:t>
            </w: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5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2700" w:type="dxa"/>
            <w:tcBorders>
              <w:top w:val="nil"/>
              <w:left w:val="single" w:color="000000" w:sz="4" w:space="0"/>
              <w:bottom w:val="single" w:color="000000" w:sz="4" w:space="0"/>
              <w:right w:val="single" w:color="000000" w:sz="4" w:space="0"/>
            </w:tcBorders>
            <w:shd w:val="clear" w:color="auto" w:fill="C0C0C0"/>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三、培训费</w:t>
            </w:r>
          </w:p>
        </w:tc>
        <w:tc>
          <w:tcPr>
            <w:tcW w:w="132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45"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260" w:type="dxa"/>
            <w:tcBorders>
              <w:top w:val="nil"/>
              <w:left w:val="nil"/>
              <w:bottom w:val="single" w:color="000000" w:sz="4" w:space="0"/>
              <w:right w:val="single" w:color="000000" w:sz="4" w:space="0"/>
            </w:tcBorders>
            <w:shd w:val="clear" w:color="auto" w:fill="00FF00"/>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5" w:type="dxa"/>
            <w:tcBorders>
              <w:top w:val="nil"/>
              <w:left w:val="nil"/>
              <w:bottom w:val="single" w:color="000000" w:sz="4" w:space="0"/>
              <w:right w:val="single" w:color="000000" w:sz="4" w:space="0"/>
            </w:tcBorders>
            <w:shd w:val="clear" w:color="auto" w:fill="C0C0C0"/>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50" w:type="dxa"/>
            <w:tcBorders>
              <w:top w:val="nil"/>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12480" w:type="dxa"/>
            <w:gridSpan w:val="6"/>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本表反应部门本年度“三公”经费支出预决算情况。其中：年初预算数为“三公”经费年初部门预算批复数，全年预算数为“三公”经费全年预算数，反应按照规定程序调整后的预算数；决算数是包括当年一般公共预算财政拨款、政府性基金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2480" w:type="dxa"/>
            <w:gridSpan w:val="6"/>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本表为空的单位应将空表公开，并注明：本单位无相关数据，故本表为空。    </w:t>
            </w:r>
          </w:p>
        </w:tc>
      </w:tr>
    </w:tbl>
    <w:p>
      <w:pPr>
        <w:pStyle w:val="25"/>
        <w:keepNext w:val="0"/>
        <w:keepLines w:val="0"/>
        <w:widowControl/>
        <w:suppressLineNumbers w:val="0"/>
        <w:autoSpaceDE w:val="0"/>
        <w:autoSpaceDN/>
        <w:spacing w:before="0" w:beforeAutospacing="0" w:after="0" w:afterAutospacing="0" w:line="594" w:lineRule="exact"/>
        <w:jc w:val="both"/>
        <w:rPr>
          <w:rFonts w:hint="eastAsia" w:ascii="Times New Roman" w:hAnsi="Times New Roman" w:eastAsia="方正仿宋_GBK" w:cs="Times New Roman"/>
          <w:b w:val="0"/>
          <w:bCs/>
          <w:kern w:val="0"/>
          <w:sz w:val="32"/>
          <w:szCs w:val="32"/>
          <w:shd w:val="clear" w:color="auto" w:fill="FFFFFF"/>
        </w:rPr>
      </w:pPr>
    </w:p>
    <w:sectPr>
      <w:pgSz w:w="16851" w:h="11915" w:orient="landscape"/>
      <w:pgMar w:top="1276" w:right="1213" w:bottom="1276" w:left="115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7"/>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compat>
    <w:spaceForUL/>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393C3A"/>
    <w:rsid w:val="2F664AE9"/>
    <w:rsid w:val="3A104639"/>
    <w:rsid w:val="3FFE5C9C"/>
    <w:rsid w:val="52AE3605"/>
    <w:rsid w:val="52CF1967"/>
    <w:rsid w:val="65711120"/>
    <w:rsid w:val="68345743"/>
    <w:rsid w:val="7813432C"/>
    <w:rsid w:val="7E171E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next w:val="2"/>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3">
    <w:name w:val="heading 1"/>
    <w:basedOn w:val="1"/>
    <w:next w:val="1"/>
    <w:qFormat/>
    <w:uiPriority w:val="0"/>
    <w:pPr>
      <w:spacing w:before="100" w:beforeAutospacing="1" w:after="100" w:afterAutospacing="1"/>
      <w:ind w:left="0" w:right="0"/>
      <w:jc w:val="left"/>
      <w:outlineLvl w:val="0"/>
    </w:pPr>
    <w:rPr>
      <w:rFonts w:hint="eastAsia" w:ascii="宋体" w:hAnsi="宋体" w:eastAsia="宋体" w:cs="宋体"/>
      <w:b/>
      <w:kern w:val="44"/>
      <w:sz w:val="48"/>
      <w:szCs w:val="48"/>
      <w:lang w:val="en-US" w:eastAsia="zh-CN" w:bidi="ar"/>
    </w:rPr>
  </w:style>
  <w:style w:type="paragraph" w:styleId="4">
    <w:name w:val="heading 2"/>
    <w:basedOn w:val="1"/>
    <w:next w:val="1"/>
    <w:qFormat/>
    <w:uiPriority w:val="0"/>
    <w:pPr>
      <w:spacing w:before="100" w:beforeAutospacing="1" w:after="100" w:afterAutospacing="1"/>
      <w:ind w:left="0" w:right="0"/>
      <w:jc w:val="left"/>
      <w:outlineLvl w:val="1"/>
    </w:pPr>
    <w:rPr>
      <w:rFonts w:hint="eastAsia" w:ascii="宋体" w:hAnsi="宋体" w:eastAsia="宋体" w:cs="宋体"/>
      <w:b/>
      <w:kern w:val="0"/>
      <w:sz w:val="36"/>
      <w:szCs w:val="36"/>
      <w:lang w:val="en-US" w:eastAsia="zh-CN" w:bidi="ar"/>
    </w:rPr>
  </w:style>
  <w:style w:type="paragraph" w:styleId="5">
    <w:name w:val="heading 3"/>
    <w:basedOn w:val="1"/>
    <w:next w:val="1"/>
    <w:qFormat/>
    <w:uiPriority w:val="0"/>
    <w:pPr>
      <w:spacing w:before="100" w:beforeAutospacing="1" w:after="100" w:afterAutospacing="1"/>
      <w:ind w:left="0" w:right="0"/>
      <w:jc w:val="left"/>
      <w:outlineLvl w:val="2"/>
    </w:pPr>
    <w:rPr>
      <w:rFonts w:hint="eastAsia" w:ascii="宋体" w:hAnsi="宋体" w:eastAsia="宋体" w:cs="宋体"/>
      <w:b/>
      <w:kern w:val="0"/>
      <w:sz w:val="27"/>
      <w:szCs w:val="27"/>
      <w:lang w:val="en-US" w:eastAsia="zh-CN" w:bidi="ar"/>
    </w:rPr>
  </w:style>
  <w:style w:type="paragraph" w:styleId="6">
    <w:name w:val="heading 4"/>
    <w:basedOn w:val="1"/>
    <w:next w:val="1"/>
    <w:qFormat/>
    <w:uiPriority w:val="0"/>
    <w:pPr>
      <w:spacing w:before="100" w:beforeAutospacing="1" w:after="100" w:afterAutospacing="1"/>
      <w:ind w:left="0" w:right="0"/>
      <w:jc w:val="left"/>
      <w:outlineLvl w:val="3"/>
    </w:pPr>
    <w:rPr>
      <w:rFonts w:hint="eastAsia" w:ascii="宋体" w:hAnsi="宋体" w:eastAsia="宋体" w:cs="宋体"/>
      <w:b/>
      <w:kern w:val="0"/>
      <w:sz w:val="24"/>
      <w:szCs w:val="24"/>
      <w:lang w:val="en-US" w:eastAsia="zh-CN" w:bidi="ar"/>
    </w:rPr>
  </w:style>
  <w:style w:type="paragraph" w:styleId="7">
    <w:name w:val="heading 5"/>
    <w:basedOn w:val="1"/>
    <w:next w:val="1"/>
    <w:qFormat/>
    <w:uiPriority w:val="0"/>
    <w:pPr>
      <w:spacing w:before="100" w:beforeAutospacing="1" w:after="100" w:afterAutospacing="1"/>
      <w:ind w:left="0" w:right="0"/>
      <w:jc w:val="left"/>
      <w:outlineLvl w:val="4"/>
    </w:pPr>
    <w:rPr>
      <w:rFonts w:hint="eastAsia" w:ascii="宋体" w:hAnsi="宋体" w:eastAsia="宋体" w:cs="宋体"/>
      <w:b/>
      <w:kern w:val="0"/>
      <w:sz w:val="20"/>
      <w:szCs w:val="20"/>
      <w:lang w:val="en-US" w:eastAsia="zh-CN" w:bidi="ar"/>
    </w:rPr>
  </w:style>
  <w:style w:type="paragraph" w:styleId="8">
    <w:name w:val="heading 6"/>
    <w:basedOn w:val="1"/>
    <w:next w:val="1"/>
    <w:qFormat/>
    <w:uiPriority w:val="0"/>
    <w:pPr>
      <w:spacing w:before="100" w:beforeAutospacing="1" w:after="100" w:afterAutospacing="1"/>
      <w:ind w:left="0" w:right="0"/>
      <w:jc w:val="left"/>
      <w:outlineLvl w:val="5"/>
    </w:pPr>
    <w:rPr>
      <w:rFonts w:hint="eastAsia" w:ascii="宋体" w:hAnsi="宋体" w:eastAsia="宋体" w:cs="宋体"/>
      <w:b/>
      <w:kern w:val="0"/>
      <w:sz w:val="15"/>
      <w:szCs w:val="15"/>
      <w:lang w:val="en-US" w:eastAsia="zh-CN" w:bidi="ar"/>
    </w:rPr>
  </w:style>
  <w:style w:type="character" w:default="1" w:styleId="14">
    <w:name w:val="Default Paragraph Font"/>
    <w:unhideWhenUsed/>
    <w:uiPriority w:val="99"/>
  </w:style>
  <w:style w:type="table" w:default="1" w:styleId="13">
    <w:name w:val="Normal Table"/>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13"/>
      <w:tblCellMar>
        <w:top w:w="0" w:type="dxa"/>
        <w:left w:w="108" w:type="dxa"/>
        <w:bottom w:w="0" w:type="dxa"/>
        <w:right w:w="108" w:type="dxa"/>
      </w:tblCellMar>
    </w:tblPr>
  </w:style>
  <w:style w:type="paragraph" w:styleId="2">
    <w:name w:val="index 5"/>
    <w:basedOn w:val="1"/>
    <w:next w:val="1"/>
    <w:qFormat/>
    <w:uiPriority w:val="0"/>
    <w:pPr>
      <w:spacing w:before="0" w:beforeAutospacing="0" w:after="0" w:afterAutospacing="0"/>
      <w:ind w:left="1680" w:right="0"/>
      <w:jc w:val="left"/>
    </w:pPr>
    <w:rPr>
      <w:rFonts w:hint="eastAsia" w:ascii="宋体" w:hAnsi="宋体" w:eastAsia="宋体" w:cs="宋体"/>
      <w:kern w:val="0"/>
      <w:sz w:val="24"/>
      <w:szCs w:val="24"/>
      <w:lang w:val="en-US" w:eastAsia="zh-CN" w:bidi="ar"/>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15">
    <w:name w:val="17"/>
    <w:basedOn w:val="14"/>
    <w:uiPriority w:val="0"/>
    <w:rPr>
      <w:rFonts w:hint="default" w:ascii="Times New Roman" w:hAnsi="Times New Roman" w:cs="Times New Roman"/>
    </w:rPr>
  </w:style>
  <w:style w:type="character" w:customStyle="1" w:styleId="16">
    <w:name w:val="19"/>
    <w:basedOn w:val="14"/>
    <w:uiPriority w:val="0"/>
    <w:rPr>
      <w:rFonts w:hint="default" w:ascii="Times New Roman" w:hAnsi="Times New Roman" w:cs="Times New Roman"/>
    </w:rPr>
  </w:style>
  <w:style w:type="character" w:customStyle="1" w:styleId="17">
    <w:name w:val="21"/>
    <w:basedOn w:val="14"/>
    <w:uiPriority w:val="0"/>
    <w:rPr>
      <w:rFonts w:hint="default" w:ascii="Times New Roman" w:hAnsi="Times New Roman" w:cs="Times New Roman"/>
    </w:rPr>
  </w:style>
  <w:style w:type="character" w:customStyle="1" w:styleId="18">
    <w:name w:val="15"/>
    <w:basedOn w:val="14"/>
    <w:uiPriority w:val="0"/>
    <w:rPr>
      <w:rFonts w:hint="default" w:ascii="Times New Roman" w:hAnsi="Times New Roman" w:cs="Times New Roman"/>
      <w:b/>
    </w:rPr>
  </w:style>
  <w:style w:type="character" w:customStyle="1" w:styleId="19">
    <w:name w:val="18"/>
    <w:basedOn w:val="14"/>
    <w:uiPriority w:val="0"/>
    <w:rPr>
      <w:rFonts w:hint="default" w:ascii="Times New Roman" w:hAnsi="Times New Roman" w:cs="Times New Roman"/>
      <w:b/>
    </w:rPr>
  </w:style>
  <w:style w:type="character" w:customStyle="1" w:styleId="20">
    <w:name w:val="16"/>
    <w:basedOn w:val="14"/>
    <w:uiPriority w:val="0"/>
    <w:rPr>
      <w:rFonts w:hint="default" w:ascii="Times New Roman" w:hAnsi="Times New Roman" w:cs="Times New Roman"/>
    </w:rPr>
  </w:style>
  <w:style w:type="character" w:customStyle="1" w:styleId="21">
    <w:name w:val="10"/>
    <w:basedOn w:val="14"/>
    <w:uiPriority w:val="0"/>
    <w:rPr>
      <w:rFonts w:hint="default" w:ascii="Times New Roman" w:hAnsi="Times New Roman" w:cs="Times New Roman"/>
    </w:rPr>
  </w:style>
  <w:style w:type="character" w:customStyle="1" w:styleId="22">
    <w:name w:val="20"/>
    <w:basedOn w:val="14"/>
    <w:uiPriority w:val="0"/>
    <w:rPr>
      <w:rFonts w:hint="default" w:ascii="Times New Roman" w:hAnsi="Times New Roman" w:cs="Times New Roman"/>
    </w:rPr>
  </w:style>
  <w:style w:type="paragraph" w:customStyle="1" w:styleId="23">
    <w:name w:val="普通(网站) Char Char Char"/>
    <w:basedOn w:val="1"/>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paragraph" w:customStyle="1" w:styleId="24">
    <w:name w:val="HTML 预设格式 Char Char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5">
    <w:name w:val="普通(网站) Char"/>
    <w:basedOn w:val="1"/>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paragraph" w:customStyle="1" w:styleId="26">
    <w:name w:val="p Char"/>
    <w:basedOn w:val="1"/>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paragraph" w:customStyle="1" w:styleId="27">
    <w:name w:val="HTML 预设格式 Char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8">
    <w:name w:val="HTML 预设格式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9">
    <w:name w:val="普通(网站) Char Char"/>
    <w:basedOn w:val="1"/>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0</Words>
  <Characters>6277</Characters>
  <Lines>1</Lines>
  <Paragraphs>1</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2023-10-16T06:49:45Z</dcterms:created>
  <dc:creator>Administrator</dc:creator>
  <cp:lastModifiedBy>局办公室</cp:lastModifiedBy>
  <dcterms:modified xsi:type="dcterms:W3CDTF">2024-03-01T07:09:41Z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75A4F2D5209149B7A555DA57EF354C5B_13</vt:lpwstr>
  </property>
</Properties>
</file>