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cs="Times New Roman"/>
        </w:rPr>
        <mc:AlternateContent>
          <mc:Choice Requires="wps">
            <w:drawing>
              <wp:anchor distT="0" distB="0" distL="114300" distR="114300" simplePos="0" relativeHeight="251661312" behindDoc="0" locked="0" layoutInCell="1" allowOverlap="1">
                <wp:simplePos x="0" y="0"/>
                <wp:positionH relativeFrom="margin">
                  <wp:posOffset>0</wp:posOffset>
                </wp:positionH>
                <wp:positionV relativeFrom="margin">
                  <wp:posOffset>3070860</wp:posOffset>
                </wp:positionV>
                <wp:extent cx="5615940" cy="0"/>
                <wp:effectExtent l="0" t="10795" r="3810" b="17780"/>
                <wp:wrapNone/>
                <wp:docPr id="2" name="直接连接符 2"/>
                <wp:cNvGraphicFramePr/>
                <a:graphic xmlns:a="http://schemas.openxmlformats.org/drawingml/2006/main">
                  <a:graphicData uri="http://schemas.microsoft.com/office/word/2010/wordprocessingShape">
                    <wps:wsp>
                      <wps:cNvCnPr/>
                      <wps:spPr>
                        <a:xfrm>
                          <a:off x="0" y="0"/>
                          <a:ext cx="5615940" cy="0"/>
                        </a:xfrm>
                        <a:prstGeom prst="line">
                          <a:avLst/>
                        </a:prstGeom>
                        <a:ln w="22225" cap="flat" cmpd="sng">
                          <a:solidFill>
                            <a:srgbClr val="FF0000"/>
                          </a:solidFill>
                          <a:prstDash val="solid"/>
                          <a:headEnd type="none" w="med" len="med"/>
                          <a:tailEnd type="none" w="med" len="med"/>
                        </a:ln>
                      </wps:spPr>
                      <wps:bodyPr upright="1"/>
                    </wps:wsp>
                  </a:graphicData>
                </a:graphic>
              </wp:anchor>
            </w:drawing>
          </mc:Choice>
          <mc:Fallback>
            <w:pict>
              <v:line id="_x0000_s1026" o:spid="_x0000_s1026" o:spt="20" style="position:absolute;left:0pt;margin-left:0pt;margin-top:241.8pt;height:0pt;width:442.2pt;mso-position-horizontal-relative:margin;mso-position-vertical-relative:margin;z-index:251661312;mso-width-relative:page;mso-height-relative:page;" filled="f" stroked="t" coordsize="21600,21600" o:gfxdata="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9UUWdNYAAAAIAQAADwAAAAAA&#10;AAABACAAAAAiAAAAZHJzL2Rvd25yZXYueG1sUEsBAhQAFAAAAAgAh07iQC3dma/cAQAAlwMAAA4A&#10;AAAAAAAAAQAgAAAAJQEAAGRycy9lMm9Eb2MueG1sUEsFBgAAAAAGAAYAWQEAAHMFAAAAAA==&#10;">
                <v:fill on="f" focussize="0,0"/>
                <v:stroke weight="1.75pt" color="#FF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lang w:val="en-US" w:eastAsia="zh-CN"/>
        </w:rPr>
      </w:pPr>
      <w:r>
        <w:rPr>
          <w:rFonts w:hint="default"/>
        </w:rPr>
        <w:pict>
          <v:shape id="_x0000_s1026" o:spid="_x0000_s1026" o:spt="136" type="#_x0000_t136" style="position:absolute;left:0pt;margin-left:15.6pt;margin-top:99.2pt;height:53.85pt;width:411pt;mso-position-horizontal-relative:margin;mso-position-vertical-relative:margin;z-index:251660288;mso-width-relative:page;mso-height-relative:page;" fillcolor="#FF0000" filled="t" stroked="f" coordsize="21600,21600" adj="10800">
            <v:path/>
            <v:fill on="t" color2="#FFFFFF" focussize="0,0"/>
            <v:stroke on="f"/>
            <v:imagedata o:title=""/>
            <o:lock v:ext="edit" aspectratio="f"/>
            <v:textpath on="t" fitshape="t" fitpath="t" trim="t" xscale="f" string="重庆市大足区财政局文件" style="font-family:方正小标宋_GBK;font-size:36pt;v-rotate-letters:f;v-same-letter-heights:f;v-text-align:center;"/>
          </v:shape>
        </w:pict>
      </w: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大足财农〔2024〕47号</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公文小标宋" w:hAnsi="方正公文小标宋" w:eastAsia="方正公文小标宋" w:cs="方正公文小标宋"/>
          <w:sz w:val="44"/>
          <w:szCs w:val="44"/>
          <w:lang w:val="en-US" w:eastAsia="zh-CN"/>
        </w:rPr>
      </w:pPr>
      <w:r>
        <w:rPr>
          <w:rFonts w:hint="eastAsia" w:ascii="方正公文小标宋" w:hAnsi="方正公文小标宋" w:eastAsia="方正公文小标宋" w:cs="方正公文小标宋"/>
          <w:sz w:val="44"/>
          <w:szCs w:val="44"/>
          <w:lang w:val="en-US" w:eastAsia="zh-CN"/>
        </w:rPr>
        <w:t>重庆市大足区财政局</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公文小标宋" w:hAnsi="方正公文小标宋" w:eastAsia="方正公文小标宋" w:cs="方正公文小标宋"/>
          <w:sz w:val="44"/>
          <w:szCs w:val="44"/>
          <w:lang w:val="en-US" w:eastAsia="zh-CN"/>
        </w:rPr>
      </w:pPr>
      <w:r>
        <w:rPr>
          <w:rFonts w:hint="eastAsia" w:ascii="方正公文小标宋" w:hAnsi="方正公文小标宋" w:eastAsia="方正公文小标宋" w:cs="方正公文小标宋"/>
          <w:sz w:val="44"/>
          <w:szCs w:val="44"/>
          <w:lang w:val="en-US" w:eastAsia="zh-CN"/>
        </w:rPr>
        <w:t>关于印发《大足区农村综合改革转移支付资金</w:t>
      </w:r>
      <w:r>
        <w:rPr>
          <w:rFonts w:hint="eastAsia" w:ascii="方正公文小标宋" w:hAnsi="方正公文小标宋" w:eastAsia="方正公文小标宋" w:cs="方正公文小标宋"/>
          <w:b w:val="0"/>
          <w:bCs w:val="0"/>
          <w:sz w:val="44"/>
          <w:szCs w:val="44"/>
          <w:lang w:val="en-US" w:eastAsia="zh-CN"/>
        </w:rPr>
        <w:t>实施细则</w:t>
      </w:r>
      <w:r>
        <w:rPr>
          <w:rFonts w:hint="eastAsia" w:ascii="方正公文小标宋" w:hAnsi="方正公文小标宋" w:eastAsia="方正公文小标宋" w:cs="方正公文小标宋"/>
          <w:b/>
          <w:bCs/>
          <w:sz w:val="44"/>
          <w:szCs w:val="44"/>
          <w:lang w:val="en-US" w:eastAsia="zh-CN"/>
        </w:rPr>
        <w:t>》</w:t>
      </w:r>
      <w:r>
        <w:rPr>
          <w:rFonts w:hint="eastAsia" w:ascii="方正公文小标宋" w:hAnsi="方正公文小标宋" w:eastAsia="方正公文小标宋" w:cs="方正公文小标宋"/>
          <w:sz w:val="44"/>
          <w:szCs w:val="44"/>
          <w:lang w:val="en-US" w:eastAsia="zh-CN"/>
        </w:rPr>
        <w:t>的通知</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公文小标宋" w:hAnsi="方正公文小标宋" w:eastAsia="方正公文小标宋" w:cs="方正公文小标宋"/>
          <w:sz w:val="44"/>
          <w:szCs w:val="44"/>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jc w:val="lef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rPr>
        <w:t>各镇街人民政府（办事处）</w:t>
      </w:r>
      <w:r>
        <w:rPr>
          <w:rFonts w:hint="default" w:ascii="Times New Roman" w:hAnsi="Times New Roman" w:eastAsia="方正仿宋_GBK" w:cs="Times New Roman"/>
          <w:sz w:val="32"/>
          <w:szCs w:val="32"/>
          <w:lang w:eastAsia="zh-CN"/>
        </w:rPr>
        <w:t>，</w:t>
      </w:r>
      <w:r>
        <w:rPr>
          <w:rFonts w:hint="default" w:ascii="Times New Roman" w:hAnsi="Times New Roman" w:eastAsia="方正仿宋_GBK" w:cs="Times New Roman"/>
          <w:sz w:val="32"/>
          <w:szCs w:val="32"/>
          <w:lang w:val="en-US" w:eastAsia="zh-CN"/>
        </w:rPr>
        <w:t>有关单位：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为加强农村综合改革转移支付资金使用管理，推动实施好农村改革转移资金的项目，根据《重庆市财政局关于印发〈重庆市农村综合改革转移支付资金管理办法〉的通知》（渝财农〔2024〕7号）要求，结合我区实际，编制了《大足区农村综合改革转移支付资金实施细则》，现印发你们，请遵照执行。</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附件：大足区农村综合改革转移支付资金实施细则</w:t>
      </w:r>
    </w:p>
    <w:p>
      <w:pPr>
        <w:keepNext w:val="0"/>
        <w:keepLines w:val="0"/>
        <w:pageBreakBefore w:val="0"/>
        <w:widowControl w:val="0"/>
        <w:kinsoku/>
        <w:wordWrap/>
        <w:overflowPunct/>
        <w:topLinePunct w:val="0"/>
        <w:autoSpaceDE/>
        <w:autoSpaceDN/>
        <w:bidi w:val="0"/>
        <w:adjustRightInd/>
        <w:snapToGrid/>
        <w:spacing w:line="576" w:lineRule="exact"/>
        <w:ind w:firstLine="640" w:firstLineChars="200"/>
        <w:jc w:val="left"/>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（此页无正文）</w:t>
      </w:r>
    </w:p>
    <w:p>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 xml:space="preserve">                      重庆市大足区财政局</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仿宋_GBK" w:cs="Times New Roman"/>
          <w:sz w:val="32"/>
          <w:szCs w:val="32"/>
          <w:lang w:val="en-US" w:eastAsia="zh-CN"/>
        </w:rPr>
        <w:t xml:space="preserve">                      2024年7月18日</w:t>
      </w: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default" w:ascii="Times New Roman" w:hAnsi="Times New Roman" w:eastAsia="方正仿宋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仿宋_GB2312" w:hAnsi="方正仿宋_GB2312" w:eastAsia="方正仿宋_GB2312" w:cs="方正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仿宋_GB2312" w:hAnsi="方正仿宋_GB2312" w:eastAsia="方正仿宋_GB2312" w:cs="方正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仿宋_GB2312" w:hAnsi="方正仿宋_GB2312" w:eastAsia="方正仿宋_GB2312" w:cs="方正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仿宋_GB2312" w:hAnsi="方正仿宋_GB2312" w:eastAsia="方正仿宋_GB2312" w:cs="方正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仿宋_GB2312" w:hAnsi="方正仿宋_GB2312" w:eastAsia="方正仿宋_GB2312" w:cs="方正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仿宋_GB2312" w:hAnsi="方正仿宋_GB2312" w:eastAsia="方正仿宋_GB2312" w:cs="方正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仿宋_GB2312" w:hAnsi="方正仿宋_GB2312" w:eastAsia="方正仿宋_GB2312" w:cs="方正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center"/>
        <w:textAlignment w:val="auto"/>
        <w:rPr>
          <w:rFonts w:hint="eastAsia" w:ascii="方正仿宋_GB2312" w:hAnsi="方正仿宋_GB2312" w:eastAsia="方正仿宋_GB2312" w:cs="方正仿宋_GB2312"/>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微软雅黑" w:hAnsi="微软雅黑" w:eastAsia="微软雅黑" w:cs="微软雅黑"/>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微软雅黑" w:hAnsi="微软雅黑" w:eastAsia="微软雅黑" w:cs="微软雅黑"/>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微软雅黑" w:hAnsi="微软雅黑" w:eastAsia="微软雅黑" w:cs="微软雅黑"/>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微软雅黑" w:hAnsi="微软雅黑" w:eastAsia="微软雅黑" w:cs="微软雅黑"/>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微软雅黑" w:hAnsi="微软雅黑" w:eastAsia="微软雅黑" w:cs="微软雅黑"/>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微软雅黑" w:hAnsi="微软雅黑" w:eastAsia="微软雅黑" w:cs="微软雅黑"/>
          <w:sz w:val="32"/>
          <w:szCs w:val="32"/>
          <w:lang w:val="en-US" w:eastAsia="zh-CN"/>
        </w:rPr>
      </w:pPr>
    </w:p>
    <w:p>
      <w:pPr>
        <w:keepNext w:val="0"/>
        <w:keepLines w:val="0"/>
        <w:pageBreakBefore w:val="0"/>
        <w:widowControl w:val="0"/>
        <w:kinsoku/>
        <w:wordWrap/>
        <w:overflowPunct w:val="0"/>
        <w:topLinePunct w:val="0"/>
        <w:autoSpaceDE/>
        <w:autoSpaceDN/>
        <w:bidi w:val="0"/>
        <w:adjustRightInd w:val="0"/>
        <w:snapToGrid w:val="0"/>
        <w:spacing w:line="576" w:lineRule="exact"/>
        <w:ind w:left="0" w:leftChars="0" w:firstLine="0" w:firstLineChars="0"/>
        <w:textAlignment w:val="auto"/>
        <w:rPr>
          <w:rFonts w:hint="default" w:ascii="Times New Roman" w:hAnsi="Times New Roman" w:cs="Times New Roman"/>
          <w:lang w:val="en-US" w:eastAsia="zh-CN"/>
        </w:rPr>
      </w:pPr>
      <w:r>
        <w:rPr>
          <w:rFonts w:hint="default" w:ascii="Times New Roman" w:hAnsi="Times New Roman" w:cs="Times New Roman"/>
          <w:sz w:val="28"/>
          <w:szCs w:val="28"/>
        </w:rPr>
        <mc:AlternateContent>
          <mc:Choice Requires="wps">
            <w:drawing>
              <wp:anchor distT="0" distB="0" distL="114300" distR="114300" simplePos="0" relativeHeight="251663360" behindDoc="0" locked="0" layoutInCell="1" allowOverlap="1">
                <wp:simplePos x="0" y="0"/>
                <wp:positionH relativeFrom="margin">
                  <wp:posOffset>635</wp:posOffset>
                </wp:positionH>
                <wp:positionV relativeFrom="margin">
                  <wp:posOffset>7691755</wp:posOffset>
                </wp:positionV>
                <wp:extent cx="5615940" cy="635"/>
                <wp:effectExtent l="0" t="0" r="0" b="0"/>
                <wp:wrapNone/>
                <wp:docPr id="1" name="直接连接符 1"/>
                <wp:cNvGraphicFramePr/>
                <a:graphic xmlns:a="http://schemas.openxmlformats.org/drawingml/2006/main">
                  <a:graphicData uri="http://schemas.microsoft.com/office/word/2010/wordprocessingShape">
                    <wps:wsp>
                      <wps:cNvCnPr/>
                      <wps:spPr>
                        <a:xfrm flipV="1">
                          <a:off x="0" y="0"/>
                          <a:ext cx="5615940" cy="635"/>
                        </a:xfrm>
                        <a:prstGeom prst="line">
                          <a:avLst/>
                        </a:prstGeom>
                        <a:ln w="1270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margin-left:0.05pt;margin-top:605.65pt;height:0.05pt;width:442.2pt;mso-position-horizontal-relative:margin;mso-position-vertical-relative:margin;z-index:251663360;mso-width-relative:page;mso-height-relative:page;" filled="f" stroked="t" coordsize="21600,21600" o:gfxdata="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">
                <v:fill on="f" focussize="0,0"/>
                <v:stroke weight="1pt" color="#000000" joinstyle="round"/>
                <v:imagedata o:title=""/>
                <o:lock v:ext="edit" aspectratio="f"/>
              </v:line>
            </w:pict>
          </mc:Fallback>
        </mc:AlternateContent>
      </w:r>
    </w:p>
    <w:p>
      <w:pPr>
        <w:keepNext w:val="0"/>
        <w:keepLines w:val="0"/>
        <w:pageBreakBefore w:val="0"/>
        <w:widowControl w:val="0"/>
        <w:kinsoku/>
        <w:wordWrap/>
        <w:overflowPunct/>
        <w:topLinePunct w:val="0"/>
        <w:autoSpaceDE/>
        <w:autoSpaceDN/>
        <w:bidi w:val="0"/>
        <w:adjustRightInd/>
        <w:snapToGrid/>
        <w:spacing w:line="576" w:lineRule="exact"/>
        <w:ind w:left="210" w:leftChars="100" w:right="210" w:rightChars="100" w:firstLine="0" w:firstLineChars="0"/>
        <w:textAlignment w:val="auto"/>
        <w:rPr>
          <w:rFonts w:hint="default" w:ascii="Times New Roman" w:hAnsi="Times New Roman" w:eastAsia="方正仿宋_GBK" w:cs="Times New Roman"/>
          <w:sz w:val="28"/>
          <w:szCs w:val="28"/>
          <w:lang w:val="en-US" w:eastAsia="zh-CN"/>
        </w:rPr>
      </w:pPr>
      <w:r>
        <w:rPr>
          <w:rFonts w:hint="default" w:ascii="Times New Roman" w:hAnsi="Times New Roman" w:eastAsia="方正仿宋_GBK" w:cs="Times New Roman"/>
          <w:sz w:val="28"/>
          <w:szCs w:val="2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margin">
                  <wp:align>bottom</wp:align>
                </wp:positionV>
                <wp:extent cx="5615940" cy="635"/>
                <wp:effectExtent l="0" t="0" r="0" b="0"/>
                <wp:wrapNone/>
                <wp:docPr id="3" name="直接连接符 3"/>
                <wp:cNvGraphicFramePr/>
                <a:graphic xmlns:a="http://schemas.openxmlformats.org/drawingml/2006/main">
                  <a:graphicData uri="http://schemas.microsoft.com/office/word/2010/wordprocessingShape">
                    <wps:wsp>
                      <wps:cNvCnPr/>
                      <wps:spPr>
                        <a:xfrm flipV="1">
                          <a:off x="0" y="0"/>
                          <a:ext cx="5615940" cy="635"/>
                        </a:xfrm>
                        <a:prstGeom prst="line">
                          <a:avLst/>
                        </a:prstGeom>
                        <a:ln w="12700" cap="flat" cmpd="sng">
                          <a:solidFill>
                            <a:srgbClr val="000000"/>
                          </a:solidFill>
                          <a:prstDash val="solid"/>
                          <a:headEnd type="none" w="med" len="med"/>
                          <a:tailEnd type="none" w="med" len="med"/>
                        </a:ln>
                      </wps:spPr>
                      <wps:bodyPr upright="1"/>
                    </wps:wsp>
                  </a:graphicData>
                </a:graphic>
              </wp:anchor>
            </w:drawing>
          </mc:Choice>
          <mc:Fallback>
            <w:pict>
              <v:line id="_x0000_s1026" o:spid="_x0000_s1026" o:spt="20" style="position:absolute;left:0pt;flip:y;height:0.05pt;width:442.2pt;mso-position-horizontal:center;mso-position-horizontal-relative:margin;mso-position-vertical:bottom;mso-position-vertical-relative:margin;z-index:251662336;mso-width-relative:page;mso-height-relative:page;" filled="f" stroked="t" coordsize="21600,21600" o:gfxdata="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Mya/I/TAAAAAgEAAA8A&#10;AAAAAAAAAQAgAAAAIgAAAGRycy9kb3ducmV2LnhtbFBLAQIUABQAAAAIAIdO4kDkccgo4wEAAKMD&#10;AAAOAAAAAAAAAAEAIAAAACIBAABkcnMvZTJvRG9jLnhtbFBLBQYAAAAABgAGAFkBAAB3BQAAAAA=&#10;">
                <v:fill on="f" focussize="0,0"/>
                <v:stroke weight="1pt" color="#000000" joinstyle="round"/>
                <v:imagedata o:title=""/>
                <o:lock v:ext="edit" aspectratio="f"/>
              </v:line>
            </w:pict>
          </mc:Fallback>
        </mc:AlternateContent>
      </w:r>
      <w:r>
        <w:rPr>
          <w:rFonts w:hint="default" w:ascii="Times New Roman" w:hAnsi="Times New Roman" w:eastAsia="方正仿宋_GBK" w:cs="Times New Roman"/>
          <w:sz w:val="28"/>
          <w:szCs w:val="28"/>
          <w:lang w:val="en-US" w:eastAsia="zh-CN"/>
        </w:rPr>
        <w:t xml:space="preserve">重庆市大足区财政局办公室             </w:t>
      </w:r>
      <w:r>
        <w:rPr>
          <w:rFonts w:hint="eastAsia" w:ascii="Times New Roman" w:hAnsi="Times New Roman" w:eastAsia="方正仿宋_GBK" w:cs="Times New Roman"/>
          <w:sz w:val="28"/>
          <w:szCs w:val="28"/>
          <w:lang w:val="en-US" w:eastAsia="zh-CN"/>
        </w:rPr>
        <w:t xml:space="preserve">   </w:t>
      </w:r>
      <w:r>
        <w:rPr>
          <w:rFonts w:hint="default" w:ascii="Times New Roman" w:hAnsi="Times New Roman" w:eastAsia="方正仿宋_GBK" w:cs="Times New Roman"/>
          <w:sz w:val="28"/>
          <w:szCs w:val="28"/>
          <w:lang w:val="en-US" w:eastAsia="zh-CN"/>
        </w:rPr>
        <w:t xml:space="preserve"> 2024年</w:t>
      </w:r>
      <w:r>
        <w:rPr>
          <w:rFonts w:hint="eastAsia" w:ascii="Times New Roman" w:hAnsi="Times New Roman" w:eastAsia="方正仿宋_GBK" w:cs="Times New Roman"/>
          <w:sz w:val="28"/>
          <w:szCs w:val="28"/>
          <w:lang w:val="en-US" w:eastAsia="zh-CN"/>
        </w:rPr>
        <w:t>7</w:t>
      </w:r>
      <w:r>
        <w:rPr>
          <w:rFonts w:hint="default" w:ascii="Times New Roman" w:hAnsi="Times New Roman" w:eastAsia="方正仿宋_GBK" w:cs="Times New Roman"/>
          <w:sz w:val="28"/>
          <w:szCs w:val="28"/>
          <w:lang w:val="en-US" w:eastAsia="zh-CN"/>
        </w:rPr>
        <w:t>月</w:t>
      </w:r>
      <w:r>
        <w:rPr>
          <w:rFonts w:hint="eastAsia" w:ascii="Times New Roman" w:hAnsi="Times New Roman" w:eastAsia="方正仿宋_GBK" w:cs="Times New Roman"/>
          <w:sz w:val="28"/>
          <w:szCs w:val="28"/>
          <w:lang w:val="en-US" w:eastAsia="zh-CN"/>
        </w:rPr>
        <w:t>18</w:t>
      </w:r>
      <w:r>
        <w:rPr>
          <w:rFonts w:hint="default" w:ascii="Times New Roman" w:hAnsi="Times New Roman" w:eastAsia="方正仿宋_GBK" w:cs="Times New Roman"/>
          <w:sz w:val="28"/>
          <w:szCs w:val="28"/>
          <w:lang w:val="en-US" w:eastAsia="zh-CN"/>
        </w:rPr>
        <w:t>日印发</w:t>
      </w:r>
    </w:p>
    <w:p>
      <w:pPr>
        <w:keepNext w:val="0"/>
        <w:keepLines w:val="0"/>
        <w:pageBreakBefore w:val="0"/>
        <w:widowControl w:val="0"/>
        <w:kinsoku/>
        <w:wordWrap/>
        <w:overflowPunct/>
        <w:topLinePunct w:val="0"/>
        <w:autoSpaceDE/>
        <w:autoSpaceDN/>
        <w:bidi w:val="0"/>
        <w:adjustRightInd w:val="0"/>
        <w:snapToGrid w:val="0"/>
        <w:spacing w:line="576" w:lineRule="exact"/>
        <w:jc w:val="left"/>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附件</w:t>
      </w:r>
    </w:p>
    <w:p>
      <w:pPr>
        <w:keepNext w:val="0"/>
        <w:keepLines w:val="0"/>
        <w:pageBreakBefore w:val="0"/>
        <w:widowControl w:val="0"/>
        <w:kinsoku/>
        <w:wordWrap/>
        <w:overflowPunct/>
        <w:topLinePunct w:val="0"/>
        <w:autoSpaceDE/>
        <w:autoSpaceDN/>
        <w:bidi w:val="0"/>
        <w:adjustRightInd w:val="0"/>
        <w:snapToGrid w:val="0"/>
        <w:spacing w:line="576" w:lineRule="exact"/>
        <w:jc w:val="left"/>
        <w:textAlignment w:val="auto"/>
        <w:rPr>
          <w:rFonts w:hint="default" w:ascii="Times New Roman" w:hAnsi="Times New Roman" w:eastAsia="方正黑体_GBK" w:cs="Times New Roman"/>
          <w:sz w:val="32"/>
          <w:szCs w:val="32"/>
          <w:lang w:val="en-US" w:eastAsia="zh-CN"/>
        </w:rPr>
      </w:pPr>
    </w:p>
    <w:p>
      <w:pPr>
        <w:keepNext w:val="0"/>
        <w:keepLines w:val="0"/>
        <w:pageBreakBefore w:val="0"/>
        <w:widowControl w:val="0"/>
        <w:kinsoku/>
        <w:wordWrap/>
        <w:overflowPunct/>
        <w:topLinePunct w:val="0"/>
        <w:autoSpaceDE/>
        <w:autoSpaceDN/>
        <w:bidi w:val="0"/>
        <w:adjustRightInd w:val="0"/>
        <w:snapToGrid w:val="0"/>
        <w:spacing w:line="576" w:lineRule="exact"/>
        <w:jc w:val="center"/>
        <w:textAlignment w:val="auto"/>
        <w:rPr>
          <w:rFonts w:hint="default" w:ascii="Times New Roman" w:hAnsi="Times New Roman" w:eastAsia="方正公文小标宋" w:cs="Times New Roman"/>
          <w:sz w:val="44"/>
          <w:szCs w:val="44"/>
          <w:lang w:val="en-US" w:eastAsia="zh-CN"/>
        </w:rPr>
      </w:pPr>
      <w:r>
        <w:rPr>
          <w:rFonts w:hint="default" w:ascii="Times New Roman" w:hAnsi="Times New Roman" w:eastAsia="方正公文小标宋" w:cs="Times New Roman"/>
          <w:sz w:val="44"/>
          <w:szCs w:val="44"/>
          <w:lang w:val="en-US" w:eastAsia="zh-CN"/>
        </w:rPr>
        <w:t xml:space="preserve">大足区农村综合改革转移支付资金实施细则 </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jc w:val="left"/>
        <w:textAlignment w:val="auto"/>
        <w:rPr>
          <w:rFonts w:hint="default" w:ascii="Times New Roman" w:hAnsi="Times New Roman" w:eastAsia="方正仿宋_GB2312" w:cs="Times New Roman"/>
          <w:sz w:val="32"/>
          <w:szCs w:val="32"/>
          <w:lang w:val="en-US" w:eastAsia="zh-CN"/>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jc w:val="center"/>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黑体_GBK" w:cs="Times New Roman"/>
          <w:sz w:val="32"/>
          <w:szCs w:val="32"/>
          <w:lang w:val="en-US" w:eastAsia="zh-CN"/>
        </w:rPr>
        <w:t>第一章 总则</w:t>
      </w: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sz w:val="32"/>
          <w:szCs w:val="32"/>
          <w:lang w:val="en-US" w:eastAsia="zh-CN"/>
        </w:rPr>
      </w:pPr>
      <w:r>
        <w:rPr>
          <w:rFonts w:hint="default" w:ascii="Times New Roman" w:hAnsi="Times New Roman" w:eastAsia="方正楷体_GBK" w:cs="Times New Roman"/>
          <w:sz w:val="32"/>
          <w:szCs w:val="32"/>
          <w:lang w:val="en-US" w:eastAsia="zh-CN"/>
        </w:rPr>
        <w:t>第一条</w:t>
      </w:r>
      <w:r>
        <w:rPr>
          <w:rFonts w:hint="default" w:ascii="Times New Roman" w:hAnsi="Times New Roman" w:eastAsia="方正仿宋_GBK" w:cs="Times New Roman"/>
          <w:sz w:val="32"/>
          <w:szCs w:val="32"/>
          <w:lang w:val="en-US" w:eastAsia="zh-CN"/>
        </w:rPr>
        <w:t xml:space="preserve"> 为加强和规范农村综合改革转移支付资金（以下简称综改资金）管理，推动有关农村改革发展重大决策部署有效落实，实施好农村改革转移资金的项目，提高资金使用绩效，根据《重庆市财政局关于印发〈重庆市农村综合改革转移支付资金管理办法〉的通知》（渝财农〔2024〕7号）有关规定，制定本实施细则。</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第二条</w:t>
      </w:r>
      <w:r>
        <w:rPr>
          <w:rFonts w:hint="default" w:ascii="Times New Roman" w:hAnsi="Times New Roman" w:eastAsia="方正仿宋_GBK" w:cs="Times New Roman"/>
          <w:color w:val="000000"/>
          <w:kern w:val="0"/>
          <w:sz w:val="31"/>
          <w:szCs w:val="31"/>
          <w:lang w:val="en-US" w:eastAsia="zh-CN" w:bidi="ar"/>
        </w:rPr>
        <w:t xml:space="preserve"> </w:t>
      </w:r>
      <w:r>
        <w:rPr>
          <w:rFonts w:hint="default" w:ascii="Times New Roman" w:hAnsi="Times New Roman" w:eastAsia="方正仿宋_GBK" w:cs="Times New Roman"/>
          <w:sz w:val="32"/>
          <w:szCs w:val="32"/>
          <w:lang w:val="en-US" w:eastAsia="zh-CN"/>
        </w:rPr>
        <w:t>区</w:t>
      </w:r>
      <w:r>
        <w:rPr>
          <w:rFonts w:hint="default" w:ascii="Times New Roman" w:hAnsi="Times New Roman" w:eastAsia="方正仿宋_GBK" w:cs="Times New Roman"/>
          <w:color w:val="000000"/>
          <w:kern w:val="0"/>
          <w:sz w:val="31"/>
          <w:szCs w:val="31"/>
          <w:lang w:val="en-US" w:eastAsia="zh-CN" w:bidi="ar"/>
        </w:rPr>
        <w:t>财政局负责农村综合改革转移支付的统筹安排、审核拨付、使用监督、预算绩效管理，会同镇街和有关部门组织开展项目实施、验收等工作。</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第三条</w:t>
      </w:r>
      <w:r>
        <w:rPr>
          <w:rFonts w:hint="default" w:ascii="Times New Roman" w:hAnsi="Times New Roman" w:eastAsia="方正仿宋_GBK" w:cs="Times New Roman"/>
          <w:color w:val="000000"/>
          <w:kern w:val="0"/>
          <w:sz w:val="31"/>
          <w:szCs w:val="31"/>
          <w:lang w:val="en-US" w:eastAsia="zh-CN" w:bidi="ar"/>
        </w:rPr>
        <w:t xml:space="preserve"> 镇街负责农村综合改革转移资金支付项目的申报、实施、验收及后期管护。</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第四条</w:t>
      </w:r>
      <w:r>
        <w:rPr>
          <w:rFonts w:hint="default" w:ascii="Times New Roman" w:hAnsi="Times New Roman" w:eastAsia="方正仿宋_GBK" w:cs="Times New Roman"/>
          <w:color w:val="000000"/>
          <w:kern w:val="0"/>
          <w:sz w:val="31"/>
          <w:szCs w:val="31"/>
          <w:lang w:val="en-US" w:eastAsia="zh-CN" w:bidi="ar"/>
        </w:rPr>
        <w:t xml:space="preserve"> 综改资金支持的项目，坚持以农民民主议事为前提，以农民自愿筹资筹劳为基础，充分尊重群众的发展意愿、首创精神和主体地位。建立健全自下而上、一事一议、公开公示的民主决策机制，切实调动群众积极性。</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rPr>
      </w:pPr>
      <w:r>
        <w:rPr>
          <w:rFonts w:hint="default" w:ascii="Times New Roman" w:hAnsi="Times New Roman" w:eastAsia="方正楷体_GBK" w:cs="Times New Roman"/>
          <w:sz w:val="32"/>
          <w:szCs w:val="32"/>
          <w:lang w:val="en-US" w:eastAsia="zh-CN"/>
        </w:rPr>
        <w:t>第五条</w:t>
      </w:r>
      <w:r>
        <w:rPr>
          <w:rFonts w:hint="default" w:ascii="Times New Roman" w:hAnsi="Times New Roman" w:eastAsia="方正仿宋_GBK" w:cs="Times New Roman"/>
          <w:color w:val="000000"/>
          <w:kern w:val="0"/>
          <w:sz w:val="31"/>
          <w:szCs w:val="31"/>
          <w:lang w:val="en-US" w:eastAsia="zh-CN" w:bidi="ar"/>
        </w:rPr>
        <w:t xml:space="preserve"> 各镇街应因地制宜、实事求是，尽力而为、量力而行，</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创新农村综合改革转移支付投入和使用方式，积极采用以奖代补、民办公助、政府购买服务等方式，引导社会资金参与农村综合改革发展有关事项，放大财政资金使用效能。</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jc w:val="center"/>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第二章 资金使用范围</w:t>
      </w:r>
    </w:p>
    <w:p>
      <w:pPr>
        <w:keepNext w:val="0"/>
        <w:keepLines w:val="0"/>
        <w:pageBreakBefore w:val="0"/>
        <w:widowControl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第六条</w:t>
      </w:r>
      <w:r>
        <w:rPr>
          <w:rFonts w:hint="default" w:ascii="Times New Roman" w:hAnsi="Times New Roman" w:eastAsia="方正仿宋_GBK" w:cs="Times New Roman"/>
          <w:color w:val="000000"/>
          <w:kern w:val="0"/>
          <w:sz w:val="31"/>
          <w:szCs w:val="31"/>
          <w:lang w:val="en-US" w:eastAsia="zh-CN" w:bidi="ar"/>
        </w:rPr>
        <w:t xml:space="preserve"> 综改资金支出用于对农民通过民主程序议定的</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村内户外</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农村公益事业建设、美丽乡村建设项目给予奖补，主要支持镇街加快建设村内道路、村容村貌改造、村内坑塘沟渠以及村民通过民主程序议定需要兴办且符合有关规定的其他公益事业建设项目。</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第七条</w:t>
      </w:r>
      <w:r>
        <w:rPr>
          <w:rFonts w:hint="default" w:ascii="Times New Roman" w:hAnsi="Times New Roman" w:eastAsia="方正仿宋_GBK" w:cs="Times New Roman"/>
          <w:color w:val="000000"/>
          <w:kern w:val="0"/>
          <w:sz w:val="31"/>
          <w:szCs w:val="31"/>
          <w:lang w:val="en-US" w:eastAsia="zh-CN" w:bidi="ar"/>
        </w:rPr>
        <w:t xml:space="preserve"> 农村综合改革转移支付不得用于单位基本支出、修建楼堂馆所、各种工资奖金津贴和福利支出、弥补预算支出缺口、偿还债务及其他与农村综合改革无关的支出。农村综合改革转移支付相关项目实施不得新增政府隐性债务，不得新增村级债务。</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第八条</w:t>
      </w:r>
      <w:r>
        <w:rPr>
          <w:rFonts w:hint="default" w:ascii="Times New Roman" w:hAnsi="Times New Roman" w:eastAsia="方正仿宋_GBK" w:cs="Times New Roman"/>
          <w:sz w:val="32"/>
          <w:szCs w:val="32"/>
          <w:lang w:val="en-US" w:eastAsia="zh-CN"/>
        </w:rPr>
        <w:t xml:space="preserve"> </w:t>
      </w:r>
      <w:r>
        <w:rPr>
          <w:rFonts w:hint="default" w:ascii="Times New Roman" w:hAnsi="Times New Roman" w:eastAsia="方正仿宋_GBK" w:cs="Times New Roman"/>
          <w:color w:val="000000"/>
          <w:kern w:val="0"/>
          <w:sz w:val="31"/>
          <w:szCs w:val="31"/>
          <w:lang w:val="en-US" w:eastAsia="zh-CN" w:bidi="ar"/>
        </w:rPr>
        <w:t>镇街切实加强综改资金管理和监督检查，按时报送备案资料，自觉依法接受审计监督，加强基础信息资料和档案管理，及时上报信息，利用信息化手段提高管理工作效率。</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第九条</w:t>
      </w:r>
      <w:r>
        <w:rPr>
          <w:rFonts w:hint="default" w:ascii="Times New Roman" w:hAnsi="Times New Roman" w:eastAsia="方正仿宋_GBK" w:cs="Times New Roman"/>
          <w:color w:val="000000"/>
          <w:kern w:val="0"/>
          <w:sz w:val="31"/>
          <w:szCs w:val="31"/>
          <w:lang w:val="en-US" w:eastAsia="zh-CN" w:bidi="ar"/>
        </w:rPr>
        <w:t xml:space="preserve"> 农村综合改革转移支付资金形成的公益性资产，原则上归村集体经济组织所有，应及时移交产权并明确管护主体，落实管护责任，确保项目正常运转并长期发挥效益。</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jc w:val="center"/>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第三章 项目管理</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第十条</w:t>
      </w:r>
      <w:r>
        <w:rPr>
          <w:rFonts w:hint="default" w:ascii="Times New Roman" w:hAnsi="Times New Roman" w:eastAsia="方正仿宋_GBK" w:cs="Times New Roman"/>
          <w:color w:val="000000"/>
          <w:kern w:val="0"/>
          <w:sz w:val="31"/>
          <w:szCs w:val="31"/>
          <w:lang w:val="en-US" w:eastAsia="zh-CN" w:bidi="ar"/>
        </w:rPr>
        <w:t xml:space="preserve"> 镇街负责综改资金项目的规划、申报、实施、验收、管护、资金兑付、绩效评价及监督检查，并实行全流程的严格管理，规范项目建设程序，提高项目建设质量。</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第十一条</w:t>
      </w:r>
      <w:r>
        <w:rPr>
          <w:rFonts w:hint="default" w:ascii="Times New Roman" w:hAnsi="Times New Roman" w:eastAsia="方正仿宋_GBK" w:cs="Times New Roman"/>
          <w:color w:val="000000"/>
          <w:kern w:val="0"/>
          <w:sz w:val="31"/>
          <w:szCs w:val="31"/>
          <w:lang w:val="en-US" w:eastAsia="zh-CN" w:bidi="ar"/>
        </w:rPr>
        <w:t xml:space="preserve"> 项目规划。各镇街应当按照因地制宜、实事求是，尽力而为、量力而行的原则，编制综改资金使用规划，提出明确的任务目标，形成综改资金项目库。</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第十二条</w:t>
      </w:r>
      <w:r>
        <w:rPr>
          <w:rFonts w:hint="default" w:ascii="Times New Roman" w:hAnsi="Times New Roman" w:eastAsia="方正仿宋_GBK" w:cs="Times New Roman"/>
          <w:color w:val="000000"/>
          <w:kern w:val="0"/>
          <w:sz w:val="31"/>
          <w:szCs w:val="31"/>
          <w:lang w:val="en-US" w:eastAsia="zh-CN" w:bidi="ar"/>
        </w:rPr>
        <w:t xml:space="preserve"> 项目申报与审批。按照村民议定、村级申报、镇街审核、区级核批、市级备案的程序自下而上进行。</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村民议定。村民大会或村民代表大会按</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四议两公开</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民主程序议事决事，选定建设项目，形成投资计划、筹资筹劳方案、建设及管护方案；推选无村组干部及其直系亲属参与的民主理财小组、项目质量监督小组；会议决定应由参会村民或村民代表签字。</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村级申报。村社经</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四议两公开</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形成的上述方案和小组名单在项目涉及的各村民小组公开公示10天，群众无异议后，填报《××××年第×批农村综合改革一事一议项目申报明细表》（详见附件2）和《一事一议申报文本（村级用）》（详见附件3），向所在镇街提出综改资金申请。每年的申报时间及文本要求以区财政局发文为准。</w:t>
      </w:r>
      <w:bookmarkStart w:id="0" w:name="_GoBack"/>
      <w:bookmarkEnd w:id="0"/>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镇街审核。镇街要组织经济发展办所属的农业农村、财政等相关岗位人员对村社经一事一议申请材料进行审核，对符合要求、通过审核的项目，由镇街正式行文报区财政局。</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区级核批。区财政局按照轻重缓急原则和总体建设规划，对镇街综改资金项目进行复审、筛选和排序，并报局党委会议研究。</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市级备案。通过市级</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农村综合改革工作管理信息系统</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auto"/>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完善备案信息。</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任务下达。经区财政局党委会议研究同意后，形成项目文件下达任务和资金指标到镇街。</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第十三条</w:t>
      </w:r>
      <w:r>
        <w:rPr>
          <w:rFonts w:hint="default" w:ascii="Times New Roman" w:hAnsi="Times New Roman" w:eastAsia="方正仿宋_GBK" w:cs="Times New Roman"/>
          <w:color w:val="000000"/>
          <w:kern w:val="0"/>
          <w:sz w:val="31"/>
          <w:szCs w:val="31"/>
          <w:lang w:val="en-US" w:eastAsia="zh-CN" w:bidi="ar"/>
        </w:rPr>
        <w:t xml:space="preserve"> 项目实施。镇街应根据筹资筹劳资金和财政综改资金拨付情况，及时组织项目开工建设。综改资金支持的工程类项目，技术要求不高、村级有能力实施的，原则上由村民自行组织实施，实行报账制管理；技术要求较高、村级无能力实施的，由镇街组织实施。项目的实施主体、管护主体应在村民议事和项目申报时明确。</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第十四条</w:t>
      </w:r>
      <w:r>
        <w:rPr>
          <w:rFonts w:hint="default" w:ascii="Times New Roman" w:hAnsi="Times New Roman" w:eastAsia="方正仿宋_GBK" w:cs="Times New Roman"/>
          <w:color w:val="000000"/>
          <w:kern w:val="0"/>
          <w:sz w:val="31"/>
          <w:szCs w:val="31"/>
          <w:lang w:val="en-US" w:eastAsia="zh-CN" w:bidi="ar"/>
        </w:rPr>
        <w:t xml:space="preserve"> 项目验收。项目实施单位每年度建设任务全面完成并提交项目竣工验收报告和验收申请后，镇街要及时组织镇街有关部门进行验收，验收合格后及时按相关要求开展结算审计。整个验收30个工作日内完成。对验收合格的项目，应及时办理综改资金结算。</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第十五条</w:t>
      </w:r>
      <w:r>
        <w:rPr>
          <w:rFonts w:hint="default" w:ascii="Times New Roman" w:hAnsi="Times New Roman" w:eastAsia="方正仿宋_GBK" w:cs="Times New Roman"/>
          <w:color w:val="000000"/>
          <w:kern w:val="0"/>
          <w:sz w:val="31"/>
          <w:szCs w:val="31"/>
          <w:lang w:val="en-US" w:eastAsia="zh-CN" w:bidi="ar"/>
        </w:rPr>
        <w:t xml:space="preserve"> 项目管护。镇街和村社建立健全综改资金项目运行管护制度，落实管护主体，明确管护责任，确保项目正常运转，长期发挥效益。</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第十六条</w:t>
      </w:r>
      <w:r>
        <w:rPr>
          <w:rFonts w:hint="default" w:ascii="Times New Roman" w:hAnsi="Times New Roman" w:eastAsia="方正仿宋_GBK" w:cs="Times New Roman"/>
          <w:color w:val="000000"/>
          <w:kern w:val="0"/>
          <w:sz w:val="31"/>
          <w:szCs w:val="31"/>
          <w:lang w:val="en-US" w:eastAsia="zh-CN" w:bidi="ar"/>
        </w:rPr>
        <w:t xml:space="preserve"> 项目调整。项目一旦确定，严禁随意调整建设内容，否则不予验收。如确因村民意愿改变、不可抗力等造成的项目调整，应按照村社和镇街逐级申请、区级调整批准、报市级备案的规范程序予以调整。</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第十七条</w:t>
      </w:r>
      <w:r>
        <w:rPr>
          <w:rFonts w:hint="default" w:ascii="Times New Roman" w:hAnsi="Times New Roman" w:eastAsia="方正仿宋_GBK" w:cs="Times New Roman"/>
          <w:color w:val="000000"/>
          <w:kern w:val="0"/>
          <w:sz w:val="31"/>
          <w:szCs w:val="31"/>
          <w:lang w:val="en-US" w:eastAsia="zh-CN" w:bidi="ar"/>
        </w:rPr>
        <w:t xml:space="preserve"> 公示制度。资金筹集、使用和结算，综改标准、对象和金额，办事程序，实施单位，竣工验收和服务承诺等一律公开公示，已建成的综改资金项目应在项目所在地的村民小组设置醒目的标识和公示牌，设置相关行业主管部门监督电话，广泛接受群众监督。</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第十八条</w:t>
      </w:r>
      <w:r>
        <w:rPr>
          <w:rFonts w:hint="default" w:ascii="Times New Roman" w:hAnsi="Times New Roman" w:eastAsia="方正仿宋_GBK" w:cs="Times New Roman"/>
          <w:color w:val="000000"/>
          <w:kern w:val="0"/>
          <w:sz w:val="31"/>
          <w:szCs w:val="31"/>
          <w:lang w:val="en-US" w:eastAsia="zh-CN" w:bidi="ar"/>
        </w:rPr>
        <w:t xml:space="preserve"> 档案管理。各镇街应重视综改资金项目档案管理等基础工作，及时将村民一事一议会议记录、筹资筹劳方案、综改项目申报、项目建设预决算、建设前中后图片、资金支付等相关原始资料汇总归档，完善信息平台相关资料，做好档案规范管理工作。</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第十九条</w:t>
      </w:r>
      <w:r>
        <w:rPr>
          <w:rFonts w:hint="default" w:ascii="Times New Roman" w:hAnsi="Times New Roman" w:eastAsia="方正仿宋_GBK" w:cs="Times New Roman"/>
          <w:color w:val="000000"/>
          <w:kern w:val="0"/>
          <w:sz w:val="31"/>
          <w:szCs w:val="31"/>
          <w:lang w:val="en-US" w:eastAsia="zh-CN" w:bidi="ar"/>
        </w:rPr>
        <w:t xml:space="preserve"> 明确产权。综改资金投入形成的公益性资产应当明确产权主体，及时移交产权。确定运行管护责任，优先安排农村集体经济组织、农民合作组织等作为管护主体。政府直接投入的财政补助资金形成的经营性资产，除拨款时明确产权的以外，原则上归属于村集体经济组织，能够在集体组织和成员之间量化的可按股权比例量化。</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第二十条</w:t>
      </w:r>
      <w:r>
        <w:rPr>
          <w:rFonts w:hint="default" w:ascii="Times New Roman" w:hAnsi="Times New Roman" w:eastAsia="方正仿宋_GBK" w:cs="Times New Roman"/>
          <w:color w:val="000000"/>
          <w:kern w:val="0"/>
          <w:sz w:val="31"/>
          <w:szCs w:val="31"/>
          <w:lang w:val="en-US" w:eastAsia="zh-CN" w:bidi="ar"/>
        </w:rPr>
        <w:t xml:space="preserve"> 绩效评价。区财政局每年抽选部分综改资金项目开展绩效评价。各镇街对本辖区上年度综改资金使用、项目建设和农村综合改革进展等情况开展自评，自评报告及佐证资料（一般采取电子文件形式）应于2月底之前上报区财政局，通过绩效评价统筹考评各镇街综改使用和项目管理情况，考评结果将作为下一年度安排综改资金的参考因素。</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第二十一条</w:t>
      </w:r>
      <w:r>
        <w:rPr>
          <w:rFonts w:hint="default" w:ascii="Times New Roman" w:hAnsi="Times New Roman" w:eastAsia="方正仿宋_GBK" w:cs="Times New Roman"/>
          <w:color w:val="000000"/>
          <w:kern w:val="0"/>
          <w:sz w:val="31"/>
          <w:szCs w:val="31"/>
          <w:lang w:val="en-US" w:eastAsia="zh-CN" w:bidi="ar"/>
        </w:rPr>
        <w:t xml:space="preserve"> 监督检查。搭建村社、镇街、区级各方联动的监督机制，将资金使用情况纳入纪委监委、审计、社会监督范围，形成监督合力。</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村支</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两委</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应严格落实民主议事和项目资金公开公示制度，充分保障村民民主理财小组，项目质量监督小组和当地群众对综改资金项目行使监督权。</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镇街所属相关部门，要加强对综改资金项目实施的技术指导和服务，督促施工单位和监督机构履行职责，加强对施工各环节的质量监控和资金使用的监督检查。</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p>
    <w:p>
      <w:pPr>
        <w:keepNext w:val="0"/>
        <w:keepLines w:val="0"/>
        <w:pageBreakBefore w:val="0"/>
        <w:widowControl w:val="0"/>
        <w:numPr>
          <w:ilvl w:val="0"/>
          <w:numId w:val="0"/>
        </w:numPr>
        <w:kinsoku/>
        <w:wordWrap/>
        <w:overflowPunct/>
        <w:topLinePunct w:val="0"/>
        <w:autoSpaceDE/>
        <w:autoSpaceDN/>
        <w:bidi w:val="0"/>
        <w:adjustRightInd w:val="0"/>
        <w:snapToGrid w:val="0"/>
        <w:spacing w:line="576" w:lineRule="exact"/>
        <w:ind w:firstLine="640" w:firstLineChars="200"/>
        <w:jc w:val="center"/>
        <w:textAlignment w:val="auto"/>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lang w:val="en-US" w:eastAsia="zh-CN"/>
        </w:rPr>
        <w:t>第四章 资金兑付</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第二十二条</w:t>
      </w:r>
      <w:r>
        <w:rPr>
          <w:rFonts w:hint="default" w:ascii="Times New Roman" w:hAnsi="Times New Roman" w:eastAsia="方正仿宋_GBK" w:cs="Times New Roman"/>
          <w:color w:val="000000"/>
          <w:kern w:val="0"/>
          <w:sz w:val="31"/>
          <w:szCs w:val="31"/>
          <w:lang w:val="en-US" w:eastAsia="zh-CN" w:bidi="ar"/>
        </w:rPr>
        <w:t xml:space="preserve"> 设立专门会计科目。为确保综改资金项目资金及时到位，方便管理与监督，镇街财政部门应分村设立专门会计科目，投入每个综改资金项目的所有资金都必须纳入镇街财政管辖，实行报账制，进行专门会计科目核算。</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第二十三条</w:t>
      </w:r>
      <w:r>
        <w:rPr>
          <w:rFonts w:hint="default" w:ascii="Times New Roman" w:hAnsi="Times New Roman" w:eastAsia="方正仿宋_GBK" w:cs="Times New Roman"/>
          <w:color w:val="000000"/>
          <w:kern w:val="0"/>
          <w:sz w:val="31"/>
          <w:szCs w:val="31"/>
          <w:lang w:val="en-US" w:eastAsia="zh-CN" w:bidi="ar"/>
        </w:rPr>
        <w:t xml:space="preserve"> 报账程序。综改资金项目实行镇街财政报账制，由镇街根据资金使用情况向区财政局提出资金申请，经核实后预拨申请资金到镇街。综改资金的支付按照国库集中支付制度有关规定执行。属于政府采购、招投标管理范围的，执行相关法律、法规及制度规定。综改项目启动实施后，报账时应先行支付村民筹资、村集体投入、社会捐资到账资金，再拨付综改资金。较大的综改资金项目，可根据实际情况预拨一部分启动资金，以后按照项目建设进度报账拨款，并预留10%的质量保证金，待项目竣工验收合格后报账拨付。</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（一）村民自建项目。由村支</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两委</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向镇街财政部门提交报账申请书、材料采购原始凭证、人工费用原始凭证等，每张凭证及附件都必须由经办人、村党组织书记、村委会主任、村民民主理财小组、项目质量监督小组签章；镇街财政部门按程序进行审核，报镇街分管领导签章同意后，予以报账，并拨付资金。</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二）公开招标项目。由项目施工单位按合同、工程进度和竣工验收情况提交报账申请书，附施工合同和经监督人员或监理单位签章的监理资料，并由施工单位负责人、村党组织书记、村委会主任、村民民主理财小组、项目质量监督小组签章；镇街财政部门按程序进行审核，报镇街分管领导签章同意后，予以报账，并通过银行转账将资金直接拨付施工单位。</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第二十四条</w:t>
      </w:r>
      <w:r>
        <w:rPr>
          <w:rFonts w:hint="default" w:ascii="Times New Roman" w:hAnsi="Times New Roman" w:eastAsia="方正仿宋_GBK" w:cs="Times New Roman"/>
          <w:color w:val="000000"/>
          <w:kern w:val="0"/>
          <w:sz w:val="31"/>
          <w:szCs w:val="31"/>
          <w:lang w:val="en-US" w:eastAsia="zh-CN" w:bidi="ar"/>
        </w:rPr>
        <w:t xml:space="preserve"> 结余处理。根据项目竣工验收结果，镇街财政部门应与村支</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两委</w:t>
      </w:r>
      <w:r>
        <w:rPr>
          <w:rFonts w:hint="eastAsia" w:ascii="Times New Roman" w:hAnsi="Times New Roman" w:eastAsia="方正仿宋_GBK" w:cs="Times New Roman"/>
          <w:color w:val="000000"/>
          <w:kern w:val="0"/>
          <w:sz w:val="31"/>
          <w:szCs w:val="31"/>
          <w:lang w:val="en-US" w:eastAsia="zh-CN" w:bidi="ar"/>
        </w:rPr>
        <w:t>”</w:t>
      </w:r>
      <w:r>
        <w:rPr>
          <w:rFonts w:hint="default" w:ascii="Times New Roman" w:hAnsi="Times New Roman" w:eastAsia="方正仿宋_GBK" w:cs="Times New Roman"/>
          <w:color w:val="000000"/>
          <w:kern w:val="0"/>
          <w:sz w:val="31"/>
          <w:szCs w:val="31"/>
          <w:lang w:val="en-US" w:eastAsia="zh-CN" w:bidi="ar"/>
        </w:rPr>
        <w:t>或施工承包单位办结竣工项目结算手续，经审核、对账后，如有结余，收回两年以上的上级专款和全部区级安排的结转结余预算指标。</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center"/>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黑体_GBK" w:cs="Times New Roman"/>
          <w:sz w:val="32"/>
          <w:szCs w:val="32"/>
          <w:lang w:val="en-US" w:eastAsia="zh-CN"/>
        </w:rPr>
        <w:t>第五章 附则</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第二十五条</w:t>
      </w:r>
      <w:r>
        <w:rPr>
          <w:rFonts w:hint="default" w:ascii="Times New Roman" w:hAnsi="Times New Roman" w:eastAsia="方正仿宋_GBK" w:cs="Times New Roman"/>
          <w:color w:val="000000"/>
          <w:kern w:val="0"/>
          <w:sz w:val="31"/>
          <w:szCs w:val="31"/>
          <w:lang w:val="en-US" w:eastAsia="zh-CN" w:bidi="ar"/>
        </w:rPr>
        <w:t xml:space="preserve"> 区级和镇街有关部门及其工作人员在综改资金分配、项目安排工作中，存在违反规定分配资金、向不符合条件的单位（或项目）分配资金或擅自超出规定的范围或标准分配资金等行为，以及其他滥用职权、玩忽职守、徇私舞弊等违法违纪行为的，按照《中华人民共和国预算法》《中华人民共和国公务员法》《中华人民共和国行政监察法》《财政违法行为处罚处分条例》等有关规定追究相应责任；涉嫌犯罪的，移送司法机关处理。</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2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仿宋_GBK" w:cs="Times New Roman"/>
          <w:color w:val="000000"/>
          <w:kern w:val="0"/>
          <w:sz w:val="31"/>
          <w:szCs w:val="31"/>
          <w:lang w:val="en-US" w:eastAsia="zh-CN" w:bidi="ar"/>
        </w:rPr>
        <w:t>综改资金使用管理中有关单位及个人存在弄虚作假或挤占、挪用、滞留资金等财政违法行为的，按照《中华人民共和国预算法》、《财政违法行为处罚处分条例》等有关规定处理。</w:t>
      </w:r>
    </w:p>
    <w:p>
      <w:pPr>
        <w:keepNext w:val="0"/>
        <w:keepLines w:val="0"/>
        <w:pageBreakBefore w:val="0"/>
        <w:widowControl w:val="0"/>
        <w:suppressLineNumbers w:val="0"/>
        <w:kinsoku/>
        <w:wordWrap/>
        <w:overflowPunct/>
        <w:topLinePunct w:val="0"/>
        <w:autoSpaceDE/>
        <w:autoSpaceDN/>
        <w:bidi w:val="0"/>
        <w:adjustRightInd w:val="0"/>
        <w:snapToGrid w:val="0"/>
        <w:spacing w:line="576" w:lineRule="exact"/>
        <w:ind w:firstLine="640" w:firstLineChars="200"/>
        <w:jc w:val="left"/>
        <w:textAlignment w:val="auto"/>
        <w:rPr>
          <w:rFonts w:hint="default" w:ascii="Times New Roman" w:hAnsi="Times New Roman" w:eastAsia="方正仿宋_GBK" w:cs="Times New Roman"/>
          <w:color w:val="000000"/>
          <w:kern w:val="0"/>
          <w:sz w:val="31"/>
          <w:szCs w:val="31"/>
          <w:lang w:val="en-US" w:eastAsia="zh-CN" w:bidi="ar"/>
        </w:rPr>
      </w:pPr>
      <w:r>
        <w:rPr>
          <w:rFonts w:hint="default" w:ascii="Times New Roman" w:hAnsi="Times New Roman" w:eastAsia="方正楷体_GBK" w:cs="Times New Roman"/>
          <w:sz w:val="32"/>
          <w:szCs w:val="32"/>
          <w:lang w:val="en-US" w:eastAsia="zh-CN"/>
        </w:rPr>
        <w:t>第二十六条</w:t>
      </w:r>
      <w:r>
        <w:rPr>
          <w:rFonts w:hint="default" w:ascii="Times New Roman" w:hAnsi="Times New Roman" w:eastAsia="方正仿宋_GBK" w:cs="Times New Roman"/>
          <w:color w:val="000000"/>
          <w:kern w:val="0"/>
          <w:sz w:val="31"/>
          <w:szCs w:val="31"/>
          <w:lang w:val="en-US" w:eastAsia="zh-CN" w:bidi="ar"/>
        </w:rPr>
        <w:t xml:space="preserve"> 本办法由区财政局负责解释。</w:t>
      </w:r>
    </w:p>
    <w:p>
      <w:pPr>
        <w:keepNext w:val="0"/>
        <w:keepLines w:val="0"/>
        <w:widowControl/>
        <w:suppressLineNumbers w:val="0"/>
        <w:jc w:val="left"/>
        <w:rPr>
          <w:rFonts w:hint="default" w:ascii="方正仿宋_GBK" w:hAnsi="方正仿宋_GBK" w:eastAsia="方正仿宋_GBK" w:cs="方正仿宋_GBK"/>
          <w:color w:val="000000"/>
          <w:kern w:val="0"/>
          <w:sz w:val="31"/>
          <w:szCs w:val="31"/>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76" w:lineRule="exact"/>
        <w:ind w:firstLine="640" w:firstLineChars="200"/>
        <w:jc w:val="left"/>
        <w:textAlignment w:val="auto"/>
        <w:rPr>
          <w:rFonts w:hint="default" w:ascii="Times New Roman" w:hAnsi="Times New Roman" w:eastAsia="方正仿宋_GBK" w:cs="Times New Roman"/>
          <w:color w:val="000000"/>
          <w:kern w:val="0"/>
          <w:sz w:val="32"/>
          <w:szCs w:val="32"/>
          <w:lang w:val="en-US" w:eastAsia="zh-CN" w:bidi="ar"/>
        </w:rPr>
      </w:pPr>
      <w:r>
        <w:rPr>
          <w:rFonts w:hint="default" w:ascii="Times New Roman" w:hAnsi="Times New Roman" w:eastAsia="方正仿宋_GBK" w:cs="Times New Roman"/>
          <w:color w:val="000000"/>
          <w:kern w:val="0"/>
          <w:sz w:val="32"/>
          <w:szCs w:val="32"/>
          <w:lang w:val="en-US" w:eastAsia="zh-CN" w:bidi="ar"/>
        </w:rPr>
        <w:t>附件：1．××××年第×批农村综合改革一事一议项目申报明</w:t>
      </w:r>
    </w:p>
    <w:p>
      <w:pPr>
        <w:keepNext w:val="0"/>
        <w:keepLines w:val="0"/>
        <w:pageBreakBefore w:val="0"/>
        <w:widowControl/>
        <w:suppressLineNumbers w:val="0"/>
        <w:kinsoku/>
        <w:wordWrap/>
        <w:overflowPunct/>
        <w:topLinePunct w:val="0"/>
        <w:autoSpaceDE/>
        <w:autoSpaceDN/>
        <w:bidi w:val="0"/>
        <w:adjustRightInd/>
        <w:snapToGrid/>
        <w:spacing w:line="576" w:lineRule="exact"/>
        <w:ind w:firstLine="2080" w:firstLineChars="650"/>
        <w:jc w:val="left"/>
        <w:textAlignment w:val="auto"/>
        <w:rPr>
          <w:rFonts w:hint="default" w:ascii="Times New Roman" w:hAnsi="Times New Roman" w:eastAsia="方正仿宋_GBK" w:cs="Times New Roman"/>
          <w:color w:val="000000"/>
          <w:kern w:val="0"/>
          <w:sz w:val="32"/>
          <w:szCs w:val="32"/>
          <w:lang w:val="en-US" w:eastAsia="zh-CN" w:bidi="ar"/>
        </w:rPr>
      </w:pPr>
      <w:r>
        <w:rPr>
          <w:rFonts w:hint="default" w:ascii="Times New Roman" w:hAnsi="Times New Roman" w:eastAsia="方正仿宋_GBK" w:cs="Times New Roman"/>
          <w:color w:val="000000"/>
          <w:kern w:val="0"/>
          <w:sz w:val="32"/>
          <w:szCs w:val="32"/>
          <w:lang w:val="en-US" w:eastAsia="zh-CN" w:bidi="ar"/>
        </w:rPr>
        <w:t>细表</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76" w:lineRule="exact"/>
        <w:ind w:firstLine="1600" w:firstLineChars="500"/>
        <w:jc w:val="left"/>
        <w:textAlignment w:val="auto"/>
        <w:rPr>
          <w:rFonts w:hint="default" w:ascii="Times New Roman" w:hAnsi="Times New Roman" w:eastAsia="方正仿宋_GBK" w:cs="Times New Roman"/>
          <w:color w:val="000000"/>
          <w:kern w:val="0"/>
          <w:sz w:val="32"/>
          <w:szCs w:val="32"/>
          <w:lang w:val="en-US" w:eastAsia="zh-CN" w:bidi="ar"/>
        </w:rPr>
      </w:pPr>
      <w:r>
        <w:rPr>
          <w:rFonts w:hint="default" w:ascii="Times New Roman" w:hAnsi="Times New Roman" w:eastAsia="方正仿宋_GBK" w:cs="Times New Roman"/>
          <w:color w:val="000000"/>
          <w:kern w:val="0"/>
          <w:sz w:val="32"/>
          <w:szCs w:val="32"/>
          <w:lang w:val="en-US" w:eastAsia="zh-CN" w:bidi="ar"/>
        </w:rPr>
        <w:t>2．重庆市村级公益事业建设一事一议财政奖补项目</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76" w:lineRule="exact"/>
        <w:ind w:firstLine="2080" w:firstLineChars="650"/>
        <w:jc w:val="left"/>
        <w:textAlignment w:val="auto"/>
        <w:rPr>
          <w:rFonts w:hint="default" w:ascii="Times New Roman" w:hAnsi="Times New Roman" w:eastAsia="方正仿宋_GBK" w:cs="Times New Roman"/>
          <w:color w:val="000000"/>
          <w:kern w:val="0"/>
          <w:sz w:val="32"/>
          <w:szCs w:val="32"/>
          <w:lang w:val="en-US" w:eastAsia="zh-CN" w:bidi="ar"/>
        </w:rPr>
      </w:pPr>
      <w:r>
        <w:rPr>
          <w:rFonts w:hint="default" w:ascii="Times New Roman" w:hAnsi="Times New Roman" w:eastAsia="方正仿宋_GBK" w:cs="Times New Roman"/>
          <w:color w:val="000000"/>
          <w:kern w:val="0"/>
          <w:sz w:val="32"/>
          <w:szCs w:val="32"/>
          <w:lang w:val="en-US" w:eastAsia="zh-CN" w:bidi="ar"/>
        </w:rPr>
        <w:t>申报标准文本（村级用）</w:t>
      </w:r>
    </w:p>
    <w:p>
      <w:pPr>
        <w:keepNext w:val="0"/>
        <w:keepLines w:val="0"/>
        <w:pageBreakBefore w:val="0"/>
        <w:widowControl/>
        <w:suppressLineNumbers w:val="0"/>
        <w:kinsoku/>
        <w:wordWrap/>
        <w:overflowPunct/>
        <w:topLinePunct w:val="0"/>
        <w:autoSpaceDE/>
        <w:autoSpaceDN/>
        <w:bidi w:val="0"/>
        <w:adjustRightInd/>
        <w:snapToGrid/>
        <w:spacing w:line="576" w:lineRule="exact"/>
        <w:ind w:firstLine="420" w:firstLineChars="0"/>
        <w:jc w:val="left"/>
        <w:textAlignment w:val="auto"/>
        <w:rPr>
          <w:rFonts w:hint="default" w:ascii="方正仿宋_GBK" w:hAnsi="方正仿宋_GBK" w:eastAsia="方正仿宋_GBK" w:cs="方正仿宋_GBK"/>
          <w:color w:val="000000"/>
          <w:kern w:val="0"/>
          <w:sz w:val="31"/>
          <w:szCs w:val="31"/>
          <w:lang w:val="en-US" w:eastAsia="zh-CN" w:bidi="ar"/>
        </w:rPr>
      </w:pPr>
    </w:p>
    <w:p>
      <w:pPr>
        <w:keepNext w:val="0"/>
        <w:keepLines w:val="0"/>
        <w:pageBreakBefore w:val="0"/>
        <w:widowControl/>
        <w:suppressLineNumbers w:val="0"/>
        <w:kinsoku/>
        <w:wordWrap/>
        <w:overflowPunct/>
        <w:topLinePunct w:val="0"/>
        <w:autoSpaceDE/>
        <w:autoSpaceDN/>
        <w:bidi w:val="0"/>
        <w:adjustRightInd/>
        <w:snapToGrid/>
        <w:spacing w:line="576" w:lineRule="exact"/>
        <w:jc w:val="left"/>
        <w:textAlignment w:val="auto"/>
        <w:rPr>
          <w:rFonts w:hint="default" w:ascii="方正仿宋_GBK" w:hAnsi="方正仿宋_GBK" w:eastAsia="方正仿宋_GBK" w:cs="方正仿宋_GBK"/>
          <w:color w:val="000000"/>
          <w:kern w:val="0"/>
          <w:sz w:val="31"/>
          <w:szCs w:val="31"/>
          <w:lang w:val="en-US" w:eastAsia="zh-CN" w:bidi="ar"/>
        </w:rPr>
      </w:pPr>
    </w:p>
    <w:p>
      <w:pPr>
        <w:keepNext w:val="0"/>
        <w:keepLines w:val="0"/>
        <w:pageBreakBefore w:val="0"/>
        <w:widowControl w:val="0"/>
        <w:kinsoku/>
        <w:wordWrap/>
        <w:overflowPunct/>
        <w:topLinePunct w:val="0"/>
        <w:autoSpaceDE/>
        <w:autoSpaceDN/>
        <w:bidi w:val="0"/>
        <w:adjustRightInd/>
        <w:snapToGrid/>
        <w:spacing w:line="576" w:lineRule="exact"/>
        <w:ind w:firstLine="620" w:firstLineChars="200"/>
        <w:jc w:val="left"/>
        <w:textAlignment w:val="auto"/>
        <w:rPr>
          <w:rFonts w:hint="default" w:ascii="方正仿宋_GBK" w:hAnsi="方正仿宋_GBK" w:eastAsia="方正仿宋_GBK" w:cs="方正仿宋_GBK"/>
          <w:color w:val="000000"/>
          <w:kern w:val="0"/>
          <w:sz w:val="31"/>
          <w:szCs w:val="31"/>
          <w:lang w:val="en-US" w:eastAsia="zh-CN" w:bidi="ar"/>
        </w:rPr>
      </w:pPr>
    </w:p>
    <w:sectPr>
      <w:footerReference r:id="rId3" w:type="default"/>
      <w:pgSz w:w="11906" w:h="16838"/>
      <w:pgMar w:top="2098" w:right="1474" w:bottom="1984" w:left="1587" w:header="851" w:footer="1587"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embedRegular r:id="rId1" w:fontKey="{7BEB184E-D702-4134-8DB6-C1C61349876D}"/>
  </w:font>
  <w:font w:name="方正公文小标宋">
    <w:panose1 w:val="02000500000000000000"/>
    <w:charset w:val="86"/>
    <w:family w:val="auto"/>
    <w:pitch w:val="default"/>
    <w:sig w:usb0="00000000" w:usb1="00000000" w:usb2="00000000" w:usb3="00000000" w:csb0="00000000" w:csb1="00000000"/>
    <w:embedRegular r:id="rId2" w:fontKey="{69677DCE-0BFD-40F0-8F1F-71065EA69350}"/>
  </w:font>
  <w:font w:name="方正仿宋_GB2312">
    <w:panose1 w:val="02000000000000000000"/>
    <w:charset w:val="86"/>
    <w:family w:val="auto"/>
    <w:pitch w:val="default"/>
    <w:sig w:usb0="00000000" w:usb1="00000000" w:usb2="00000000" w:usb3="00000000" w:csb0="00000000" w:csb1="00000000"/>
    <w:embedRegular r:id="rId3" w:fontKey="{48508EA3-123A-4B04-9553-8FE86009D8A4}"/>
  </w:font>
  <w:font w:name="微软雅黑">
    <w:panose1 w:val="020B0503020204020204"/>
    <w:charset w:val="86"/>
    <w:family w:val="auto"/>
    <w:pitch w:val="default"/>
    <w:sig w:usb0="80000287" w:usb1="2ACF3C50" w:usb2="00000016" w:usb3="00000000" w:csb0="0004001F" w:csb1="00000000"/>
    <w:embedRegular r:id="rId4" w:fontKey="{4EA3E3D9-BFF0-4272-91EF-4B2E55764407}"/>
  </w:font>
  <w:font w:name="方正黑体_GBK">
    <w:panose1 w:val="03000509000000000000"/>
    <w:charset w:val="86"/>
    <w:family w:val="auto"/>
    <w:pitch w:val="default"/>
    <w:sig w:usb0="00000001" w:usb1="080E0000" w:usb2="00000000" w:usb3="00000000" w:csb0="00040000" w:csb1="00000000"/>
    <w:embedRegular r:id="rId5" w:fontKey="{B4709DE5-5392-4850-9CDF-291FA25D197C}"/>
  </w:font>
  <w:font w:name="方正楷体_GBK">
    <w:panose1 w:val="03000509000000000000"/>
    <w:charset w:val="86"/>
    <w:family w:val="auto"/>
    <w:pitch w:val="default"/>
    <w:sig w:usb0="00000001" w:usb1="080E0000" w:usb2="00000000" w:usb3="00000000" w:csb0="00040000" w:csb1="00000000"/>
    <w:embedRegular r:id="rId6" w:fontKey="{56214750-D707-45A8-809C-1E35247CA5CD}"/>
  </w:font>
  <w:font w:name="仿宋">
    <w:panose1 w:val="02010609060101010101"/>
    <w:charset w:val="86"/>
    <w:family w:val="auto"/>
    <w:pitch w:val="default"/>
    <w:sig w:usb0="800002BF" w:usb1="38CF7CFA" w:usb2="00000016" w:usb3="00000000" w:csb0="00040001" w:csb1="00000000"/>
    <w:embedRegular r:id="rId7" w:fontKey="{30696F4B-2E32-475A-BF75-8E34B8BF029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  \* MERGEFORMAT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2"/>
                      <w:rPr>
                        <w:rFonts w:hint="eastAsia" w:ascii="仿宋" w:hAnsi="仿宋" w:eastAsia="仿宋" w:cs="仿宋"/>
                        <w:sz w:val="28"/>
                        <w:szCs w:val="28"/>
                      </w:rPr>
                    </w:pPr>
                    <w:r>
                      <w:rPr>
                        <w:rFonts w:hint="eastAsia" w:ascii="仿宋" w:hAnsi="仿宋" w:eastAsia="仿宋" w:cs="仿宋"/>
                        <w:sz w:val="28"/>
                        <w:szCs w:val="28"/>
                      </w:rPr>
                      <w:t xml:space="preserve">— </w:t>
                    </w: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PAGE  \* MERGEFORMAT </w:instrText>
                    </w:r>
                    <w:r>
                      <w:rPr>
                        <w:rFonts w:hint="eastAsia" w:ascii="仿宋" w:hAnsi="仿宋" w:eastAsia="仿宋" w:cs="仿宋"/>
                        <w:sz w:val="28"/>
                        <w:szCs w:val="28"/>
                      </w:rPr>
                      <w:fldChar w:fldCharType="separate"/>
                    </w:r>
                    <w:r>
                      <w:rPr>
                        <w:rFonts w:hint="eastAsia" w:ascii="仿宋" w:hAnsi="仿宋" w:eastAsia="仿宋" w:cs="仿宋"/>
                        <w:sz w:val="28"/>
                        <w:szCs w:val="28"/>
                      </w:rPr>
                      <w:t>1</w:t>
                    </w:r>
                    <w:r>
                      <w:rPr>
                        <w:rFonts w:hint="eastAsia" w:ascii="仿宋" w:hAnsi="仿宋" w:eastAsia="仿宋" w:cs="仿宋"/>
                        <w:sz w:val="28"/>
                        <w:szCs w:val="28"/>
                      </w:rPr>
                      <w:fldChar w:fldCharType="end"/>
                    </w:r>
                    <w:r>
                      <w:rPr>
                        <w:rFonts w:hint="eastAsia" w:ascii="仿宋" w:hAnsi="仿宋" w:eastAsia="仿宋" w:cs="仿宋"/>
                        <w:sz w:val="28"/>
                        <w:szCs w:val="28"/>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EzZmI4N2JiZTBmYjJkYjUyOWY0Y2JhODE0MzA4ZjYifQ=="/>
  </w:docVars>
  <w:rsids>
    <w:rsidRoot w:val="45392F92"/>
    <w:rsid w:val="00011781"/>
    <w:rsid w:val="008773B8"/>
    <w:rsid w:val="00B358DA"/>
    <w:rsid w:val="01BC5CBB"/>
    <w:rsid w:val="03FB2B19"/>
    <w:rsid w:val="04431B4F"/>
    <w:rsid w:val="04E83035"/>
    <w:rsid w:val="05F41BDC"/>
    <w:rsid w:val="060B7578"/>
    <w:rsid w:val="079A71A9"/>
    <w:rsid w:val="07C5765D"/>
    <w:rsid w:val="09531447"/>
    <w:rsid w:val="0960032A"/>
    <w:rsid w:val="099B68C7"/>
    <w:rsid w:val="0D5234D7"/>
    <w:rsid w:val="0DBF06AB"/>
    <w:rsid w:val="0DCA3F30"/>
    <w:rsid w:val="0F3012B1"/>
    <w:rsid w:val="0F557518"/>
    <w:rsid w:val="101A6499"/>
    <w:rsid w:val="10AF0EAA"/>
    <w:rsid w:val="11494E5B"/>
    <w:rsid w:val="115C3B09"/>
    <w:rsid w:val="139A7BF0"/>
    <w:rsid w:val="14AB670B"/>
    <w:rsid w:val="15205ED3"/>
    <w:rsid w:val="16767A1C"/>
    <w:rsid w:val="18482D61"/>
    <w:rsid w:val="19382CF5"/>
    <w:rsid w:val="1A2525E6"/>
    <w:rsid w:val="1AA512DB"/>
    <w:rsid w:val="1BB87E4C"/>
    <w:rsid w:val="205E6558"/>
    <w:rsid w:val="20A83220"/>
    <w:rsid w:val="20CD585E"/>
    <w:rsid w:val="2100462B"/>
    <w:rsid w:val="227A0909"/>
    <w:rsid w:val="237C2E6E"/>
    <w:rsid w:val="24194B61"/>
    <w:rsid w:val="25B54415"/>
    <w:rsid w:val="26575474"/>
    <w:rsid w:val="29FD08AE"/>
    <w:rsid w:val="2A6D1317"/>
    <w:rsid w:val="2B053749"/>
    <w:rsid w:val="2B3B53BD"/>
    <w:rsid w:val="2B570575"/>
    <w:rsid w:val="2D016BD6"/>
    <w:rsid w:val="2D35210F"/>
    <w:rsid w:val="2F0A3A24"/>
    <w:rsid w:val="2F715851"/>
    <w:rsid w:val="2F822830"/>
    <w:rsid w:val="314B0324"/>
    <w:rsid w:val="32BE0DA6"/>
    <w:rsid w:val="32CA2073"/>
    <w:rsid w:val="337A0A4C"/>
    <w:rsid w:val="33EB36F8"/>
    <w:rsid w:val="360E0D30"/>
    <w:rsid w:val="36714388"/>
    <w:rsid w:val="374F5F32"/>
    <w:rsid w:val="37A12A4B"/>
    <w:rsid w:val="37E61084"/>
    <w:rsid w:val="38284F1B"/>
    <w:rsid w:val="38912AC0"/>
    <w:rsid w:val="39047914"/>
    <w:rsid w:val="39094D4C"/>
    <w:rsid w:val="390A0F20"/>
    <w:rsid w:val="39DC5FBD"/>
    <w:rsid w:val="3BB80364"/>
    <w:rsid w:val="3BC92571"/>
    <w:rsid w:val="3EEC1527"/>
    <w:rsid w:val="3F1B03E9"/>
    <w:rsid w:val="3FF81676"/>
    <w:rsid w:val="41D720B7"/>
    <w:rsid w:val="43016A94"/>
    <w:rsid w:val="440C56F0"/>
    <w:rsid w:val="45392F92"/>
    <w:rsid w:val="46D83FB0"/>
    <w:rsid w:val="48496F13"/>
    <w:rsid w:val="49D071C0"/>
    <w:rsid w:val="49FE7213"/>
    <w:rsid w:val="4E434A14"/>
    <w:rsid w:val="517452BB"/>
    <w:rsid w:val="52FE4D9E"/>
    <w:rsid w:val="53E126F6"/>
    <w:rsid w:val="54A930AA"/>
    <w:rsid w:val="56D95B7F"/>
    <w:rsid w:val="56E542AB"/>
    <w:rsid w:val="57672DA3"/>
    <w:rsid w:val="578E4EDA"/>
    <w:rsid w:val="59184390"/>
    <w:rsid w:val="59D630B8"/>
    <w:rsid w:val="59D95C1D"/>
    <w:rsid w:val="59E0666A"/>
    <w:rsid w:val="5AB768A8"/>
    <w:rsid w:val="5B3C6463"/>
    <w:rsid w:val="5D9562FF"/>
    <w:rsid w:val="5DA44563"/>
    <w:rsid w:val="61A50EBE"/>
    <w:rsid w:val="62691278"/>
    <w:rsid w:val="62B97467"/>
    <w:rsid w:val="648C414B"/>
    <w:rsid w:val="663568D1"/>
    <w:rsid w:val="66E7402E"/>
    <w:rsid w:val="670536A6"/>
    <w:rsid w:val="68172D06"/>
    <w:rsid w:val="68807A84"/>
    <w:rsid w:val="6A675E13"/>
    <w:rsid w:val="6B8D6867"/>
    <w:rsid w:val="6B916358"/>
    <w:rsid w:val="6B981494"/>
    <w:rsid w:val="6BDB26A0"/>
    <w:rsid w:val="6F782677"/>
    <w:rsid w:val="70383246"/>
    <w:rsid w:val="70D76EEE"/>
    <w:rsid w:val="720B6055"/>
    <w:rsid w:val="727F33AE"/>
    <w:rsid w:val="72D51220"/>
    <w:rsid w:val="741152AF"/>
    <w:rsid w:val="74BA691F"/>
    <w:rsid w:val="755D72AA"/>
    <w:rsid w:val="75A61525"/>
    <w:rsid w:val="75F26F32"/>
    <w:rsid w:val="792A4CD1"/>
    <w:rsid w:val="7CE50341"/>
    <w:rsid w:val="7D403B36"/>
    <w:rsid w:val="7D972797"/>
    <w:rsid w:val="7E3314F0"/>
    <w:rsid w:val="7F17496E"/>
    <w:rsid w:val="7FAA57E2"/>
    <w:rsid w:val="7FC44A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3907</Words>
  <Characters>3948</Characters>
  <Lines>0</Lines>
  <Paragraphs>0</Paragraphs>
  <TotalTime>4</TotalTime>
  <ScaleCrop>false</ScaleCrop>
  <LinksUpToDate>false</LinksUpToDate>
  <CharactersWithSpaces>4049</CharactersWithSpaces>
  <Application>WPS Office_11.1.0.9098_F1E327BC-269C-435d-A152-05C5408002CA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2024-05-22T01:55:00Z</dcterms:created>
  <dc:creator>田经纬</dc:creator>
  <cp:lastModifiedBy>局办公室</cp:lastModifiedBy>
  <dcterms:modified xsi:type="dcterms:W3CDTF">2024-08-09T02:01:22Z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2052-11.1.0.9098</vt:lpwstr>
  </property>
  <property fmtid="{D5CDD505-2E9C-101B-9397-08002B2CF9AE}" pid="3" name="ICV">
    <vt:lpwstr>50925692319F442F98E07707B7815598_13</vt:lpwstr>
  </property>
</Properties>
</file>