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adjustRightInd w:val="0"/>
        <w:spacing w:line="240" w:lineRule="auto"/>
        <w:ind w:firstLine="0" w:firstLineChars="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pacing w:before="192" w:beforeLines="80" w:line="240" w:lineRule="auto"/>
        <w:ind w:firstLine="0" w:firstLineChars="0"/>
        <w:jc w:val="center"/>
      </w:pPr>
      <w:r>
        <w:rPr>
          <w:rFonts w:hint="eastAsia" w:ascii="楷体_GB2312" w:eastAsia="楷体_GB2312"/>
          <w:bCs/>
          <w:sz w:val="48"/>
          <w:szCs w:val="48"/>
        </w:rPr>
        <w:t>（污染影响类）</w:t>
      </w:r>
    </w:p>
    <w:p/>
    <w:p/>
    <w:p/>
    <w:p/>
    <w:p/>
    <w:p/>
    <w:p/>
    <w:p>
      <w:pPr>
        <w:ind w:left="2520" w:leftChars="300" w:hanging="1800" w:hangingChars="500"/>
        <w:rPr>
          <w:sz w:val="36"/>
        </w:rPr>
      </w:pPr>
      <w:r>
        <w:rPr>
          <w:rFonts w:hint="eastAsia" w:ascii="仿宋_GB2312" w:eastAsia="仿宋_GB2312"/>
          <w:sz w:val="36"/>
          <w:szCs w:val="36"/>
        </w:rPr>
        <w:t>项目名称：</w:t>
      </w:r>
      <w:r>
        <w:rPr>
          <w:rFonts w:hint="eastAsia" w:ascii="仿宋_GB2312" w:eastAsia="仿宋_GB2312"/>
          <w:sz w:val="32"/>
          <w:szCs w:val="32"/>
          <w:u w:val="single"/>
        </w:rPr>
        <w:t xml:space="preserve">炼钢除尘灰资源化利用项目                                </w:t>
      </w:r>
    </w:p>
    <w:p>
      <w:pPr>
        <w:ind w:firstLine="720"/>
        <w:rPr>
          <w:u w:val="single"/>
        </w:rPr>
      </w:pPr>
      <w:r>
        <w:rPr>
          <w:rFonts w:hint="eastAsia" w:ascii="仿宋_GB2312" w:eastAsia="仿宋_GB2312"/>
          <w:sz w:val="36"/>
          <w:szCs w:val="36"/>
        </w:rPr>
        <w:t>建设单位（盖章）：</w:t>
      </w:r>
      <w:r>
        <w:rPr>
          <w:rFonts w:ascii="仿宋_GB2312" w:eastAsia="仿宋_GB2312"/>
          <w:sz w:val="36"/>
          <w:szCs w:val="36"/>
          <w:u w:val="single"/>
        </w:rPr>
        <w:t xml:space="preserve"> </w:t>
      </w:r>
      <w:r>
        <w:rPr>
          <w:rFonts w:hint="eastAsia" w:ascii="仿宋_GB2312" w:eastAsia="仿宋_GB2312"/>
          <w:sz w:val="32"/>
          <w:szCs w:val="36"/>
          <w:u w:val="single"/>
        </w:rPr>
        <w:t xml:space="preserve">重庆足航钢铁有限公司          </w:t>
      </w:r>
    </w:p>
    <w:p>
      <w:pPr>
        <w:ind w:firstLine="720"/>
      </w:pPr>
      <w:r>
        <w:rPr>
          <w:rFonts w:hint="eastAsia" w:ascii="仿宋_GB2312" w:eastAsia="仿宋_GB2312"/>
          <w:sz w:val="36"/>
          <w:szCs w:val="36"/>
        </w:rPr>
        <w:t>编制日期：</w:t>
      </w:r>
      <w:r>
        <w:rPr>
          <w:rFonts w:ascii="仿宋_GB2312" w:eastAsia="仿宋_GB2312"/>
          <w:sz w:val="32"/>
          <w:szCs w:val="36"/>
          <w:u w:val="single"/>
        </w:rPr>
        <w:t xml:space="preserve">         </w:t>
      </w:r>
      <w:r>
        <w:rPr>
          <w:rFonts w:hint="eastAsia" w:ascii="仿宋_GB2312" w:eastAsia="仿宋_GB2312"/>
          <w:sz w:val="32"/>
          <w:szCs w:val="36"/>
          <w:u w:val="single"/>
        </w:rPr>
        <w:t>二〇二三年十二月</w:t>
      </w:r>
      <w:r>
        <w:rPr>
          <w:rFonts w:ascii="仿宋_GB2312" w:eastAsia="仿宋_GB2312"/>
          <w:sz w:val="32"/>
          <w:szCs w:val="36"/>
          <w:u w:val="single"/>
        </w:rPr>
        <w:t xml:space="preserve">                </w:t>
      </w:r>
      <w:r>
        <w:rPr>
          <w:rFonts w:hint="eastAsia" w:ascii="仿宋_GB2312" w:eastAsia="仿宋_GB2312"/>
          <w:sz w:val="32"/>
          <w:szCs w:val="36"/>
          <w:u w:val="single"/>
        </w:rPr>
        <w:t xml:space="preserve"> </w:t>
      </w:r>
    </w:p>
    <w:p>
      <w:bookmarkStart w:id="0" w:name="_Hlk57884087"/>
    </w:p>
    <w:p/>
    <w:p/>
    <w:p/>
    <w:p/>
    <w:bookmarkEnd w:id="0"/>
    <w:p>
      <w:pPr>
        <w:adjustRightInd w:val="0"/>
        <w:spacing w:line="288" w:lineRule="auto"/>
        <w:ind w:firstLine="0" w:firstLineChars="0"/>
        <w:jc w:val="center"/>
        <w:rPr>
          <w:rFonts w:ascii="楷体_GB2312" w:eastAsia="楷体_GB2312"/>
          <w:sz w:val="36"/>
          <w:szCs w:val="36"/>
        </w:rPr>
      </w:pPr>
      <w:r>
        <w:rPr>
          <w:rFonts w:hint="eastAsia" w:ascii="楷体_GB2312" w:eastAsia="楷体_GB2312"/>
          <w:sz w:val="36"/>
          <w:szCs w:val="36"/>
        </w:rPr>
        <w:t>中华人民共和国生态环境部制</w:t>
      </w:r>
    </w:p>
    <w:p>
      <w:p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NumType w:start="3"/>
          <w:cols w:space="720" w:num="1"/>
          <w:docGrid w:linePitch="312" w:charSpace="0"/>
        </w:sectPr>
      </w:pPr>
    </w:p>
    <w:p>
      <w:pPr>
        <w:pStyle w:val="3"/>
        <w:rPr>
          <w:color w:val="auto"/>
        </w:rPr>
      </w:pPr>
      <w:r>
        <w:rPr>
          <w:rFonts w:hint="eastAsia"/>
          <w:color w:val="auto"/>
        </w:rPr>
        <w:t>建设项目基本情况</w:t>
      </w:r>
    </w:p>
    <w:tbl>
      <w:tblPr>
        <w:tblStyle w:val="88"/>
        <w:tblW w:w="89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4"/>
        <w:gridCol w:w="1417"/>
        <w:gridCol w:w="2161"/>
        <w:gridCol w:w="1950"/>
        <w:gridCol w:w="29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建设项目名称</w:t>
            </w:r>
          </w:p>
        </w:tc>
        <w:tc>
          <w:tcPr>
            <w:tcW w:w="7029" w:type="dxa"/>
            <w:gridSpan w:val="3"/>
            <w:vAlign w:val="center"/>
          </w:tcPr>
          <w:p>
            <w:pPr>
              <w:pStyle w:val="169"/>
              <w:rPr>
                <w:sz w:val="24"/>
                <w:szCs w:val="24"/>
              </w:rPr>
            </w:pPr>
            <w:r>
              <w:rPr>
                <w:rFonts w:hint="eastAsia"/>
                <w:sz w:val="24"/>
                <w:szCs w:val="24"/>
              </w:rPr>
              <w:t>炼钢除尘灰资源化利用项目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1871" w:type="dxa"/>
            <w:gridSpan w:val="2"/>
            <w:tcMar>
              <w:top w:w="16" w:type="dxa"/>
              <w:left w:w="16" w:type="dxa"/>
              <w:right w:w="16" w:type="dxa"/>
            </w:tcMar>
            <w:vAlign w:val="center"/>
          </w:tcPr>
          <w:p>
            <w:pPr>
              <w:pStyle w:val="169"/>
              <w:rPr>
                <w:sz w:val="24"/>
                <w:szCs w:val="24"/>
              </w:rPr>
            </w:pPr>
            <w:r>
              <w:rPr>
                <w:sz w:val="24"/>
                <w:szCs w:val="24"/>
              </w:rPr>
              <w:t>项目代码</w:t>
            </w:r>
          </w:p>
        </w:tc>
        <w:tc>
          <w:tcPr>
            <w:tcW w:w="7029" w:type="dxa"/>
            <w:gridSpan w:val="3"/>
            <w:vAlign w:val="center"/>
          </w:tcPr>
          <w:p>
            <w:pPr>
              <w:pStyle w:val="169"/>
              <w:rPr>
                <w:sz w:val="24"/>
                <w:szCs w:val="24"/>
              </w:rPr>
            </w:pPr>
            <w:r>
              <w:rPr>
                <w:sz w:val="24"/>
                <w:szCs w:val="24"/>
              </w:rPr>
              <w:t>2311-500111-04-05-246203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建设单位联系人</w:t>
            </w:r>
          </w:p>
        </w:tc>
        <w:tc>
          <w:tcPr>
            <w:tcW w:w="2161" w:type="dxa"/>
            <w:vAlign w:val="center"/>
          </w:tcPr>
          <w:p>
            <w:pPr>
              <w:pStyle w:val="169"/>
              <w:rPr>
                <w:rFonts w:hint="eastAsia" w:eastAsia="宋体"/>
                <w:sz w:val="24"/>
                <w:szCs w:val="24"/>
                <w:lang w:eastAsia="zh-CN"/>
              </w:rPr>
            </w:pPr>
            <w:r>
              <w:rPr>
                <w:rFonts w:hint="eastAsia"/>
                <w:sz w:val="24"/>
                <w:szCs w:val="24"/>
              </w:rPr>
              <w:t>王</w:t>
            </w:r>
            <w:r>
              <w:rPr>
                <w:rFonts w:hint="eastAsia"/>
                <w:sz w:val="24"/>
                <w:szCs w:val="24"/>
                <w:lang w:eastAsia="zh-CN"/>
              </w:rPr>
              <w:t>先生</w:t>
            </w:r>
          </w:p>
        </w:tc>
        <w:tc>
          <w:tcPr>
            <w:tcW w:w="1950" w:type="dxa"/>
            <w:vAlign w:val="center"/>
          </w:tcPr>
          <w:p>
            <w:pPr>
              <w:pStyle w:val="169"/>
              <w:rPr>
                <w:sz w:val="24"/>
                <w:szCs w:val="24"/>
              </w:rPr>
            </w:pPr>
            <w:r>
              <w:rPr>
                <w:rFonts w:hint="eastAsia"/>
                <w:sz w:val="24"/>
                <w:szCs w:val="24"/>
              </w:rPr>
              <w:t>联系方式</w:t>
            </w:r>
          </w:p>
        </w:tc>
        <w:tc>
          <w:tcPr>
            <w:tcW w:w="2918" w:type="dxa"/>
            <w:vAlign w:val="center"/>
          </w:tcPr>
          <w:p>
            <w:pPr>
              <w:pStyle w:val="169"/>
              <w:rPr>
                <w:sz w:val="24"/>
                <w:szCs w:val="24"/>
              </w:rPr>
            </w:pPr>
            <w:r>
              <w:rPr>
                <w:rFonts w:hint="eastAsia"/>
                <w:sz w:val="24"/>
                <w:szCs w:val="24"/>
              </w:rPr>
              <w:t>139</w:t>
            </w:r>
            <w:r>
              <w:rPr>
                <w:rFonts w:hint="eastAsia"/>
                <w:sz w:val="24"/>
                <w:szCs w:val="24"/>
                <w:lang w:val="en-US" w:eastAsia="zh-CN"/>
              </w:rPr>
              <w:t>****</w:t>
            </w:r>
            <w:r>
              <w:rPr>
                <w:rFonts w:hint="eastAsia"/>
                <w:sz w:val="24"/>
                <w:szCs w:val="24"/>
              </w:rPr>
              <w:t>2940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建设地点</w:t>
            </w:r>
          </w:p>
        </w:tc>
        <w:tc>
          <w:tcPr>
            <w:tcW w:w="7029" w:type="dxa"/>
            <w:gridSpan w:val="3"/>
            <w:vAlign w:val="center"/>
          </w:tcPr>
          <w:p>
            <w:pPr>
              <w:pStyle w:val="169"/>
              <w:rPr>
                <w:sz w:val="24"/>
                <w:szCs w:val="24"/>
              </w:rPr>
            </w:pPr>
            <w:r>
              <w:rPr>
                <w:sz w:val="24"/>
                <w:szCs w:val="24"/>
              </w:rPr>
              <w:t xml:space="preserve">  </w:t>
            </w:r>
            <w:r>
              <w:rPr>
                <w:rFonts w:hint="eastAsia"/>
                <w:sz w:val="24"/>
                <w:szCs w:val="24"/>
              </w:rPr>
              <w:t>重庆市</w:t>
            </w:r>
            <w:r>
              <w:rPr>
                <w:rFonts w:hint="eastAsia"/>
                <w:bCs/>
                <w:sz w:val="24"/>
                <w:szCs w:val="24"/>
              </w:rPr>
              <w:t>大足高新区邮亭组团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地理坐标</w:t>
            </w:r>
          </w:p>
        </w:tc>
        <w:tc>
          <w:tcPr>
            <w:tcW w:w="7029" w:type="dxa"/>
            <w:gridSpan w:val="3"/>
            <w:vAlign w:val="center"/>
          </w:tcPr>
          <w:p>
            <w:pPr>
              <w:pStyle w:val="169"/>
              <w:rPr>
                <w:sz w:val="24"/>
                <w:szCs w:val="24"/>
              </w:rPr>
            </w:pPr>
            <w:r>
              <w:rPr>
                <w:sz w:val="24"/>
                <w:szCs w:val="24"/>
              </w:rPr>
              <w:t>（</w:t>
            </w:r>
            <w:r>
              <w:rPr>
                <w:sz w:val="24"/>
                <w:szCs w:val="24"/>
                <w:u w:val="single"/>
              </w:rPr>
              <w:t xml:space="preserve"> 10</w:t>
            </w:r>
            <w:r>
              <w:rPr>
                <w:rFonts w:hint="eastAsia"/>
                <w:sz w:val="24"/>
                <w:szCs w:val="24"/>
                <w:u w:val="single"/>
              </w:rPr>
              <w:t>5</w:t>
            </w:r>
            <w:r>
              <w:rPr>
                <w:sz w:val="24"/>
                <w:szCs w:val="24"/>
                <w:u w:val="single"/>
              </w:rPr>
              <w:t xml:space="preserve"> </w:t>
            </w:r>
            <w:r>
              <w:rPr>
                <w:sz w:val="24"/>
                <w:szCs w:val="24"/>
              </w:rPr>
              <w:t>度</w:t>
            </w:r>
            <w:r>
              <w:rPr>
                <w:sz w:val="24"/>
                <w:szCs w:val="24"/>
                <w:u w:val="single"/>
              </w:rPr>
              <w:t xml:space="preserve"> </w:t>
            </w:r>
            <w:r>
              <w:rPr>
                <w:rFonts w:hint="eastAsia"/>
                <w:sz w:val="24"/>
                <w:szCs w:val="24"/>
                <w:u w:val="single"/>
              </w:rPr>
              <w:t>44</w:t>
            </w:r>
            <w:r>
              <w:rPr>
                <w:sz w:val="24"/>
                <w:szCs w:val="24"/>
                <w:u w:val="single"/>
              </w:rPr>
              <w:t xml:space="preserve"> </w:t>
            </w:r>
            <w:r>
              <w:rPr>
                <w:sz w:val="24"/>
                <w:szCs w:val="24"/>
              </w:rPr>
              <w:t>分</w:t>
            </w:r>
            <w:r>
              <w:rPr>
                <w:sz w:val="24"/>
                <w:szCs w:val="24"/>
                <w:u w:val="single"/>
              </w:rPr>
              <w:t xml:space="preserve"> </w:t>
            </w:r>
            <w:r>
              <w:rPr>
                <w:rFonts w:hint="eastAsia"/>
                <w:sz w:val="24"/>
                <w:szCs w:val="24"/>
                <w:u w:val="single"/>
              </w:rPr>
              <w:t>46.122</w:t>
            </w:r>
            <w:r>
              <w:rPr>
                <w:sz w:val="24"/>
                <w:szCs w:val="24"/>
                <w:u w:val="single"/>
              </w:rPr>
              <w:t xml:space="preserve"> </w:t>
            </w:r>
            <w:r>
              <w:rPr>
                <w:sz w:val="24"/>
                <w:szCs w:val="24"/>
              </w:rPr>
              <w:t>秒，</w:t>
            </w:r>
            <w:r>
              <w:rPr>
                <w:sz w:val="24"/>
                <w:szCs w:val="24"/>
                <w:u w:val="single"/>
              </w:rPr>
              <w:t xml:space="preserve"> 29 </w:t>
            </w:r>
            <w:r>
              <w:rPr>
                <w:sz w:val="24"/>
                <w:szCs w:val="24"/>
              </w:rPr>
              <w:t>度</w:t>
            </w:r>
            <w:r>
              <w:rPr>
                <w:sz w:val="24"/>
                <w:szCs w:val="24"/>
                <w:u w:val="single"/>
              </w:rPr>
              <w:t xml:space="preserve"> </w:t>
            </w:r>
            <w:r>
              <w:rPr>
                <w:rFonts w:hint="eastAsia"/>
                <w:sz w:val="24"/>
                <w:szCs w:val="24"/>
                <w:u w:val="single"/>
              </w:rPr>
              <w:t>26</w:t>
            </w:r>
            <w:r>
              <w:rPr>
                <w:sz w:val="24"/>
                <w:szCs w:val="24"/>
                <w:u w:val="single"/>
              </w:rPr>
              <w:t xml:space="preserve"> </w:t>
            </w:r>
            <w:r>
              <w:rPr>
                <w:sz w:val="24"/>
                <w:szCs w:val="24"/>
              </w:rPr>
              <w:t>分</w:t>
            </w:r>
            <w:r>
              <w:rPr>
                <w:sz w:val="24"/>
                <w:szCs w:val="24"/>
                <w:u w:val="single"/>
              </w:rPr>
              <w:t xml:space="preserve"> </w:t>
            </w:r>
            <w:r>
              <w:rPr>
                <w:rFonts w:hint="eastAsia"/>
                <w:sz w:val="24"/>
                <w:szCs w:val="24"/>
                <w:u w:val="single"/>
              </w:rPr>
              <w:t>25.514</w:t>
            </w:r>
            <w:r>
              <w:rPr>
                <w:sz w:val="24"/>
                <w:szCs w:val="24"/>
                <w:u w:val="single"/>
              </w:rPr>
              <w:t xml:space="preserve"> </w:t>
            </w:r>
            <w:r>
              <w:rPr>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国民经济</w:t>
            </w:r>
          </w:p>
          <w:p>
            <w:pPr>
              <w:pStyle w:val="169"/>
              <w:rPr>
                <w:sz w:val="24"/>
                <w:szCs w:val="24"/>
              </w:rPr>
            </w:pPr>
            <w:r>
              <w:rPr>
                <w:rFonts w:hint="eastAsia"/>
                <w:sz w:val="24"/>
                <w:szCs w:val="24"/>
              </w:rPr>
              <w:t>行业类别</w:t>
            </w:r>
          </w:p>
        </w:tc>
        <w:tc>
          <w:tcPr>
            <w:tcW w:w="2161" w:type="dxa"/>
            <w:vAlign w:val="center"/>
          </w:tcPr>
          <w:p>
            <w:pPr>
              <w:pStyle w:val="169"/>
              <w:rPr>
                <w:sz w:val="24"/>
                <w:szCs w:val="24"/>
              </w:rPr>
            </w:pPr>
            <w:r>
              <w:rPr>
                <w:rFonts w:hint="eastAsia"/>
                <w:sz w:val="24"/>
                <w:szCs w:val="24"/>
              </w:rPr>
              <w:t>N7723</w:t>
            </w:r>
            <w:r>
              <w:rPr>
                <w:sz w:val="24"/>
                <w:szCs w:val="24"/>
              </w:rPr>
              <w:t xml:space="preserve"> </w:t>
            </w:r>
            <w:r>
              <w:rPr>
                <w:rFonts w:hint="eastAsia"/>
                <w:sz w:val="24"/>
                <w:szCs w:val="24"/>
              </w:rPr>
              <w:t>危险废物治理</w:t>
            </w:r>
          </w:p>
        </w:tc>
        <w:tc>
          <w:tcPr>
            <w:tcW w:w="1950" w:type="dxa"/>
            <w:vAlign w:val="center"/>
          </w:tcPr>
          <w:p>
            <w:pPr>
              <w:pStyle w:val="169"/>
              <w:rPr>
                <w:sz w:val="24"/>
                <w:szCs w:val="24"/>
              </w:rPr>
            </w:pPr>
            <w:bookmarkStart w:id="1" w:name="_Hlk49843745"/>
            <w:r>
              <w:rPr>
                <w:rFonts w:hint="eastAsia"/>
                <w:sz w:val="24"/>
                <w:szCs w:val="24"/>
              </w:rPr>
              <w:t>建设项目</w:t>
            </w:r>
          </w:p>
          <w:bookmarkEnd w:id="1"/>
          <w:p>
            <w:pPr>
              <w:pStyle w:val="169"/>
              <w:rPr>
                <w:sz w:val="24"/>
                <w:szCs w:val="24"/>
              </w:rPr>
            </w:pPr>
            <w:r>
              <w:rPr>
                <w:rFonts w:hint="eastAsia"/>
                <w:sz w:val="24"/>
                <w:szCs w:val="24"/>
              </w:rPr>
              <w:t>行业类别</w:t>
            </w:r>
          </w:p>
        </w:tc>
        <w:tc>
          <w:tcPr>
            <w:tcW w:w="2918" w:type="dxa"/>
            <w:vAlign w:val="center"/>
          </w:tcPr>
          <w:p>
            <w:pPr>
              <w:pStyle w:val="169"/>
              <w:jc w:val="left"/>
              <w:rPr>
                <w:sz w:val="24"/>
                <w:szCs w:val="24"/>
              </w:rPr>
            </w:pPr>
            <w:r>
              <w:rPr>
                <w:rFonts w:hint="eastAsia"/>
                <w:sz w:val="24"/>
                <w:szCs w:val="24"/>
              </w:rPr>
              <w:t>101</w:t>
            </w:r>
            <w:r>
              <w:rPr>
                <w:sz w:val="24"/>
                <w:szCs w:val="24"/>
              </w:rPr>
              <w:t xml:space="preserve"> </w:t>
            </w:r>
            <w:r>
              <w:rPr>
                <w:rFonts w:hint="eastAsia"/>
                <w:sz w:val="24"/>
                <w:szCs w:val="24"/>
              </w:rPr>
              <w:t xml:space="preserve">危险废物（不含医疗废物）利用及处置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建设性质</w:t>
            </w:r>
          </w:p>
        </w:tc>
        <w:tc>
          <w:tcPr>
            <w:tcW w:w="2161" w:type="dxa"/>
            <w:vAlign w:val="center"/>
          </w:tcPr>
          <w:p>
            <w:pPr>
              <w:pStyle w:val="169"/>
              <w:jc w:val="left"/>
              <w:rPr>
                <w:sz w:val="24"/>
                <w:szCs w:val="24"/>
              </w:rPr>
            </w:pPr>
            <w:r>
              <w:rPr>
                <w:rFonts w:ascii="MS Mincho" w:hAnsi="MS Mincho" w:eastAsia="MS Mincho" w:cs="MS Mincho"/>
                <w:sz w:val="24"/>
                <w:szCs w:val="24"/>
              </w:rPr>
              <w:t>☑</w:t>
            </w:r>
            <w:r>
              <w:rPr>
                <w:rFonts w:hint="eastAsia"/>
                <w:sz w:val="24"/>
                <w:szCs w:val="24"/>
              </w:rPr>
              <w:t>新建（迁建）</w:t>
            </w:r>
          </w:p>
          <w:p>
            <w:pPr>
              <w:pStyle w:val="169"/>
              <w:jc w:val="left"/>
              <w:rPr>
                <w:sz w:val="24"/>
                <w:szCs w:val="24"/>
              </w:rPr>
            </w:pPr>
            <w:r>
              <w:rPr>
                <w:rFonts w:hint="eastAsia"/>
                <w:sz w:val="24"/>
                <w:szCs w:val="24"/>
              </w:rPr>
              <w:t>□改建</w:t>
            </w:r>
          </w:p>
          <w:p>
            <w:pPr>
              <w:pStyle w:val="169"/>
              <w:jc w:val="left"/>
              <w:rPr>
                <w:sz w:val="24"/>
                <w:szCs w:val="24"/>
              </w:rPr>
            </w:pPr>
            <w:r>
              <w:rPr>
                <w:rFonts w:hint="eastAsia"/>
                <w:sz w:val="24"/>
                <w:szCs w:val="24"/>
              </w:rPr>
              <w:t>□扩建</w:t>
            </w:r>
          </w:p>
          <w:p>
            <w:pPr>
              <w:pStyle w:val="169"/>
              <w:jc w:val="left"/>
              <w:rPr>
                <w:sz w:val="24"/>
                <w:szCs w:val="24"/>
              </w:rPr>
            </w:pPr>
            <w:r>
              <w:rPr>
                <w:rFonts w:hint="eastAsia"/>
                <w:sz w:val="24"/>
                <w:szCs w:val="24"/>
              </w:rPr>
              <w:t>□技术改造</w:t>
            </w:r>
          </w:p>
        </w:tc>
        <w:tc>
          <w:tcPr>
            <w:tcW w:w="1950" w:type="dxa"/>
            <w:vAlign w:val="center"/>
          </w:tcPr>
          <w:p>
            <w:pPr>
              <w:pStyle w:val="169"/>
              <w:rPr>
                <w:sz w:val="24"/>
                <w:szCs w:val="24"/>
              </w:rPr>
            </w:pPr>
            <w:r>
              <w:rPr>
                <w:rFonts w:hint="eastAsia"/>
                <w:sz w:val="24"/>
                <w:szCs w:val="24"/>
              </w:rPr>
              <w:t>建设项目</w:t>
            </w:r>
          </w:p>
          <w:p>
            <w:pPr>
              <w:pStyle w:val="169"/>
              <w:rPr>
                <w:sz w:val="24"/>
                <w:szCs w:val="24"/>
              </w:rPr>
            </w:pPr>
            <w:r>
              <w:rPr>
                <w:rFonts w:hint="eastAsia"/>
                <w:sz w:val="24"/>
                <w:szCs w:val="24"/>
              </w:rPr>
              <w:t>申报情形</w:t>
            </w:r>
          </w:p>
        </w:tc>
        <w:tc>
          <w:tcPr>
            <w:tcW w:w="2918" w:type="dxa"/>
            <w:vAlign w:val="center"/>
          </w:tcPr>
          <w:p>
            <w:pPr>
              <w:pStyle w:val="169"/>
              <w:jc w:val="left"/>
              <w:rPr>
                <w:sz w:val="24"/>
                <w:szCs w:val="24"/>
              </w:rPr>
            </w:pPr>
            <w:r>
              <w:rPr>
                <w:rFonts w:ascii="MS Mincho" w:hAnsi="MS Mincho" w:eastAsia="MS Mincho" w:cs="MS Mincho"/>
                <w:sz w:val="24"/>
                <w:szCs w:val="24"/>
              </w:rPr>
              <w:t>☑</w:t>
            </w:r>
            <w:r>
              <w:rPr>
                <w:rFonts w:hint="eastAsia"/>
                <w:sz w:val="24"/>
                <w:szCs w:val="24"/>
              </w:rPr>
              <w:t>首次申报项目</w:t>
            </w:r>
            <w:r>
              <w:rPr>
                <w:sz w:val="24"/>
                <w:szCs w:val="24"/>
              </w:rPr>
              <w:t xml:space="preserve">             </w:t>
            </w:r>
          </w:p>
          <w:p>
            <w:pPr>
              <w:pStyle w:val="169"/>
              <w:jc w:val="left"/>
              <w:rPr>
                <w:sz w:val="24"/>
                <w:szCs w:val="24"/>
              </w:rPr>
            </w:pPr>
            <w:r>
              <w:rPr>
                <w:rFonts w:hint="eastAsia"/>
                <w:sz w:val="24"/>
                <w:szCs w:val="24"/>
              </w:rPr>
              <w:t>□不予批准后再次申报项目</w:t>
            </w:r>
          </w:p>
          <w:p>
            <w:pPr>
              <w:pStyle w:val="169"/>
              <w:jc w:val="left"/>
              <w:rPr>
                <w:sz w:val="24"/>
                <w:szCs w:val="24"/>
              </w:rPr>
            </w:pPr>
            <w:r>
              <w:rPr>
                <w:rFonts w:hint="eastAsia"/>
                <w:sz w:val="24"/>
                <w:szCs w:val="24"/>
              </w:rPr>
              <w:sym w:font="Wingdings 2" w:char="00A3"/>
            </w:r>
            <w:r>
              <w:rPr>
                <w:rFonts w:hint="eastAsia"/>
                <w:sz w:val="24"/>
                <w:szCs w:val="24"/>
              </w:rPr>
              <w:t>超五年重新审核项目</w:t>
            </w:r>
            <w:r>
              <w:rPr>
                <w:sz w:val="24"/>
                <w:szCs w:val="24"/>
              </w:rPr>
              <w:t xml:space="preserve">     </w:t>
            </w:r>
          </w:p>
          <w:p>
            <w:pPr>
              <w:pStyle w:val="169"/>
              <w:jc w:val="left"/>
              <w:rPr>
                <w:sz w:val="24"/>
                <w:szCs w:val="24"/>
              </w:rPr>
            </w:pPr>
            <w:r>
              <w:rPr>
                <w:rFonts w:hint="eastAsia"/>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项目审批（核准</w:t>
            </w:r>
            <w:r>
              <w:rPr>
                <w:sz w:val="24"/>
                <w:szCs w:val="24"/>
              </w:rPr>
              <w:t>/</w:t>
            </w:r>
            <w:r>
              <w:rPr>
                <w:rFonts w:hint="eastAsia"/>
                <w:sz w:val="24"/>
                <w:szCs w:val="24"/>
              </w:rPr>
              <w:t>备案）部门（选填）</w:t>
            </w:r>
          </w:p>
        </w:tc>
        <w:tc>
          <w:tcPr>
            <w:tcW w:w="2161" w:type="dxa"/>
            <w:vAlign w:val="center"/>
          </w:tcPr>
          <w:p>
            <w:pPr>
              <w:pStyle w:val="169"/>
              <w:rPr>
                <w:sz w:val="24"/>
                <w:szCs w:val="24"/>
              </w:rPr>
            </w:pPr>
            <w:r>
              <w:rPr>
                <w:rFonts w:hint="eastAsia"/>
                <w:sz w:val="24"/>
                <w:szCs w:val="24"/>
              </w:rPr>
              <w:t>/</w:t>
            </w:r>
          </w:p>
        </w:tc>
        <w:tc>
          <w:tcPr>
            <w:tcW w:w="1950" w:type="dxa"/>
            <w:vAlign w:val="center"/>
          </w:tcPr>
          <w:p>
            <w:pPr>
              <w:pStyle w:val="169"/>
              <w:rPr>
                <w:sz w:val="24"/>
                <w:szCs w:val="24"/>
              </w:rPr>
            </w:pPr>
            <w:r>
              <w:rPr>
                <w:rFonts w:hint="eastAsia"/>
                <w:sz w:val="24"/>
                <w:szCs w:val="24"/>
              </w:rPr>
              <w:t>项目审批（核准</w:t>
            </w:r>
            <w:r>
              <w:rPr>
                <w:sz w:val="24"/>
                <w:szCs w:val="24"/>
              </w:rPr>
              <w:t>/</w:t>
            </w:r>
            <w:r>
              <w:rPr>
                <w:rFonts w:hint="eastAsia"/>
                <w:sz w:val="24"/>
                <w:szCs w:val="24"/>
              </w:rPr>
              <w:t>备案）文号（选填）</w:t>
            </w:r>
          </w:p>
        </w:tc>
        <w:tc>
          <w:tcPr>
            <w:tcW w:w="2918" w:type="dxa"/>
            <w:vAlign w:val="center"/>
          </w:tcPr>
          <w:p>
            <w:pPr>
              <w:pStyle w:val="169"/>
              <w:rPr>
                <w:sz w:val="24"/>
                <w:szCs w:val="24"/>
              </w:rPr>
            </w:pP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总投资（万元）</w:t>
            </w:r>
          </w:p>
        </w:tc>
        <w:tc>
          <w:tcPr>
            <w:tcW w:w="2161" w:type="dxa"/>
            <w:vAlign w:val="center"/>
          </w:tcPr>
          <w:p>
            <w:pPr>
              <w:pStyle w:val="169"/>
              <w:rPr>
                <w:sz w:val="24"/>
                <w:szCs w:val="24"/>
              </w:rPr>
            </w:pPr>
            <w:r>
              <w:rPr>
                <w:rFonts w:hint="eastAsia"/>
                <w:sz w:val="24"/>
                <w:szCs w:val="24"/>
              </w:rPr>
              <w:t>85</w:t>
            </w:r>
          </w:p>
        </w:tc>
        <w:tc>
          <w:tcPr>
            <w:tcW w:w="1950" w:type="dxa"/>
            <w:tcMar>
              <w:top w:w="16" w:type="dxa"/>
              <w:left w:w="16" w:type="dxa"/>
              <w:right w:w="16" w:type="dxa"/>
            </w:tcMar>
            <w:vAlign w:val="center"/>
          </w:tcPr>
          <w:p>
            <w:pPr>
              <w:pStyle w:val="169"/>
              <w:rPr>
                <w:sz w:val="24"/>
                <w:szCs w:val="24"/>
              </w:rPr>
            </w:pPr>
            <w:r>
              <w:rPr>
                <w:rFonts w:hint="eastAsia"/>
                <w:sz w:val="24"/>
                <w:szCs w:val="24"/>
              </w:rPr>
              <w:t>环保投资（万元）</w:t>
            </w:r>
          </w:p>
        </w:tc>
        <w:tc>
          <w:tcPr>
            <w:tcW w:w="2918" w:type="dxa"/>
            <w:vAlign w:val="center"/>
          </w:tcPr>
          <w:p>
            <w:pPr>
              <w:pStyle w:val="169"/>
              <w:rPr>
                <w:sz w:val="24"/>
                <w:szCs w:val="24"/>
              </w:rPr>
            </w:pP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环保投资占比（</w:t>
            </w:r>
            <w:r>
              <w:rPr>
                <w:sz w:val="24"/>
                <w:szCs w:val="24"/>
              </w:rPr>
              <w:t>%</w:t>
            </w:r>
            <w:r>
              <w:rPr>
                <w:rFonts w:hint="eastAsia"/>
                <w:sz w:val="24"/>
                <w:szCs w:val="24"/>
              </w:rPr>
              <w:t>）</w:t>
            </w:r>
          </w:p>
        </w:tc>
        <w:tc>
          <w:tcPr>
            <w:tcW w:w="2161" w:type="dxa"/>
            <w:vAlign w:val="center"/>
          </w:tcPr>
          <w:p>
            <w:pPr>
              <w:pStyle w:val="169"/>
              <w:rPr>
                <w:sz w:val="24"/>
                <w:szCs w:val="24"/>
              </w:rPr>
            </w:pPr>
            <w:r>
              <w:rPr>
                <w:rFonts w:hint="eastAsia"/>
                <w:sz w:val="24"/>
                <w:szCs w:val="24"/>
              </w:rPr>
              <w:t>/</w:t>
            </w:r>
          </w:p>
        </w:tc>
        <w:tc>
          <w:tcPr>
            <w:tcW w:w="1950" w:type="dxa"/>
            <w:tcMar>
              <w:top w:w="16" w:type="dxa"/>
              <w:left w:w="16" w:type="dxa"/>
              <w:right w:w="16" w:type="dxa"/>
            </w:tcMar>
            <w:vAlign w:val="center"/>
          </w:tcPr>
          <w:p>
            <w:pPr>
              <w:pStyle w:val="169"/>
              <w:rPr>
                <w:sz w:val="24"/>
                <w:szCs w:val="24"/>
              </w:rPr>
            </w:pPr>
            <w:r>
              <w:rPr>
                <w:rFonts w:hint="eastAsia"/>
                <w:sz w:val="24"/>
                <w:szCs w:val="24"/>
              </w:rPr>
              <w:t>施工工期</w:t>
            </w:r>
          </w:p>
        </w:tc>
        <w:tc>
          <w:tcPr>
            <w:tcW w:w="2918" w:type="dxa"/>
            <w:vAlign w:val="center"/>
          </w:tcPr>
          <w:p>
            <w:pPr>
              <w:pStyle w:val="169"/>
              <w:rPr>
                <w:sz w:val="24"/>
                <w:szCs w:val="24"/>
              </w:rPr>
            </w:pP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871" w:type="dxa"/>
            <w:gridSpan w:val="2"/>
            <w:tcMar>
              <w:top w:w="16" w:type="dxa"/>
              <w:left w:w="16" w:type="dxa"/>
              <w:right w:w="16" w:type="dxa"/>
            </w:tcMar>
            <w:vAlign w:val="center"/>
          </w:tcPr>
          <w:p>
            <w:pPr>
              <w:pStyle w:val="169"/>
              <w:rPr>
                <w:sz w:val="24"/>
                <w:szCs w:val="24"/>
              </w:rPr>
            </w:pPr>
            <w:r>
              <w:rPr>
                <w:rFonts w:hint="eastAsia"/>
                <w:sz w:val="24"/>
                <w:szCs w:val="24"/>
              </w:rPr>
              <w:t>是否开工建设</w:t>
            </w:r>
          </w:p>
        </w:tc>
        <w:tc>
          <w:tcPr>
            <w:tcW w:w="2161" w:type="dxa"/>
            <w:vAlign w:val="center"/>
          </w:tcPr>
          <w:p>
            <w:pPr>
              <w:pStyle w:val="169"/>
              <w:jc w:val="left"/>
              <w:rPr>
                <w:sz w:val="24"/>
                <w:szCs w:val="24"/>
              </w:rPr>
            </w:pPr>
            <w:r>
              <w:rPr>
                <w:rFonts w:ascii="MS Mincho" w:hAnsi="MS Mincho" w:eastAsia="MS Mincho" w:cs="MS Mincho"/>
                <w:sz w:val="24"/>
                <w:szCs w:val="24"/>
              </w:rPr>
              <w:t>☑</w:t>
            </w:r>
            <w:r>
              <w:rPr>
                <w:rFonts w:hint="eastAsia"/>
                <w:sz w:val="24"/>
                <w:szCs w:val="24"/>
              </w:rPr>
              <w:t>否</w:t>
            </w:r>
          </w:p>
          <w:p>
            <w:pPr>
              <w:pStyle w:val="169"/>
              <w:jc w:val="left"/>
              <w:rPr>
                <w:sz w:val="24"/>
                <w:szCs w:val="24"/>
              </w:rPr>
            </w:pPr>
            <w:r>
              <w:rPr>
                <w:rFonts w:hint="eastAsia"/>
                <w:sz w:val="24"/>
                <w:szCs w:val="24"/>
              </w:rPr>
              <w:sym w:font="Wingdings 2" w:char="00A3"/>
            </w:r>
            <w:r>
              <w:rPr>
                <w:rFonts w:hint="eastAsia"/>
                <w:sz w:val="24"/>
                <w:szCs w:val="24"/>
              </w:rPr>
              <w:t>是：</w:t>
            </w:r>
            <w:r>
              <w:rPr>
                <w:sz w:val="24"/>
                <w:szCs w:val="24"/>
              </w:rPr>
              <w:t xml:space="preserve">             </w:t>
            </w:r>
          </w:p>
        </w:tc>
        <w:tc>
          <w:tcPr>
            <w:tcW w:w="1950" w:type="dxa"/>
            <w:tcMar>
              <w:top w:w="16" w:type="dxa"/>
              <w:left w:w="16" w:type="dxa"/>
              <w:right w:w="16" w:type="dxa"/>
            </w:tcMar>
            <w:vAlign w:val="center"/>
          </w:tcPr>
          <w:p>
            <w:pPr>
              <w:pStyle w:val="169"/>
              <w:rPr>
                <w:sz w:val="24"/>
                <w:szCs w:val="24"/>
              </w:rPr>
            </w:pPr>
            <w:r>
              <w:rPr>
                <w:rFonts w:hint="eastAsia"/>
                <w:sz w:val="24"/>
                <w:szCs w:val="24"/>
              </w:rPr>
              <w:t>用地（用海）面积（</w:t>
            </w:r>
            <w:r>
              <w:rPr>
                <w:sz w:val="24"/>
                <w:szCs w:val="24"/>
              </w:rPr>
              <w:t>m</w:t>
            </w:r>
            <w:r>
              <w:rPr>
                <w:sz w:val="24"/>
                <w:szCs w:val="24"/>
                <w:vertAlign w:val="superscript"/>
              </w:rPr>
              <w:t>2</w:t>
            </w:r>
            <w:r>
              <w:rPr>
                <w:rFonts w:hint="eastAsia"/>
                <w:sz w:val="24"/>
                <w:szCs w:val="24"/>
              </w:rPr>
              <w:t>）</w:t>
            </w:r>
          </w:p>
        </w:tc>
        <w:tc>
          <w:tcPr>
            <w:tcW w:w="2918" w:type="dxa"/>
            <w:vAlign w:val="center"/>
          </w:tcPr>
          <w:p>
            <w:pPr>
              <w:pStyle w:val="169"/>
              <w:rPr>
                <w:sz w:val="24"/>
                <w:szCs w:val="24"/>
              </w:rPr>
            </w:pPr>
            <w:r>
              <w:rPr>
                <w:rFonts w:hint="eastAsia"/>
                <w:sz w:val="24"/>
                <w:szCs w:val="24"/>
              </w:rPr>
              <w:t>266668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871" w:type="dxa"/>
            <w:gridSpan w:val="2"/>
            <w:vAlign w:val="center"/>
          </w:tcPr>
          <w:p>
            <w:pPr>
              <w:pStyle w:val="169"/>
              <w:rPr>
                <w:sz w:val="24"/>
                <w:szCs w:val="24"/>
              </w:rPr>
            </w:pPr>
            <w:r>
              <w:rPr>
                <w:rFonts w:hint="eastAsia"/>
                <w:sz w:val="24"/>
                <w:szCs w:val="24"/>
              </w:rPr>
              <w:t>专项评价设置情况</w:t>
            </w:r>
          </w:p>
        </w:tc>
        <w:tc>
          <w:tcPr>
            <w:tcW w:w="7029" w:type="dxa"/>
            <w:gridSpan w:val="3"/>
            <w:vAlign w:val="center"/>
          </w:tcPr>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3362"/>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8" w:type="dxa"/>
                  <w:noWrap/>
                  <w:vAlign w:val="center"/>
                </w:tcPr>
                <w:p>
                  <w:pPr>
                    <w:pStyle w:val="169"/>
                    <w:jc w:val="left"/>
                  </w:pPr>
                  <w:r>
                    <w:rPr>
                      <w:rFonts w:hint="eastAsia"/>
                    </w:rPr>
                    <w:t>类别</w:t>
                  </w:r>
                </w:p>
              </w:tc>
              <w:tc>
                <w:tcPr>
                  <w:tcW w:w="3362" w:type="dxa"/>
                  <w:noWrap/>
                  <w:vAlign w:val="center"/>
                </w:tcPr>
                <w:p>
                  <w:pPr>
                    <w:pStyle w:val="169"/>
                    <w:ind w:firstLine="480"/>
                  </w:pPr>
                  <w:r>
                    <w:rPr>
                      <w:rFonts w:hint="eastAsia"/>
                    </w:rPr>
                    <w:t>设置原则</w:t>
                  </w:r>
                </w:p>
              </w:tc>
              <w:tc>
                <w:tcPr>
                  <w:tcW w:w="2663" w:type="dxa"/>
                  <w:noWrap/>
                  <w:vAlign w:val="center"/>
                </w:tcPr>
                <w:p>
                  <w:pPr>
                    <w:pStyle w:val="169"/>
                    <w:ind w:firstLine="480"/>
                  </w:pPr>
                  <w:r>
                    <w:rPr>
                      <w:rFonts w:hint="eastAsia"/>
                    </w:rPr>
                    <w:t>本项目设置情况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8" w:type="dxa"/>
                  <w:noWrap/>
                  <w:vAlign w:val="center"/>
                </w:tcPr>
                <w:p>
                  <w:pPr>
                    <w:pStyle w:val="169"/>
                    <w:jc w:val="left"/>
                  </w:pPr>
                  <w:r>
                    <w:rPr>
                      <w:rFonts w:hint="eastAsia"/>
                    </w:rPr>
                    <w:t>大气</w:t>
                  </w:r>
                </w:p>
              </w:tc>
              <w:tc>
                <w:tcPr>
                  <w:tcW w:w="3362" w:type="dxa"/>
                  <w:noWrap/>
                  <w:vAlign w:val="center"/>
                </w:tcPr>
                <w:p>
                  <w:pPr>
                    <w:pStyle w:val="182"/>
                    <w:ind w:firstLine="0" w:firstLineChars="0"/>
                  </w:pPr>
                  <w:r>
                    <w:rPr>
                      <w:rFonts w:hint="eastAsia"/>
                    </w:rPr>
                    <w:t>排放废气含有毒有害污染物、二噁英、苯并[a]芘、氰化物、氯气且厂界外500米范围内有环境空气保护目标的建设项目。</w:t>
                  </w:r>
                </w:p>
              </w:tc>
              <w:tc>
                <w:tcPr>
                  <w:tcW w:w="2663" w:type="dxa"/>
                  <w:noWrap/>
                  <w:vAlign w:val="center"/>
                </w:tcPr>
                <w:p>
                  <w:pPr>
                    <w:pStyle w:val="182"/>
                    <w:ind w:firstLine="0" w:firstLineChars="0"/>
                  </w:pPr>
                  <w:r>
                    <w:rPr>
                      <w:rFonts w:hint="eastAsia"/>
                    </w:rPr>
                    <w:t>项目排放的废气含纳入《有毒有害大气污染物名录（2018年）》中的镉、铬和铅，且厂界外500m范围内有环境空气保护目标。因此设置大气专项。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8" w:type="dxa"/>
                  <w:noWrap/>
                  <w:vAlign w:val="center"/>
                </w:tcPr>
                <w:p>
                  <w:pPr>
                    <w:pStyle w:val="169"/>
                    <w:jc w:val="left"/>
                  </w:pPr>
                  <w:r>
                    <w:rPr>
                      <w:rFonts w:hint="eastAsia"/>
                    </w:rPr>
                    <w:t>地表水</w:t>
                  </w:r>
                </w:p>
              </w:tc>
              <w:tc>
                <w:tcPr>
                  <w:tcW w:w="3362" w:type="dxa"/>
                  <w:noWrap/>
                  <w:vAlign w:val="center"/>
                </w:tcPr>
                <w:p>
                  <w:pPr>
                    <w:pStyle w:val="182"/>
                    <w:ind w:firstLine="0" w:firstLineChars="0"/>
                  </w:pPr>
                  <w:r>
                    <w:rPr>
                      <w:rFonts w:hint="eastAsia"/>
                    </w:rPr>
                    <w:t>新增工业废水直排建设项目（槽罐车外送污水处理厂的除外）；新增废水直排的污水集中处理厂。</w:t>
                  </w:r>
                </w:p>
              </w:tc>
              <w:tc>
                <w:tcPr>
                  <w:tcW w:w="2663" w:type="dxa"/>
                  <w:noWrap/>
                  <w:vAlign w:val="center"/>
                </w:tcPr>
                <w:p>
                  <w:pPr>
                    <w:pStyle w:val="182"/>
                    <w:ind w:firstLine="0" w:firstLineChars="0"/>
                  </w:pPr>
                  <w:r>
                    <w:rPr>
                      <w:rFonts w:hint="eastAsia"/>
                    </w:rPr>
                    <w:t>项目所有污废水均依托厂区现有废水处理设施，因此不设置。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8" w:type="dxa"/>
                  <w:noWrap/>
                  <w:vAlign w:val="center"/>
                </w:tcPr>
                <w:p>
                  <w:pPr>
                    <w:pStyle w:val="169"/>
                    <w:jc w:val="left"/>
                  </w:pPr>
                  <w:r>
                    <w:rPr>
                      <w:rFonts w:hint="eastAsia"/>
                    </w:rPr>
                    <w:t>环境风险</w:t>
                  </w:r>
                </w:p>
              </w:tc>
              <w:tc>
                <w:tcPr>
                  <w:tcW w:w="3362" w:type="dxa"/>
                  <w:noWrap/>
                  <w:vAlign w:val="center"/>
                </w:tcPr>
                <w:p>
                  <w:pPr>
                    <w:pStyle w:val="182"/>
                    <w:ind w:firstLine="0" w:firstLineChars="0"/>
                  </w:pPr>
                  <w:r>
                    <w:rPr>
                      <w:rFonts w:hint="eastAsia"/>
                    </w:rPr>
                    <w:t>有毒有害和易燃易爆危险物质存储量超过临界量的建设项目。</w:t>
                  </w:r>
                </w:p>
              </w:tc>
              <w:tc>
                <w:tcPr>
                  <w:tcW w:w="2663" w:type="dxa"/>
                  <w:noWrap/>
                  <w:vAlign w:val="center"/>
                </w:tcPr>
                <w:p>
                  <w:pPr>
                    <w:pStyle w:val="182"/>
                    <w:ind w:firstLine="0" w:firstLineChars="0"/>
                  </w:pPr>
                  <w:r>
                    <w:rPr>
                      <w:rFonts w:hint="eastAsia"/>
                    </w:rPr>
                    <w:t>本项目有毒有害和易燃易爆危险物质存储量未超过临界</w:t>
                  </w:r>
                  <w:r>
                    <w:rPr>
                      <w:rFonts w:hint="eastAsia"/>
                      <w:lang w:eastAsia="zh-CN"/>
                    </w:rPr>
                    <w:t>量</w:t>
                  </w:r>
                  <w:r>
                    <w:rPr>
                      <w:rFonts w:hint="eastAsia"/>
                    </w:rPr>
                    <w:t>，因此不设置。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8" w:type="dxa"/>
                  <w:noWrap/>
                  <w:vAlign w:val="center"/>
                </w:tcPr>
                <w:p>
                  <w:pPr>
                    <w:pStyle w:val="169"/>
                    <w:jc w:val="left"/>
                  </w:pPr>
                  <w:r>
                    <w:rPr>
                      <w:rFonts w:hint="eastAsia"/>
                    </w:rPr>
                    <w:t>海洋</w:t>
                  </w:r>
                </w:p>
              </w:tc>
              <w:tc>
                <w:tcPr>
                  <w:tcW w:w="3362" w:type="dxa"/>
                  <w:noWrap/>
                  <w:vAlign w:val="center"/>
                </w:tcPr>
                <w:p>
                  <w:pPr>
                    <w:pStyle w:val="182"/>
                    <w:ind w:firstLine="0" w:firstLineChars="0"/>
                  </w:pPr>
                  <w:r>
                    <w:rPr>
                      <w:rFonts w:hint="eastAsia"/>
                    </w:rPr>
                    <w:t>直接向海排放污染物的海洋工程建设项目。</w:t>
                  </w:r>
                </w:p>
              </w:tc>
              <w:tc>
                <w:tcPr>
                  <w:tcW w:w="2663" w:type="dxa"/>
                  <w:noWrap/>
                  <w:vAlign w:val="center"/>
                </w:tcPr>
                <w:p>
                  <w:pPr>
                    <w:pStyle w:val="182"/>
                    <w:ind w:firstLine="0" w:firstLineChars="0"/>
                  </w:pPr>
                  <w:r>
                    <w:rPr>
                      <w:rFonts w:hint="eastAsia"/>
                    </w:rPr>
                    <w:t>本项目不属于海洋工程，因此不设置。</w:t>
                  </w:r>
                </w:p>
              </w:tc>
            </w:tr>
          </w:tbl>
          <w:p>
            <w:pPr>
              <w:pStyle w:val="169"/>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71" w:type="dxa"/>
            <w:gridSpan w:val="2"/>
            <w:vAlign w:val="center"/>
          </w:tcPr>
          <w:p>
            <w:pPr>
              <w:pStyle w:val="169"/>
              <w:rPr>
                <w:sz w:val="24"/>
                <w:szCs w:val="24"/>
              </w:rPr>
            </w:pPr>
            <w:r>
              <w:rPr>
                <w:rFonts w:hint="eastAsia"/>
                <w:sz w:val="24"/>
                <w:szCs w:val="24"/>
              </w:rPr>
              <w:t>规划情况</w:t>
            </w:r>
          </w:p>
        </w:tc>
        <w:tc>
          <w:tcPr>
            <w:tcW w:w="7029" w:type="dxa"/>
            <w:gridSpan w:val="3"/>
            <w:vAlign w:val="center"/>
          </w:tcPr>
          <w:p>
            <w:pPr>
              <w:pStyle w:val="169"/>
              <w:rPr>
                <w:sz w:val="24"/>
                <w:szCs w:val="24"/>
              </w:rPr>
            </w:pPr>
            <w:r>
              <w:rPr>
                <w:sz w:val="24"/>
                <w:szCs w:val="24"/>
              </w:rPr>
              <w:t>《</w:t>
            </w:r>
            <w:r>
              <w:rPr>
                <w:rFonts w:hint="eastAsia"/>
                <w:bCs/>
                <w:sz w:val="24"/>
                <w:szCs w:val="24"/>
              </w:rPr>
              <w:t>大足高新区邮亭组团</w:t>
            </w:r>
            <w:r>
              <w:rPr>
                <w:sz w:val="24"/>
                <w:szCs w:val="24"/>
              </w:rPr>
              <w:t>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871" w:type="dxa"/>
            <w:gridSpan w:val="2"/>
            <w:vAlign w:val="center"/>
          </w:tcPr>
          <w:p>
            <w:pPr>
              <w:pStyle w:val="169"/>
              <w:rPr>
                <w:sz w:val="24"/>
                <w:szCs w:val="24"/>
              </w:rPr>
            </w:pPr>
            <w:r>
              <w:rPr>
                <w:rFonts w:hint="eastAsia"/>
                <w:sz w:val="24"/>
                <w:szCs w:val="24"/>
              </w:rPr>
              <w:t>规划环境影响评价情况</w:t>
            </w:r>
          </w:p>
        </w:tc>
        <w:tc>
          <w:tcPr>
            <w:tcW w:w="7029" w:type="dxa"/>
            <w:gridSpan w:val="3"/>
            <w:vAlign w:val="center"/>
          </w:tcPr>
          <w:p>
            <w:pPr>
              <w:pStyle w:val="169"/>
              <w:spacing w:line="276" w:lineRule="auto"/>
              <w:rPr>
                <w:sz w:val="24"/>
                <w:szCs w:val="24"/>
              </w:rPr>
            </w:pPr>
            <w:r>
              <w:rPr>
                <w:rFonts w:hint="eastAsia"/>
                <w:sz w:val="24"/>
                <w:szCs w:val="24"/>
              </w:rPr>
              <w:t>名称：《</w:t>
            </w:r>
            <w:r>
              <w:rPr>
                <w:rFonts w:hint="eastAsia"/>
                <w:bCs/>
                <w:sz w:val="24"/>
                <w:szCs w:val="24"/>
              </w:rPr>
              <w:t>大足高新区邮亭组团</w:t>
            </w:r>
            <w:r>
              <w:rPr>
                <w:rFonts w:hint="eastAsia"/>
                <w:sz w:val="24"/>
                <w:szCs w:val="24"/>
              </w:rPr>
              <w:t>规划环境影响报告书》；</w:t>
            </w:r>
          </w:p>
          <w:p>
            <w:pPr>
              <w:pStyle w:val="169"/>
              <w:spacing w:line="276" w:lineRule="auto"/>
              <w:rPr>
                <w:sz w:val="24"/>
                <w:szCs w:val="24"/>
              </w:rPr>
            </w:pPr>
            <w:r>
              <w:rPr>
                <w:rFonts w:hint="eastAsia"/>
                <w:sz w:val="24"/>
                <w:szCs w:val="24"/>
              </w:rPr>
              <w:t>重庆市生态环境局审批文号：</w:t>
            </w:r>
            <w:r>
              <w:rPr>
                <w:sz w:val="24"/>
                <w:szCs w:val="24"/>
              </w:rPr>
              <w:t>渝环函〔202</w:t>
            </w:r>
            <w:r>
              <w:rPr>
                <w:rFonts w:hint="eastAsia"/>
                <w:sz w:val="24"/>
                <w:szCs w:val="24"/>
              </w:rPr>
              <w:t>3</w:t>
            </w:r>
            <w:r>
              <w:rPr>
                <w:sz w:val="24"/>
                <w:szCs w:val="24"/>
              </w:rPr>
              <w:t>〕</w:t>
            </w:r>
            <w:r>
              <w:rPr>
                <w:rFonts w:hint="eastAsia"/>
                <w:sz w:val="24"/>
                <w:szCs w:val="24"/>
              </w:rPr>
              <w:t>629</w:t>
            </w:r>
            <w:r>
              <w:rPr>
                <w:sz w:val="24"/>
                <w:szCs w:val="24"/>
              </w:rPr>
              <w:t>号</w:t>
            </w: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151" w:hRule="atLeast"/>
          <w:jc w:val="center"/>
        </w:trPr>
        <w:tc>
          <w:tcPr>
            <w:tcW w:w="454" w:type="dxa"/>
            <w:tcMar>
              <w:top w:w="16" w:type="dxa"/>
              <w:left w:w="16" w:type="dxa"/>
              <w:right w:w="16" w:type="dxa"/>
            </w:tcMar>
            <w:vAlign w:val="center"/>
          </w:tcPr>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规划及规划环境影响评价符合性分析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规划及规划环境影响评价符合性分析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jc w:val="left"/>
              <w:rPr>
                <w:sz w:val="24"/>
                <w:szCs w:val="24"/>
              </w:rPr>
            </w:pPr>
          </w:p>
        </w:tc>
        <w:tc>
          <w:tcPr>
            <w:tcW w:w="8446" w:type="dxa"/>
            <w:gridSpan w:val="4"/>
            <w:vAlign w:val="center"/>
          </w:tcPr>
          <w:p>
            <w:pPr>
              <w:pStyle w:val="4"/>
              <w:numPr>
                <w:ilvl w:val="0"/>
                <w:numId w:val="0"/>
              </w:numPr>
              <w:spacing w:before="120" w:after="120"/>
              <w:rPr>
                <w:sz w:val="28"/>
                <w:szCs w:val="28"/>
              </w:rPr>
            </w:pPr>
            <w:r>
              <w:rPr>
                <w:rFonts w:hint="eastAsia"/>
                <w:sz w:val="28"/>
                <w:szCs w:val="28"/>
              </w:rPr>
              <w:t>1.1与《大足高新区邮亭组团规划环境影响报告书》</w:t>
            </w:r>
            <w:r>
              <w:rPr>
                <w:sz w:val="28"/>
                <w:szCs w:val="28"/>
              </w:rPr>
              <w:t>及其审查意见的符合性分析</w:t>
            </w:r>
          </w:p>
          <w:p>
            <w:pPr>
              <w:rPr>
                <w:b/>
                <w:bCs/>
              </w:rPr>
            </w:pPr>
            <w:r>
              <w:rPr>
                <w:rFonts w:hint="eastAsia"/>
              </w:rPr>
              <w:t>本项目选址于</w:t>
            </w:r>
            <w:r>
              <w:rPr>
                <w:rFonts w:hint="eastAsia"/>
                <w:bCs/>
              </w:rPr>
              <w:t>大足高新区邮亭组团</w:t>
            </w:r>
            <w:r>
              <w:rPr>
                <w:rFonts w:hint="eastAsia"/>
              </w:rPr>
              <w:t>，项目与《</w:t>
            </w:r>
            <w:r>
              <w:rPr>
                <w:rFonts w:hint="eastAsia"/>
                <w:bCs/>
              </w:rPr>
              <w:t>大足高新区邮亭组团规划</w:t>
            </w:r>
            <w:r>
              <w:rPr>
                <w:rFonts w:hint="eastAsia"/>
              </w:rPr>
              <w:t>环境影响报告书》及其审查意见的符合性分析详见下表。</w:t>
            </w:r>
          </w:p>
          <w:p>
            <w:pPr>
              <w:spacing w:line="240" w:lineRule="auto"/>
            </w:pPr>
            <w:r>
              <w:rPr>
                <w:rFonts w:hint="eastAsia"/>
              </w:rPr>
              <w:t>表1.1-1  与《</w:t>
            </w:r>
            <w:r>
              <w:rPr>
                <w:rFonts w:hint="eastAsia"/>
                <w:bCs/>
              </w:rPr>
              <w:t>大足高新区邮亭组团规划</w:t>
            </w:r>
            <w:r>
              <w:rPr>
                <w:rFonts w:hint="eastAsia"/>
              </w:rPr>
              <w:t>环境影响报告书》生态环境准入清单的符合性分析表</w:t>
            </w:r>
          </w:p>
          <w:tbl>
            <w:tblPr>
              <w:tblStyle w:val="88"/>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5646"/>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646" w:type="pct"/>
                  <w:vAlign w:val="center"/>
                </w:tcPr>
                <w:p>
                  <w:pPr>
                    <w:pStyle w:val="180"/>
                    <w:adjustRightInd w:val="0"/>
                    <w:jc w:val="center"/>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清单类型</w:t>
                  </w:r>
                </w:p>
              </w:tc>
              <w:tc>
                <w:tcPr>
                  <w:tcW w:w="3383" w:type="pct"/>
                  <w:vAlign w:val="center"/>
                </w:tcPr>
                <w:p>
                  <w:pPr>
                    <w:pStyle w:val="180"/>
                    <w:adjustRightInd w:val="0"/>
                    <w:jc w:val="center"/>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准入内容</w:t>
                  </w:r>
                </w:p>
              </w:tc>
              <w:tc>
                <w:tcPr>
                  <w:tcW w:w="971" w:type="pct"/>
                  <w:vAlign w:val="center"/>
                </w:tcPr>
                <w:p>
                  <w:pPr>
                    <w:pStyle w:val="180"/>
                    <w:adjustRightInd w:val="0"/>
                    <w:jc w:val="center"/>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符合性</w:t>
                  </w:r>
                  <w:r>
                    <w:rPr>
                      <w:rFonts w:ascii="Times New Roman" w:hAnsi="Times New Roman" w:cs="Times New Roman"/>
                      <w:color w:val="auto"/>
                      <w:sz w:val="21"/>
                      <w:szCs w:val="21"/>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646" w:type="pct"/>
                  <w:vAlign w:val="center"/>
                </w:tcPr>
                <w:p>
                  <w:pPr>
                    <w:pStyle w:val="180"/>
                    <w:adjustRightInd w:val="0"/>
                    <w:jc w:val="both"/>
                    <w:textAlignment w:val="auto"/>
                    <w:rPr>
                      <w:rFonts w:ascii="Times New Roman" w:hAnsi="Times New Roman" w:cs="Times New Roman"/>
                      <w:color w:val="auto"/>
                      <w:sz w:val="21"/>
                      <w:szCs w:val="21"/>
                      <w:lang w:val="zh-TW" w:eastAsia="zh-TW" w:bidi="zh-TW"/>
                    </w:rPr>
                  </w:pPr>
                  <w:r>
                    <w:rPr>
                      <w:rFonts w:hint="eastAsia" w:ascii="Times New Roman" w:hAnsi="Times New Roman" w:cs="Times New Roman"/>
                      <w:color w:val="auto"/>
                      <w:sz w:val="21"/>
                      <w:szCs w:val="21"/>
                      <w:lang w:eastAsia="zh-TW" w:bidi="zh-TW"/>
                    </w:rPr>
                    <w:t>空间布局约束</w:t>
                  </w:r>
                </w:p>
              </w:tc>
              <w:tc>
                <w:tcPr>
                  <w:tcW w:w="3383" w:type="pct"/>
                  <w:vAlign w:val="center"/>
                </w:tcPr>
                <w:p>
                  <w:pPr>
                    <w:pStyle w:val="180"/>
                    <w:jc w:val="both"/>
                    <w:rPr>
                      <w:rFonts w:ascii="Times New Roman" w:hAnsi="Times New Roman" w:cs="Times New Roman"/>
                      <w:bCs/>
                      <w:color w:val="auto"/>
                      <w:sz w:val="21"/>
                      <w:szCs w:val="21"/>
                    </w:rPr>
                  </w:pPr>
                  <w:r>
                    <w:rPr>
                      <w:rFonts w:ascii="Times New Roman" w:hAnsi="Times New Roman" w:cs="Times New Roman"/>
                      <w:bCs/>
                      <w:color w:val="auto"/>
                      <w:sz w:val="21"/>
                      <w:szCs w:val="21"/>
                    </w:rPr>
                    <w:t>1</w:t>
                  </w:r>
                  <w:r>
                    <w:rPr>
                      <w:rFonts w:hint="eastAsia" w:ascii="Times New Roman" w:hAnsi="Times New Roman" w:cs="Times New Roman"/>
                      <w:bCs/>
                      <w:color w:val="auto"/>
                      <w:sz w:val="21"/>
                      <w:szCs w:val="21"/>
                    </w:rPr>
                    <w:t>、紧邻</w:t>
                  </w:r>
                  <w:r>
                    <w:rPr>
                      <w:rFonts w:ascii="Times New Roman" w:hAnsi="Times New Roman" w:cs="Times New Roman"/>
                      <w:bCs/>
                      <w:color w:val="auto"/>
                      <w:sz w:val="21"/>
                      <w:szCs w:val="21"/>
                    </w:rPr>
                    <w:t>居住用地的</w:t>
                  </w:r>
                  <w:r>
                    <w:rPr>
                      <w:rFonts w:hint="eastAsia" w:ascii="Times New Roman" w:hAnsi="Times New Roman" w:cs="Times New Roman"/>
                      <w:bCs/>
                      <w:color w:val="auto"/>
                      <w:sz w:val="21"/>
                      <w:szCs w:val="21"/>
                    </w:rPr>
                    <w:t>A</w:t>
                  </w:r>
                  <w:r>
                    <w:rPr>
                      <w:rFonts w:ascii="Times New Roman" w:hAnsi="Times New Roman" w:cs="Times New Roman"/>
                      <w:bCs/>
                      <w:color w:val="auto"/>
                      <w:sz w:val="21"/>
                      <w:szCs w:val="21"/>
                    </w:rPr>
                    <w:t>03-16/02工业</w:t>
                  </w:r>
                  <w:r>
                    <w:rPr>
                      <w:rFonts w:hint="eastAsia" w:ascii="Times New Roman" w:hAnsi="Times New Roman" w:cs="Times New Roman"/>
                      <w:bCs/>
                      <w:color w:val="auto"/>
                      <w:sz w:val="21"/>
                      <w:szCs w:val="21"/>
                    </w:rPr>
                    <w:t>地块禁止布局资源循环利用产业项目，不宜新引入涉及铸造、冶炼、喷漆等大气污染较重或异味明显等易扰民的项目。同时应优化平面布置图，临居住用地一侧布置仓库、办公楼、倒班宿舍等污染影响相对较小的非生产设施</w:t>
                  </w:r>
                  <w:r>
                    <w:rPr>
                      <w:rFonts w:ascii="Times New Roman" w:hAnsi="Times New Roman" w:cs="Times New Roman"/>
                      <w:bCs/>
                      <w:color w:val="auto"/>
                      <w:sz w:val="21"/>
                      <w:szCs w:val="21"/>
                    </w:rPr>
                    <w:t>。</w:t>
                  </w:r>
                </w:p>
                <w:p>
                  <w:pPr>
                    <w:pStyle w:val="180"/>
                    <w:jc w:val="both"/>
                    <w:rPr>
                      <w:color w:val="auto"/>
                      <w:sz w:val="21"/>
                      <w:szCs w:val="21"/>
                    </w:rPr>
                  </w:pPr>
                  <w:r>
                    <w:rPr>
                      <w:rFonts w:ascii="Times New Roman" w:hAnsi="Times New Roman" w:cs="Times New Roman"/>
                      <w:bCs/>
                      <w:color w:val="auto"/>
                      <w:sz w:val="21"/>
                      <w:szCs w:val="21"/>
                    </w:rPr>
                    <w:t>2</w:t>
                  </w:r>
                  <w:r>
                    <w:rPr>
                      <w:rFonts w:hint="eastAsia" w:ascii="Times New Roman" w:hAnsi="Times New Roman" w:cs="Times New Roman"/>
                      <w:bCs/>
                      <w:color w:val="auto"/>
                      <w:sz w:val="21"/>
                      <w:szCs w:val="21"/>
                    </w:rPr>
                    <w:t>、合理布局有环境防护距离要求的工业企业，确保满足“环境防护距离不应超出园区边界”要求</w:t>
                  </w:r>
                  <w:r>
                    <w:rPr>
                      <w:rFonts w:ascii="Times New Roman" w:hAnsi="Times New Roman" w:cs="Times New Roman"/>
                      <w:bCs/>
                      <w:color w:val="auto"/>
                      <w:sz w:val="21"/>
                      <w:szCs w:val="21"/>
                    </w:rPr>
                    <w:t>。</w:t>
                  </w:r>
                </w:p>
              </w:tc>
              <w:tc>
                <w:tcPr>
                  <w:tcW w:w="971" w:type="pct"/>
                  <w:vMerge w:val="restart"/>
                  <w:vAlign w:val="center"/>
                </w:tcPr>
                <w:p>
                  <w:pPr>
                    <w:pStyle w:val="180"/>
                    <w:adjustRightInd w:val="0"/>
                    <w:jc w:val="center"/>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项目位于</w:t>
                  </w:r>
                  <w:r>
                    <w:rPr>
                      <w:rFonts w:hint="eastAsia" w:ascii="Times New Roman" w:hAnsi="Times New Roman" w:cs="Times New Roman"/>
                      <w:bCs/>
                      <w:color w:val="auto"/>
                      <w:sz w:val="21"/>
                      <w:szCs w:val="21"/>
                    </w:rPr>
                    <w:t>大足高新区邮亭组团</w:t>
                  </w:r>
                  <w:r>
                    <w:rPr>
                      <w:rFonts w:hint="eastAsia" w:ascii="Times New Roman" w:hAnsi="Times New Roman" w:cs="Times New Roman"/>
                      <w:color w:val="auto"/>
                      <w:sz w:val="21"/>
                      <w:szCs w:val="21"/>
                    </w:rPr>
                    <w:t>，为危险废物利用及处置项目，在足航现有厂区内进行除尘灰的回炉利用，不属于重金属重点行业，</w:t>
                  </w:r>
                </w:p>
                <w:p>
                  <w:pPr>
                    <w:pStyle w:val="180"/>
                    <w:adjustRightInd w:val="0"/>
                    <w:jc w:val="center"/>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rPr>
                    <w:t>符合生态准入清单相关内容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646" w:type="pct"/>
                  <w:vAlign w:val="center"/>
                </w:tcPr>
                <w:p>
                  <w:pPr>
                    <w:pStyle w:val="180"/>
                    <w:adjustRightInd w:val="0"/>
                    <w:jc w:val="both"/>
                    <w:textAlignment w:val="auto"/>
                    <w:rPr>
                      <w:rFonts w:ascii="Times New Roman" w:hAnsi="Times New Roman" w:cs="Times New Roman"/>
                      <w:color w:val="auto"/>
                      <w:sz w:val="21"/>
                      <w:szCs w:val="21"/>
                      <w:lang w:val="zh-TW" w:eastAsia="zh-TW" w:bidi="zh-TW"/>
                    </w:rPr>
                  </w:pPr>
                  <w:r>
                    <w:rPr>
                      <w:rFonts w:hint="eastAsia" w:ascii="Times New Roman" w:hAnsi="Times New Roman" w:cs="Times New Roman"/>
                      <w:color w:val="auto"/>
                      <w:sz w:val="21"/>
                      <w:szCs w:val="21"/>
                      <w:lang w:eastAsia="zh-TW" w:bidi="zh-TW"/>
                    </w:rPr>
                    <w:t>污染物排放管控</w:t>
                  </w:r>
                </w:p>
              </w:tc>
              <w:tc>
                <w:tcPr>
                  <w:tcW w:w="3383" w:type="pct"/>
                  <w:vAlign w:val="center"/>
                </w:tcPr>
                <w:p>
                  <w:pPr>
                    <w:pStyle w:val="180"/>
                    <w:jc w:val="both"/>
                    <w:rPr>
                      <w:rFonts w:ascii="Times New Roman" w:hAnsi="Times New Roman" w:cs="Times New Roman"/>
                      <w:bCs/>
                      <w:color w:val="auto"/>
                      <w:sz w:val="21"/>
                      <w:szCs w:val="21"/>
                      <w:lang w:eastAsia="zh-TW"/>
                    </w:rPr>
                  </w:pPr>
                  <w:r>
                    <w:rPr>
                      <w:rFonts w:ascii="Times New Roman" w:hAnsi="Times New Roman" w:cs="Times New Roman"/>
                      <w:bCs/>
                      <w:color w:val="auto"/>
                      <w:sz w:val="21"/>
                      <w:szCs w:val="21"/>
                      <w:lang w:eastAsia="zh-TW" w:bidi="en-US"/>
                    </w:rPr>
                    <w:t>1、规划实施排放的主要污染物及特征污染物排放量不得突破本次确定的总量管控指标（废水COD：</w:t>
                  </w:r>
                  <w:r>
                    <w:rPr>
                      <w:rFonts w:ascii="Times New Roman" w:hAnsi="Times New Roman" w:cs="Times New Roman"/>
                      <w:bCs/>
                      <w:color w:val="auto"/>
                      <w:sz w:val="21"/>
                      <w:szCs w:val="21"/>
                      <w:lang w:eastAsia="zh-TW"/>
                    </w:rPr>
                    <w:t>116.17</w:t>
                  </w:r>
                  <w:r>
                    <w:rPr>
                      <w:rFonts w:ascii="Times New Roman" w:hAnsi="Times New Roman" w:cs="Times New Roman"/>
                      <w:bCs/>
                      <w:color w:val="auto"/>
                      <w:sz w:val="21"/>
                      <w:szCs w:val="21"/>
                      <w:lang w:eastAsia="zh-TW" w:bidi="en-US"/>
                    </w:rPr>
                    <w:t>t/a、氨氮：</w:t>
                  </w:r>
                  <w:r>
                    <w:rPr>
                      <w:rFonts w:ascii="Times New Roman" w:hAnsi="Times New Roman" w:cs="Times New Roman"/>
                      <w:bCs/>
                      <w:color w:val="auto"/>
                      <w:sz w:val="21"/>
                      <w:szCs w:val="21"/>
                      <w:lang w:eastAsia="zh-TW"/>
                    </w:rPr>
                    <w:t>12.83</w:t>
                  </w:r>
                  <w:r>
                    <w:rPr>
                      <w:rFonts w:ascii="Times New Roman" w:hAnsi="Times New Roman" w:cs="Times New Roman"/>
                      <w:bCs/>
                      <w:color w:val="auto"/>
                      <w:sz w:val="21"/>
                      <w:szCs w:val="21"/>
                      <w:lang w:eastAsia="zh-TW" w:bidi="en-US"/>
                    </w:rPr>
                    <w:t>t/a；废气SO</w:t>
                  </w:r>
                  <w:r>
                    <w:rPr>
                      <w:rFonts w:ascii="Times New Roman" w:hAnsi="Times New Roman" w:cs="Times New Roman"/>
                      <w:bCs/>
                      <w:color w:val="auto"/>
                      <w:sz w:val="21"/>
                      <w:szCs w:val="21"/>
                      <w:vertAlign w:val="subscript"/>
                      <w:lang w:eastAsia="zh-TW" w:bidi="en-US"/>
                    </w:rPr>
                    <w:t>2</w:t>
                  </w:r>
                  <w:r>
                    <w:rPr>
                      <w:rFonts w:ascii="Times New Roman" w:hAnsi="Times New Roman" w:cs="Times New Roman"/>
                      <w:bCs/>
                      <w:color w:val="auto"/>
                      <w:sz w:val="21"/>
                      <w:szCs w:val="21"/>
                      <w:lang w:eastAsia="zh-TW" w:bidi="en-US"/>
                    </w:rPr>
                    <w:t>：</w:t>
                  </w:r>
                  <w:r>
                    <w:rPr>
                      <w:rFonts w:ascii="Times New Roman" w:hAnsi="Times New Roman" w:cs="Times New Roman"/>
                      <w:bCs/>
                      <w:color w:val="auto"/>
                      <w:sz w:val="21"/>
                      <w:szCs w:val="21"/>
                      <w:lang w:eastAsia="zh-TW"/>
                    </w:rPr>
                    <w:t>513.89</w:t>
                  </w:r>
                  <w:r>
                    <w:rPr>
                      <w:rFonts w:ascii="Times New Roman" w:hAnsi="Times New Roman" w:cs="Times New Roman"/>
                      <w:bCs/>
                      <w:color w:val="auto"/>
                      <w:sz w:val="21"/>
                      <w:szCs w:val="21"/>
                      <w:lang w:eastAsia="zh-TW" w:bidi="en-US"/>
                    </w:rPr>
                    <w:t>t/a、NO</w:t>
                  </w:r>
                  <w:r>
                    <w:rPr>
                      <w:rFonts w:ascii="Times New Roman" w:hAnsi="Times New Roman" w:cs="Times New Roman"/>
                      <w:bCs/>
                      <w:color w:val="auto"/>
                      <w:sz w:val="21"/>
                      <w:szCs w:val="21"/>
                      <w:vertAlign w:val="subscript"/>
                      <w:lang w:eastAsia="zh-TW" w:bidi="en-US"/>
                    </w:rPr>
                    <w:t>X</w:t>
                  </w:r>
                  <w:r>
                    <w:rPr>
                      <w:rFonts w:ascii="Times New Roman" w:hAnsi="Times New Roman" w:cs="Times New Roman"/>
                      <w:bCs/>
                      <w:color w:val="auto"/>
                      <w:sz w:val="21"/>
                      <w:szCs w:val="21"/>
                      <w:lang w:eastAsia="zh-TW" w:bidi="en-US"/>
                    </w:rPr>
                    <w:t xml:space="preserve"> ：</w:t>
                  </w:r>
                  <w:r>
                    <w:rPr>
                      <w:rFonts w:ascii="Times New Roman" w:hAnsi="Times New Roman" w:cs="Times New Roman"/>
                      <w:bCs/>
                      <w:color w:val="auto"/>
                      <w:sz w:val="21"/>
                      <w:szCs w:val="21"/>
                      <w:lang w:eastAsia="zh-TW"/>
                    </w:rPr>
                    <w:t>729.08</w:t>
                  </w:r>
                  <w:r>
                    <w:rPr>
                      <w:rFonts w:ascii="Times New Roman" w:hAnsi="Times New Roman" w:cs="Times New Roman"/>
                      <w:bCs/>
                      <w:color w:val="auto"/>
                      <w:sz w:val="21"/>
                      <w:szCs w:val="21"/>
                      <w:lang w:eastAsia="zh-TW" w:bidi="en-US"/>
                    </w:rPr>
                    <w:t>t/a、VOCs：</w:t>
                  </w:r>
                  <w:r>
                    <w:rPr>
                      <w:rFonts w:ascii="Times New Roman" w:hAnsi="Times New Roman" w:cs="Times New Roman"/>
                      <w:bCs/>
                      <w:color w:val="auto"/>
                      <w:sz w:val="21"/>
                      <w:szCs w:val="21"/>
                      <w:lang w:eastAsia="zh-TW"/>
                    </w:rPr>
                    <w:t>354.01</w:t>
                  </w:r>
                  <w:r>
                    <w:rPr>
                      <w:rFonts w:ascii="Times New Roman" w:hAnsi="Times New Roman" w:cs="Times New Roman"/>
                      <w:bCs/>
                      <w:color w:val="auto"/>
                      <w:sz w:val="21"/>
                      <w:szCs w:val="21"/>
                      <w:lang w:eastAsia="zh-TW" w:bidi="en-US"/>
                    </w:rPr>
                    <w:t>t/a、铅：0.887t/a）。</w:t>
                  </w:r>
                </w:p>
                <w:p>
                  <w:pPr>
                    <w:pStyle w:val="180"/>
                    <w:jc w:val="both"/>
                    <w:rPr>
                      <w:rFonts w:ascii="Times New Roman" w:hAnsi="Times New Roman" w:cs="Times New Roman"/>
                      <w:bCs/>
                      <w:color w:val="auto"/>
                      <w:sz w:val="21"/>
                      <w:szCs w:val="21"/>
                    </w:rPr>
                  </w:pPr>
                  <w:r>
                    <w:rPr>
                      <w:rFonts w:ascii="Times New Roman" w:hAnsi="Times New Roman" w:cs="Times New Roman"/>
                      <w:bCs/>
                      <w:color w:val="auto"/>
                      <w:sz w:val="21"/>
                      <w:szCs w:val="21"/>
                      <w:lang w:bidi="en-US"/>
                    </w:rPr>
                    <w:t>2、</w:t>
                  </w:r>
                  <w:r>
                    <w:rPr>
                      <w:rFonts w:ascii="Times New Roman" w:hAnsi="Times New Roman" w:cs="Times New Roman"/>
                      <w:bCs/>
                      <w:color w:val="auto"/>
                      <w:sz w:val="21"/>
                      <w:szCs w:val="21"/>
                    </w:rPr>
                    <w:t>双桥工业园区污水处理厂出水执行《城镇污水处理厂污染物排放标准》（GB18918-2002）中一级A标准（其中COD、BOD</w:t>
                  </w:r>
                  <w:r>
                    <w:rPr>
                      <w:rFonts w:ascii="Times New Roman" w:hAnsi="Times New Roman" w:cs="Times New Roman"/>
                      <w:bCs/>
                      <w:color w:val="auto"/>
                      <w:sz w:val="21"/>
                      <w:szCs w:val="21"/>
                      <w:vertAlign w:val="subscript"/>
                    </w:rPr>
                    <w:t>5</w:t>
                  </w:r>
                  <w:r>
                    <w:rPr>
                      <w:rFonts w:ascii="Times New Roman" w:hAnsi="Times New Roman" w:cs="Times New Roman"/>
                      <w:bCs/>
                      <w:color w:val="auto"/>
                      <w:sz w:val="21"/>
                      <w:szCs w:val="21"/>
                    </w:rPr>
                    <w:t>、氨氮、TP执行《地表水环境质量标准》（GB 3838-2002）</w:t>
                  </w:r>
                  <w:r>
                    <w:rPr>
                      <w:rFonts w:hint="eastAsia"/>
                      <w:bCs/>
                      <w:color w:val="auto"/>
                      <w:sz w:val="21"/>
                      <w:szCs w:val="21"/>
                    </w:rPr>
                    <w:t>Ⅳ</w:t>
                  </w:r>
                  <w:r>
                    <w:rPr>
                      <w:rFonts w:ascii="Times New Roman" w:hAnsi="Times New Roman" w:cs="Times New Roman"/>
                      <w:bCs/>
                      <w:color w:val="auto"/>
                      <w:sz w:val="21"/>
                      <w:szCs w:val="21"/>
                    </w:rPr>
                    <w:t>类标准）；电镀集中加工区污水处理站外排废水量不得超过3500m</w:t>
                  </w:r>
                  <w:r>
                    <w:rPr>
                      <w:rFonts w:ascii="Times New Roman" w:hAnsi="Times New Roman" w:cs="Times New Roman"/>
                      <w:bCs/>
                      <w:color w:val="auto"/>
                      <w:sz w:val="21"/>
                      <w:szCs w:val="21"/>
                      <w:vertAlign w:val="superscript"/>
                    </w:rPr>
                    <w:t>3</w:t>
                  </w:r>
                  <w:r>
                    <w:rPr>
                      <w:rFonts w:ascii="Times New Roman" w:hAnsi="Times New Roman" w:cs="Times New Roman"/>
                      <w:bCs/>
                      <w:color w:val="auto"/>
                      <w:sz w:val="21"/>
                      <w:szCs w:val="21"/>
                    </w:rPr>
                    <w:t>/d。</w:t>
                  </w:r>
                </w:p>
                <w:p>
                  <w:pPr>
                    <w:pStyle w:val="180"/>
                    <w:jc w:val="both"/>
                    <w:rPr>
                      <w:rFonts w:ascii="Times New Roman" w:hAnsi="Times New Roman" w:cs="Times New Roman"/>
                      <w:bCs/>
                      <w:color w:val="auto"/>
                      <w:sz w:val="21"/>
                      <w:szCs w:val="21"/>
                    </w:rPr>
                  </w:pPr>
                  <w:r>
                    <w:rPr>
                      <w:rFonts w:ascii="Times New Roman" w:hAnsi="Times New Roman" w:cs="Times New Roman"/>
                      <w:bCs/>
                      <w:color w:val="auto"/>
                      <w:sz w:val="21"/>
                      <w:szCs w:val="21"/>
                      <w:lang w:bidi="en-US"/>
                    </w:rPr>
                    <w:t>3、新、改、扩建重点行业建设项目应明确重点重金属污染物排放总量及来源。</w:t>
                  </w:r>
                </w:p>
                <w:p>
                  <w:pPr>
                    <w:pStyle w:val="180"/>
                    <w:jc w:val="both"/>
                    <w:rPr>
                      <w:rFonts w:ascii="Times New Roman" w:hAnsi="Times New Roman" w:cs="Times New Roman"/>
                      <w:bCs/>
                      <w:color w:val="auto"/>
                      <w:sz w:val="21"/>
                      <w:szCs w:val="21"/>
                      <w:lang w:bidi="en-US"/>
                    </w:rPr>
                  </w:pPr>
                  <w:r>
                    <w:rPr>
                      <w:rFonts w:ascii="Times New Roman" w:hAnsi="Times New Roman" w:cs="Times New Roman"/>
                      <w:bCs/>
                      <w:color w:val="auto"/>
                      <w:sz w:val="21"/>
                      <w:szCs w:val="21"/>
                      <w:lang w:bidi="en-US"/>
                    </w:rPr>
                    <w:t>4.涉VOCs排放的项目，应加强源头控制，使用低（无）VOCs含量的原辅料，提高废气收集效率，安装高效治理设施。</w:t>
                  </w:r>
                </w:p>
              </w:tc>
              <w:tc>
                <w:tcPr>
                  <w:tcW w:w="971" w:type="pct"/>
                  <w:vMerge w:val="continue"/>
                  <w:vAlign w:val="center"/>
                </w:tcPr>
                <w:p>
                  <w:pPr>
                    <w:pStyle w:val="180"/>
                    <w:adjustRightInd w:val="0"/>
                    <w:jc w:val="center"/>
                    <w:textAlignment w:val="auto"/>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646" w:type="pct"/>
                  <w:vAlign w:val="center"/>
                </w:tcPr>
                <w:p>
                  <w:pPr>
                    <w:pStyle w:val="180"/>
                    <w:adjustRightInd w:val="0"/>
                    <w:jc w:val="both"/>
                    <w:textAlignment w:val="auto"/>
                    <w:rPr>
                      <w:rFonts w:ascii="Times New Roman" w:hAnsi="Times New Roman" w:cs="Times New Roman"/>
                      <w:color w:val="auto"/>
                      <w:sz w:val="21"/>
                      <w:szCs w:val="21"/>
                      <w:lang w:eastAsia="zh-TW" w:bidi="zh-TW"/>
                    </w:rPr>
                  </w:pPr>
                  <w:r>
                    <w:rPr>
                      <w:rFonts w:hint="eastAsia" w:ascii="Times New Roman" w:hAnsi="Times New Roman" w:cs="Times New Roman"/>
                      <w:color w:val="auto"/>
                      <w:sz w:val="21"/>
                      <w:szCs w:val="21"/>
                      <w:lang w:val="zh-TW" w:eastAsia="zh-TW" w:bidi="zh-TW"/>
                    </w:rPr>
                    <w:t>环境风险防控</w:t>
                  </w:r>
                </w:p>
              </w:tc>
              <w:tc>
                <w:tcPr>
                  <w:tcW w:w="3383" w:type="pct"/>
                  <w:vAlign w:val="center"/>
                </w:tcPr>
                <w:p>
                  <w:pPr>
                    <w:pStyle w:val="180"/>
                    <w:jc w:val="both"/>
                    <w:rPr>
                      <w:rFonts w:ascii="Times New Roman" w:hAnsi="Times New Roman" w:cs="Times New Roman"/>
                      <w:bCs/>
                      <w:color w:val="auto"/>
                      <w:sz w:val="21"/>
                      <w:szCs w:val="21"/>
                      <w:lang w:bidi="en-US"/>
                    </w:rPr>
                  </w:pPr>
                  <w:r>
                    <w:rPr>
                      <w:rFonts w:ascii="Times New Roman" w:hAnsi="Times New Roman" w:cs="Times New Roman"/>
                      <w:bCs/>
                      <w:color w:val="auto"/>
                      <w:sz w:val="21"/>
                      <w:szCs w:val="21"/>
                      <w:lang w:bidi="en-US"/>
                    </w:rPr>
                    <w:t>1</w:t>
                  </w:r>
                  <w:r>
                    <w:rPr>
                      <w:rFonts w:hint="eastAsia" w:ascii="Times New Roman" w:hAnsi="Times New Roman" w:cs="Times New Roman"/>
                      <w:bCs/>
                      <w:color w:val="auto"/>
                      <w:sz w:val="21"/>
                      <w:szCs w:val="21"/>
                      <w:lang w:bidi="en-US"/>
                    </w:rPr>
                    <w:t>、严格控制项目环境风险，合理布局生产装置及危险化学品仓储等设施。规划区</w:t>
                  </w:r>
                  <w:r>
                    <w:rPr>
                      <w:rFonts w:ascii="Times New Roman" w:hAnsi="Times New Roman" w:cs="Times New Roman"/>
                      <w:bCs/>
                      <w:color w:val="auto"/>
                      <w:sz w:val="21"/>
                      <w:szCs w:val="21"/>
                      <w:lang w:bidi="en-US"/>
                    </w:rPr>
                    <w:t>仓储物流用地禁止</w:t>
                  </w:r>
                  <w:r>
                    <w:rPr>
                      <w:rFonts w:hint="eastAsia" w:ascii="Times New Roman" w:hAnsi="Times New Roman" w:cs="Times New Roman"/>
                      <w:bCs/>
                      <w:color w:val="auto"/>
                      <w:sz w:val="21"/>
                      <w:szCs w:val="21"/>
                      <w:lang w:bidi="en-US"/>
                    </w:rPr>
                    <w:t>储存易燃、易爆和剧毒等</w:t>
                  </w:r>
                  <w:r>
                    <w:rPr>
                      <w:rFonts w:ascii="Times New Roman" w:hAnsi="Times New Roman" w:cs="Times New Roman"/>
                      <w:bCs/>
                      <w:color w:val="auto"/>
                      <w:sz w:val="21"/>
                      <w:szCs w:val="21"/>
                      <w:lang w:bidi="en-US"/>
                    </w:rPr>
                    <w:t>危险化学品</w:t>
                  </w:r>
                  <w:r>
                    <w:rPr>
                      <w:rFonts w:hint="eastAsia" w:ascii="Times New Roman" w:hAnsi="Times New Roman" w:cs="Times New Roman"/>
                      <w:bCs/>
                      <w:color w:val="auto"/>
                      <w:sz w:val="21"/>
                      <w:szCs w:val="21"/>
                      <w:lang w:bidi="en-US"/>
                    </w:rPr>
                    <w:t>。</w:t>
                  </w:r>
                </w:p>
                <w:p>
                  <w:pPr>
                    <w:pStyle w:val="180"/>
                    <w:jc w:val="both"/>
                    <w:rPr>
                      <w:rFonts w:ascii="Times New Roman" w:hAnsi="Times New Roman" w:cs="Times New Roman"/>
                      <w:bCs/>
                      <w:color w:val="auto"/>
                      <w:sz w:val="21"/>
                      <w:szCs w:val="21"/>
                      <w:lang w:bidi="en-US"/>
                    </w:rPr>
                  </w:pPr>
                  <w:r>
                    <w:rPr>
                      <w:rFonts w:ascii="Times New Roman" w:hAnsi="Times New Roman" w:cs="Times New Roman"/>
                      <w:bCs/>
                      <w:color w:val="auto"/>
                      <w:sz w:val="21"/>
                      <w:szCs w:val="21"/>
                      <w:lang w:bidi="en-US"/>
                    </w:rPr>
                    <w:t>2</w:t>
                  </w:r>
                  <w:r>
                    <w:rPr>
                      <w:rFonts w:hint="eastAsia" w:ascii="Times New Roman" w:hAnsi="Times New Roman" w:cs="Times New Roman"/>
                      <w:bCs/>
                      <w:color w:val="auto"/>
                      <w:sz w:val="21"/>
                      <w:szCs w:val="21"/>
                      <w:lang w:bidi="en-US"/>
                    </w:rPr>
                    <w:t>、涉及入渗途径影响的企业，应根据相关标准规范要求，对设备设施采取相应的防渗措施。</w:t>
                  </w:r>
                </w:p>
                <w:p>
                  <w:pPr>
                    <w:pStyle w:val="180"/>
                    <w:jc w:val="both"/>
                    <w:rPr>
                      <w:rFonts w:ascii="Times New Roman" w:hAnsi="Times New Roman" w:cs="Times New Roman"/>
                      <w:bCs/>
                      <w:color w:val="auto"/>
                      <w:sz w:val="21"/>
                      <w:szCs w:val="21"/>
                      <w:lang w:bidi="en-US"/>
                    </w:rPr>
                  </w:pPr>
                  <w:r>
                    <w:rPr>
                      <w:rFonts w:ascii="Times New Roman" w:hAnsi="Times New Roman" w:cs="Times New Roman"/>
                      <w:bCs/>
                      <w:color w:val="auto"/>
                      <w:sz w:val="21"/>
                      <w:szCs w:val="21"/>
                      <w:lang w:bidi="en-US"/>
                    </w:rPr>
                    <w:t>3</w:t>
                  </w:r>
                  <w:r>
                    <w:rPr>
                      <w:rFonts w:hint="eastAsia" w:ascii="Times New Roman" w:hAnsi="Times New Roman" w:cs="Times New Roman"/>
                      <w:bCs/>
                      <w:color w:val="auto"/>
                      <w:sz w:val="21"/>
                      <w:szCs w:val="21"/>
                      <w:lang w:bidi="en-US"/>
                    </w:rPr>
                    <w:t>、园区和园区内企业应按相关文件要求，编制或修订环境风险应急预案，并报生态环境行政执法部门备案。</w:t>
                  </w:r>
                </w:p>
              </w:tc>
              <w:tc>
                <w:tcPr>
                  <w:tcW w:w="971" w:type="pct"/>
                  <w:vMerge w:val="continue"/>
                  <w:vAlign w:val="center"/>
                </w:tcPr>
                <w:p>
                  <w:pPr>
                    <w:pStyle w:val="180"/>
                    <w:adjustRightInd w:val="0"/>
                    <w:jc w:val="center"/>
                    <w:textAlignment w:val="auto"/>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646" w:type="pct"/>
                  <w:vAlign w:val="center"/>
                </w:tcPr>
                <w:p>
                  <w:pPr>
                    <w:pStyle w:val="180"/>
                    <w:adjustRightInd w:val="0"/>
                    <w:jc w:val="both"/>
                    <w:textAlignment w:val="auto"/>
                    <w:rPr>
                      <w:rFonts w:ascii="Times New Roman" w:hAnsi="Times New Roman" w:cs="Times New Roman"/>
                      <w:color w:val="auto"/>
                      <w:sz w:val="21"/>
                      <w:szCs w:val="21"/>
                      <w:lang w:eastAsia="zh-TW" w:bidi="zh-TW"/>
                    </w:rPr>
                  </w:pPr>
                  <w:r>
                    <w:rPr>
                      <w:rFonts w:ascii="Times New Roman" w:hAnsi="Times New Roman" w:cs="Times New Roman"/>
                      <w:color w:val="auto"/>
                      <w:sz w:val="21"/>
                      <w:szCs w:val="21"/>
                      <w:lang w:eastAsia="zh-TW" w:bidi="zh-TW"/>
                    </w:rPr>
                    <w:t>资源开发效率要求</w:t>
                  </w:r>
                </w:p>
              </w:tc>
              <w:tc>
                <w:tcPr>
                  <w:tcW w:w="3383" w:type="pct"/>
                  <w:vAlign w:val="center"/>
                </w:tcPr>
                <w:p>
                  <w:pPr>
                    <w:pStyle w:val="3244"/>
                    <w:spacing w:line="320" w:lineRule="exact"/>
                    <w:jc w:val="both"/>
                  </w:pPr>
                  <w:r>
                    <w:t>1</w:t>
                  </w:r>
                  <w:r>
                    <w:rPr>
                      <w:rFonts w:hint="eastAsia"/>
                    </w:rPr>
                    <w:t>、新建、改建、扩建“两高”项目应采取先进适用的工艺技术和装备，单位产品能耗、物耗和水耗等达到清洁生产先进水平。</w:t>
                  </w:r>
                </w:p>
                <w:p>
                  <w:pPr>
                    <w:pStyle w:val="3244"/>
                    <w:spacing w:line="320" w:lineRule="exact"/>
                    <w:jc w:val="both"/>
                  </w:pPr>
                  <w:r>
                    <w:rPr>
                      <w:rFonts w:hint="eastAsia"/>
                    </w:rPr>
                    <w:t>2、强化能源消费强度和总量双控，提升</w:t>
                  </w:r>
                  <w:r>
                    <w:rPr>
                      <w:rFonts w:hint="eastAsia"/>
                      <w:bCs/>
                    </w:rPr>
                    <w:t>能源利用效率。不得引入低于国家相关行业能耗基准水平的项目。</w:t>
                  </w:r>
                </w:p>
                <w:p>
                  <w:pPr>
                    <w:pStyle w:val="180"/>
                    <w:adjustRightInd w:val="0"/>
                    <w:jc w:val="both"/>
                    <w:textAlignment w:val="auto"/>
                    <w:rPr>
                      <w:rFonts w:ascii="Times New Roman" w:hAnsi="Times New Roman" w:cs="Times New Roman"/>
                      <w:color w:val="auto"/>
                      <w:sz w:val="21"/>
                      <w:szCs w:val="21"/>
                      <w:lang w:eastAsia="zh-TW" w:bidi="zh-TW"/>
                    </w:rPr>
                  </w:pPr>
                  <w:r>
                    <w:rPr>
                      <w:rFonts w:ascii="Times New Roman" w:hAnsi="Times New Roman" w:cs="Times New Roman"/>
                      <w:color w:val="auto"/>
                      <w:sz w:val="21"/>
                      <w:szCs w:val="21"/>
                    </w:rPr>
                    <w:t>3、资源循环利用产业深化废弃物综合利用，变废为宝的同时提升资源利用效率。</w:t>
                  </w:r>
                </w:p>
              </w:tc>
              <w:tc>
                <w:tcPr>
                  <w:tcW w:w="971" w:type="pct"/>
                  <w:vMerge w:val="continue"/>
                  <w:vAlign w:val="center"/>
                </w:tcPr>
                <w:p>
                  <w:pPr>
                    <w:pStyle w:val="180"/>
                    <w:adjustRightInd w:val="0"/>
                    <w:jc w:val="center"/>
                    <w:textAlignment w:val="auto"/>
                    <w:rPr>
                      <w:rFonts w:ascii="Times New Roman" w:hAnsi="Times New Roman" w:cs="Times New Roman"/>
                      <w:color w:val="auto"/>
                      <w:sz w:val="21"/>
                      <w:szCs w:val="21"/>
                    </w:rPr>
                  </w:pPr>
                </w:p>
              </w:tc>
            </w:tr>
          </w:tbl>
          <w:p>
            <w:pPr>
              <w:pStyle w:val="169"/>
            </w:pPr>
          </w:p>
          <w:p>
            <w:pPr>
              <w:pStyle w:val="169"/>
              <w:rPr>
                <w:sz w:val="24"/>
                <w:szCs w:val="24"/>
              </w:rPr>
            </w:pPr>
            <w:r>
              <w:rPr>
                <w:rFonts w:hint="eastAsia"/>
              </w:rPr>
              <w:t xml:space="preserve"> </w:t>
            </w:r>
            <w:r>
              <w:rPr>
                <w:rFonts w:hint="eastAsia"/>
                <w:sz w:val="24"/>
                <w:szCs w:val="24"/>
              </w:rPr>
              <w:t xml:space="preserve">   </w:t>
            </w:r>
          </w:p>
          <w:p>
            <w:pPr>
              <w:spacing w:line="240" w:lineRule="auto"/>
            </w:pPr>
            <w:r>
              <w:rPr>
                <w:rFonts w:hint="eastAsia"/>
              </w:rPr>
              <w:t>表1.1-2  与《</w:t>
            </w:r>
            <w:r>
              <w:rPr>
                <w:rFonts w:hint="eastAsia"/>
                <w:bCs/>
              </w:rPr>
              <w:t>大足高新区邮亭组团规划</w:t>
            </w:r>
            <w:r>
              <w:rPr>
                <w:rFonts w:hint="eastAsia"/>
              </w:rPr>
              <w:t>环境影响报告书》审查意见函的符合性分析表</w:t>
            </w:r>
          </w:p>
          <w:tbl>
            <w:tblPr>
              <w:tblStyle w:val="88"/>
              <w:tblW w:w="49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5671"/>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jc w:val="center"/>
              </w:trPr>
              <w:tc>
                <w:tcPr>
                  <w:tcW w:w="382" w:type="pct"/>
                  <w:vAlign w:val="center"/>
                </w:tcPr>
                <w:p>
                  <w:pPr>
                    <w:pStyle w:val="169"/>
                  </w:pPr>
                  <w:r>
                    <w:t>序号</w:t>
                  </w:r>
                </w:p>
              </w:tc>
              <w:tc>
                <w:tcPr>
                  <w:tcW w:w="3423" w:type="pct"/>
                  <w:vAlign w:val="center"/>
                </w:tcPr>
                <w:p>
                  <w:pPr>
                    <w:pStyle w:val="169"/>
                  </w:pPr>
                  <w:r>
                    <w:t>渝环函〔202</w:t>
                  </w:r>
                  <w:r>
                    <w:rPr>
                      <w:rFonts w:hint="eastAsia"/>
                    </w:rPr>
                    <w:t>3</w:t>
                  </w:r>
                  <w:r>
                    <w:t>〕</w:t>
                  </w:r>
                  <w:r>
                    <w:rPr>
                      <w:rFonts w:hint="eastAsia"/>
                    </w:rPr>
                    <w:t>629</w:t>
                  </w:r>
                  <w:r>
                    <w:t>号</w:t>
                  </w:r>
                </w:p>
              </w:tc>
              <w:tc>
                <w:tcPr>
                  <w:tcW w:w="1194" w:type="pct"/>
                  <w:vAlign w:val="center"/>
                </w:tcPr>
                <w:p>
                  <w:pPr>
                    <w:pStyle w:val="169"/>
                  </w:pPr>
                  <w:r>
                    <w:t>符合性</w:t>
                  </w:r>
                  <w:r>
                    <w:rPr>
                      <w:rFonts w:hint="eastAsia"/>
                    </w:rPr>
                    <w:t>分</w:t>
                  </w:r>
                  <w:r>
                    <w:t>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2" w:type="pct"/>
                  <w:vAlign w:val="center"/>
                </w:tcPr>
                <w:p>
                  <w:pPr>
                    <w:pStyle w:val="169"/>
                  </w:pPr>
                  <w:r>
                    <w:t>1</w:t>
                  </w:r>
                </w:p>
              </w:tc>
              <w:tc>
                <w:tcPr>
                  <w:tcW w:w="3423" w:type="pct"/>
                  <w:vAlign w:val="center"/>
                </w:tcPr>
                <w:p>
                  <w:pPr>
                    <w:pStyle w:val="169"/>
                    <w:jc w:val="left"/>
                    <w:rPr>
                      <w:lang w:bidi="en-US"/>
                    </w:rPr>
                  </w:pPr>
                  <w:r>
                    <w:rPr>
                      <w:rFonts w:hint="eastAsia"/>
                      <w:lang w:bidi="en-US"/>
                    </w:rPr>
                    <w:t>强化规划环评与“三线一单”生态环境分区管控要求的联动， 主要管控措施应符合重庆市及大足区“三线一单”生态环境分区 管控要求。入驻建设项目应满足相关产业政策和生态环境准入要 求以及《报告书》提出的生态环境管控要求。规划范围部分区域 位于大足区城镇开发边界外，其后续开发建设应进一步衔接国土</w:t>
                  </w:r>
                  <w:r>
                    <w:rPr>
                      <w:lang w:bidi="en-US"/>
                    </w:rPr>
                    <w:t>空间规划和土地用途管制的相关要求。</w:t>
                  </w:r>
                </w:p>
              </w:tc>
              <w:tc>
                <w:tcPr>
                  <w:tcW w:w="1194" w:type="pct"/>
                  <w:vMerge w:val="restart"/>
                  <w:vAlign w:val="center"/>
                </w:tcPr>
                <w:p>
                  <w:pPr>
                    <w:pStyle w:val="169"/>
                  </w:pPr>
                  <w:r>
                    <w:rPr>
                      <w:rFonts w:hint="eastAsia"/>
                    </w:rPr>
                    <w:t>项目位于</w:t>
                  </w:r>
                  <w:r>
                    <w:rPr>
                      <w:rFonts w:hint="eastAsia"/>
                      <w:bCs/>
                    </w:rPr>
                    <w:t>大足高新区邮亭组团</w:t>
                  </w:r>
                  <w:r>
                    <w:rPr>
                      <w:rFonts w:hint="eastAsia"/>
                    </w:rPr>
                    <w:t>，为危险废物利用及处置项目，在足航现有厂区内进行除尘灰的回炉利用，符合审查意见函的相关要求。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2" w:type="pct"/>
                  <w:vAlign w:val="center"/>
                </w:tcPr>
                <w:p>
                  <w:pPr>
                    <w:pStyle w:val="169"/>
                  </w:pPr>
                  <w:r>
                    <w:t>2</w:t>
                  </w:r>
                </w:p>
              </w:tc>
              <w:tc>
                <w:tcPr>
                  <w:tcW w:w="3423" w:type="pct"/>
                  <w:vAlign w:val="center"/>
                </w:tcPr>
                <w:p>
                  <w:pPr>
                    <w:pStyle w:val="169"/>
                    <w:jc w:val="left"/>
                    <w:rPr>
                      <w:lang w:bidi="en-US"/>
                    </w:rPr>
                  </w:pPr>
                  <w:r>
                    <w:rPr>
                      <w:rFonts w:hint="eastAsia"/>
                      <w:lang w:bidi="en-US"/>
                    </w:rPr>
                    <w:t>合理布局有防护距离要求的工业企业，其环境防护距离包络线原则上应控制在规划边界或用地红线内。紧邻居住用地的 A03-16/02 工业地块不宜新引入涉及铸造、冶炼、喷漆等大气污染较重或异味明显等易扰民的项目。</w:t>
                  </w:r>
                </w:p>
              </w:tc>
              <w:tc>
                <w:tcPr>
                  <w:tcW w:w="1194" w:type="pct"/>
                  <w:vMerge w:val="continue"/>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2" w:type="pct"/>
                  <w:vAlign w:val="center"/>
                </w:tcPr>
                <w:p>
                  <w:pPr>
                    <w:pStyle w:val="169"/>
                  </w:pPr>
                  <w:r>
                    <w:t>3</w:t>
                  </w:r>
                </w:p>
              </w:tc>
              <w:tc>
                <w:tcPr>
                  <w:tcW w:w="3423" w:type="pct"/>
                  <w:vAlign w:val="center"/>
                </w:tcPr>
                <w:p>
                  <w:pPr>
                    <w:pStyle w:val="169"/>
                    <w:jc w:val="left"/>
                    <w:rPr>
                      <w:lang w:bidi="en-US"/>
                    </w:rPr>
                  </w:pPr>
                  <w:r>
                    <w:rPr>
                      <w:rFonts w:hint="eastAsia"/>
                      <w:lang w:bidi="en-US"/>
                    </w:rPr>
                    <w:t>规划实施排放的主要污染物及特征污染物排放量不得突破</w:t>
                  </w:r>
                  <w:r>
                    <w:rPr>
                      <w:lang w:bidi="en-US"/>
                    </w:rPr>
                    <w:t>。</w:t>
                  </w:r>
                </w:p>
              </w:tc>
              <w:tc>
                <w:tcPr>
                  <w:tcW w:w="1194" w:type="pct"/>
                  <w:vMerge w:val="continue"/>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2" w:type="pct"/>
                  <w:vAlign w:val="center"/>
                </w:tcPr>
                <w:p>
                  <w:pPr>
                    <w:pStyle w:val="169"/>
                  </w:pPr>
                  <w:r>
                    <w:t>4</w:t>
                  </w:r>
                </w:p>
              </w:tc>
              <w:tc>
                <w:tcPr>
                  <w:tcW w:w="3423" w:type="pct"/>
                  <w:vAlign w:val="center"/>
                </w:tcPr>
                <w:p>
                  <w:pPr>
                    <w:pStyle w:val="169"/>
                    <w:jc w:val="left"/>
                    <w:rPr>
                      <w:lang w:bidi="en-US"/>
                    </w:rPr>
                  </w:pPr>
                  <w:r>
                    <w:rPr>
                      <w:rFonts w:hint="eastAsia"/>
                      <w:lang w:bidi="en-US"/>
                    </w:rPr>
                    <w:t>水污染物排放管控。规划区排水系统采用雨、污分流制，污水统一收集集中处理。入驻企业应尽量做到一水多用，提高工业用水重复利用率，减少废水排放量，强化规划污水管网排查巡查，杜绝跑冒滴漏，确保 污废水得到有效收集。尽快完成双桥工业园区污水处理厂提标改造，避免园区排水对区域地表水体造成不利影响。规划区内表面集中加工区污废水经分质分类收集至加工区污水处理站处理达《电镀污染物排放标准》(GB21900-2008</w:t>
                  </w:r>
                  <w:r>
                    <w:rPr>
                      <w:rFonts w:hint="eastAsia"/>
                      <w:lang w:eastAsia="zh-CN" w:bidi="en-US"/>
                    </w:rPr>
                    <w:t>）</w:t>
                  </w:r>
                  <w:r>
                    <w:rPr>
                      <w:rFonts w:hint="eastAsia"/>
                      <w:lang w:bidi="en-US"/>
                    </w:rPr>
                    <w:t>表3标准</w:t>
                  </w:r>
                  <w:r>
                    <w:rPr>
                      <w:rFonts w:hint="eastAsia"/>
                      <w:lang w:eastAsia="zh-CN" w:bidi="en-US"/>
                    </w:rPr>
                    <w:t>（</w:t>
                  </w:r>
                  <w:r>
                    <w:rPr>
                      <w:rFonts w:hint="eastAsia"/>
                      <w:lang w:bidi="en-US"/>
                    </w:rPr>
                    <w:t>其中第一类污染物及五类重点重金属达到《重庆市电镀行业废水污染物自愿性排放标准》(T/CQSES02-2017)  相关限值要求</w:t>
                  </w:r>
                  <w:r>
                    <w:rPr>
                      <w:rFonts w:hint="eastAsia"/>
                      <w:lang w:eastAsia="zh-CN" w:bidi="en-US"/>
                    </w:rPr>
                    <w:t>）</w:t>
                  </w:r>
                  <w:r>
                    <w:rPr>
                      <w:rFonts w:hint="eastAsia"/>
                      <w:lang w:bidi="en-US"/>
                    </w:rPr>
                    <w:t>后排放，外排废水量不得超过3500m</w:t>
                  </w:r>
                  <w:r>
                    <w:rPr>
                      <w:rFonts w:hint="eastAsia"/>
                      <w:vertAlign w:val="superscript"/>
                      <w:lang w:bidi="en-US"/>
                    </w:rPr>
                    <w:t>3</w:t>
                  </w:r>
                  <w:r>
                    <w:rPr>
                      <w:rFonts w:hint="eastAsia"/>
                      <w:lang w:bidi="en-US"/>
                    </w:rPr>
                    <w:t>/d；其他区域各企业污废水应自行预处 理达到行业排放标准或《污水综合排放标准》(GB8978-1996</w:t>
                  </w:r>
                  <w:r>
                    <w:rPr>
                      <w:rFonts w:hint="eastAsia"/>
                      <w:lang w:eastAsia="zh-CN" w:bidi="en-US"/>
                    </w:rPr>
                    <w:t>）</w:t>
                  </w:r>
                  <w:r>
                    <w:rPr>
                      <w:rFonts w:hint="eastAsia"/>
                      <w:lang w:bidi="en-US"/>
                    </w:rPr>
                    <w:t>三级标准后再进入双桥工业园区污水处理厂进一步处理达《城镇污水处理厂污染物排放标准》(GB18918-2002</w:t>
                  </w:r>
                  <w:r>
                    <w:rPr>
                      <w:rFonts w:hint="eastAsia"/>
                      <w:lang w:eastAsia="zh-CN" w:bidi="en-US"/>
                    </w:rPr>
                    <w:t>）</w:t>
                  </w:r>
                  <w:r>
                    <w:rPr>
                      <w:rFonts w:hint="eastAsia"/>
                      <w:lang w:bidi="en-US"/>
                    </w:rPr>
                    <w:t>中一级</w:t>
                  </w:r>
                  <w:r>
                    <w:rPr>
                      <w:lang w:bidi="en-US"/>
                    </w:rPr>
                    <w:t>A</w:t>
                  </w:r>
                  <w:r>
                    <w:rPr>
                      <w:rFonts w:hint="eastAsia"/>
                      <w:lang w:bidi="en-US"/>
                    </w:rPr>
                    <w:t xml:space="preserve">标准 </w:t>
                  </w:r>
                  <w:r>
                    <w:rPr>
                      <w:rFonts w:hint="eastAsia"/>
                      <w:lang w:eastAsia="zh-CN" w:bidi="en-US"/>
                    </w:rPr>
                    <w:t>（</w:t>
                  </w:r>
                  <w:r>
                    <w:rPr>
                      <w:rFonts w:hint="eastAsia"/>
                      <w:lang w:bidi="en-US"/>
                    </w:rPr>
                    <w:t>其中</w:t>
                  </w:r>
                  <w:r>
                    <w:rPr>
                      <w:lang w:bidi="en-US"/>
                    </w:rPr>
                    <w:t>COD</w:t>
                  </w:r>
                  <w:r>
                    <w:rPr>
                      <w:rFonts w:hint="eastAsia"/>
                      <w:lang w:bidi="en-US"/>
                    </w:rPr>
                    <w:t>、</w:t>
                  </w:r>
                  <w:r>
                    <w:rPr>
                      <w:lang w:bidi="en-US"/>
                    </w:rPr>
                    <w:t>BOD</w:t>
                  </w:r>
                  <w:r>
                    <w:rPr>
                      <w:rFonts w:hint="eastAsia"/>
                      <w:vertAlign w:val="subscript"/>
                      <w:lang w:bidi="en-US"/>
                    </w:rPr>
                    <w:t>5</w:t>
                  </w:r>
                  <w:r>
                    <w:rPr>
                      <w:rFonts w:hint="eastAsia"/>
                      <w:lang w:bidi="en-US"/>
                    </w:rPr>
                    <w:t>、氨氮、</w:t>
                  </w:r>
                  <w:r>
                    <w:rPr>
                      <w:lang w:bidi="en-US"/>
                    </w:rPr>
                    <w:t>TP</w:t>
                  </w:r>
                  <w:r>
                    <w:rPr>
                      <w:rFonts w:hint="eastAsia"/>
                      <w:lang w:bidi="en-US"/>
                    </w:rPr>
                    <w:t>达到《地表水环境质量标准》</w:t>
                  </w:r>
                  <w:r>
                    <w:rPr>
                      <w:lang w:bidi="en-US"/>
                    </w:rPr>
                    <w:t>(GB</w:t>
                  </w:r>
                  <w:r>
                    <w:rPr>
                      <w:rFonts w:hint="eastAsia"/>
                      <w:lang w:bidi="en-US"/>
                    </w:rPr>
                    <w:t>3838-2002)IV类标准限值</w:t>
                  </w:r>
                  <w:r>
                    <w:rPr>
                      <w:rFonts w:hint="eastAsia"/>
                      <w:lang w:eastAsia="zh-CN" w:bidi="en-US"/>
                    </w:rPr>
                    <w:t>）</w:t>
                  </w:r>
                  <w:r>
                    <w:rPr>
                      <w:rFonts w:hint="eastAsia"/>
                      <w:lang w:bidi="en-US"/>
                    </w:rPr>
                    <w:t>后排放。</w:t>
                  </w:r>
                </w:p>
              </w:tc>
              <w:tc>
                <w:tcPr>
                  <w:tcW w:w="1194" w:type="pct"/>
                  <w:vMerge w:val="continue"/>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2" w:type="pct"/>
                  <w:vAlign w:val="center"/>
                </w:tcPr>
                <w:p>
                  <w:pPr>
                    <w:pStyle w:val="169"/>
                  </w:pPr>
                  <w:r>
                    <w:t>5</w:t>
                  </w:r>
                </w:p>
              </w:tc>
              <w:tc>
                <w:tcPr>
                  <w:tcW w:w="3423" w:type="pct"/>
                  <w:vAlign w:val="center"/>
                </w:tcPr>
                <w:p>
                  <w:pPr>
                    <w:pStyle w:val="169"/>
                    <w:jc w:val="left"/>
                    <w:rPr>
                      <w:lang w:bidi="en-US"/>
                    </w:rPr>
                  </w:pPr>
                  <w:r>
                    <w:rPr>
                      <w:rFonts w:hint="eastAsia"/>
                      <w:lang w:bidi="en-US"/>
                    </w:rPr>
                    <w:t>大气污染物排放管控。优化能源结构，严格落实清洁能源计划。入驻企业生产废气应采用高效的收集措施和污染防治措施，确保工艺废气稳定达标</w:t>
                  </w:r>
                  <w:r>
                    <w:rPr>
                      <w:lang w:bidi="en-US"/>
                    </w:rPr>
                    <w:t>排放。重点排污单位按照要求设置主要污染物在线监控设施。涉</w:t>
                  </w:r>
                  <w:r>
                    <w:rPr>
                      <w:rFonts w:hint="eastAsia"/>
                      <w:lang w:bidi="en-US"/>
                    </w:rPr>
                    <w:t>及挥发性有机物排放的项目应从源头加强控制，优先使用低</w:t>
                  </w:r>
                  <w:r>
                    <w:rPr>
                      <w:rFonts w:hint="eastAsia"/>
                      <w:lang w:eastAsia="zh-CN" w:bidi="en-US"/>
                    </w:rPr>
                    <w:t>（</w:t>
                  </w:r>
                  <w:r>
                    <w:rPr>
                      <w:rFonts w:hint="eastAsia"/>
                      <w:lang w:bidi="en-US"/>
                    </w:rPr>
                    <w:t>无</w:t>
                  </w:r>
                  <w:r>
                    <w:rPr>
                      <w:rFonts w:hint="eastAsia"/>
                      <w:lang w:eastAsia="zh-CN" w:bidi="en-US"/>
                    </w:rPr>
                    <w:t>）</w:t>
                  </w:r>
                  <w:r>
                    <w:rPr>
                      <w:rFonts w:hint="eastAsia"/>
                      <w:lang w:bidi="en-US"/>
                    </w:rPr>
                    <w:t xml:space="preserve"> VOCs含量的原辅料，并按照《挥发性有机物无组织排放控制标准》(GB37822-2019)  相关要求，通过采用先进生产技术、高效工艺和设备等，减少工艺过程无组织排放。粉尘产生量大的企业</w:t>
                  </w:r>
                  <w:r>
                    <w:rPr>
                      <w:lang w:bidi="en-US"/>
                    </w:rPr>
                    <w:t>应实施全过程降尘管理，建设高效的废气收集处置系统。</w:t>
                  </w:r>
                </w:p>
              </w:tc>
              <w:tc>
                <w:tcPr>
                  <w:tcW w:w="1194" w:type="pct"/>
                  <w:vMerge w:val="continue"/>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jc w:val="center"/>
              </w:trPr>
              <w:tc>
                <w:tcPr>
                  <w:tcW w:w="382" w:type="pct"/>
                  <w:vAlign w:val="center"/>
                </w:tcPr>
                <w:p>
                  <w:pPr>
                    <w:pStyle w:val="169"/>
                  </w:pPr>
                  <w:r>
                    <w:t>6</w:t>
                  </w:r>
                </w:p>
              </w:tc>
              <w:tc>
                <w:tcPr>
                  <w:tcW w:w="3423" w:type="pct"/>
                  <w:vAlign w:val="center"/>
                </w:tcPr>
                <w:p>
                  <w:pPr>
                    <w:pStyle w:val="169"/>
                    <w:jc w:val="left"/>
                    <w:rPr>
                      <w:lang w:bidi="en-US"/>
                    </w:rPr>
                  </w:pPr>
                  <w:r>
                    <w:rPr>
                      <w:rFonts w:hint="eastAsia"/>
                      <w:lang w:bidi="en-US"/>
                    </w:rPr>
                    <w:t>工业固废排放管控。加强一般工业固体废物综合利用和处置，鼓励企业自行回收利用一般工业固体废物，按资源化、减量化、无害化原则妥善收集、处置。危险废物产生单位应严格落实危险废物环境管理制度，做好危险废物管理计划和管理台账，对项目危险废物收集、贮存、运输、利用、处置各环节进行全过程环境监管。严格按照《危险废物贮存污染控制标准》(GB18597-2023)  等有关规定，设置危险废物暂存场所。危险废物转移应严格执行《危险废物转移管理 办法》</w:t>
                  </w:r>
                  <w:r>
                    <w:rPr>
                      <w:rFonts w:hint="eastAsia"/>
                      <w:lang w:eastAsia="zh-CN" w:bidi="en-US"/>
                    </w:rPr>
                    <w:t>（</w:t>
                  </w:r>
                  <w:r>
                    <w:rPr>
                      <w:rFonts w:hint="eastAsia"/>
                      <w:lang w:bidi="en-US"/>
                    </w:rPr>
                    <w:t>生态环境部公安部交通运输部部令第23号</w:t>
                  </w:r>
                  <w:r>
                    <w:rPr>
                      <w:rFonts w:hint="eastAsia"/>
                      <w:lang w:eastAsia="zh-CN" w:bidi="en-US"/>
                    </w:rPr>
                    <w:t>）</w:t>
                  </w:r>
                  <w:r>
                    <w:rPr>
                      <w:rFonts w:hint="eastAsia"/>
                      <w:lang w:bidi="en-US"/>
                    </w:rPr>
                    <w:t>等相关</w:t>
                  </w:r>
                </w:p>
                <w:p>
                  <w:pPr>
                    <w:pStyle w:val="169"/>
                    <w:jc w:val="left"/>
                    <w:rPr>
                      <w:lang w:bidi="en-US"/>
                    </w:rPr>
                  </w:pPr>
                  <w:r>
                    <w:rPr>
                      <w:rFonts w:hint="eastAsia"/>
                      <w:lang w:bidi="en-US"/>
                    </w:rPr>
                    <w:t>要求。</w:t>
                  </w:r>
                </w:p>
              </w:tc>
              <w:tc>
                <w:tcPr>
                  <w:tcW w:w="1194" w:type="pct"/>
                  <w:vMerge w:val="continue"/>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2" w:type="pct"/>
                  <w:vAlign w:val="center"/>
                </w:tcPr>
                <w:p>
                  <w:pPr>
                    <w:pStyle w:val="169"/>
                  </w:pPr>
                  <w:r>
                    <w:t>7</w:t>
                  </w:r>
                </w:p>
              </w:tc>
              <w:tc>
                <w:tcPr>
                  <w:tcW w:w="3423" w:type="pct"/>
                  <w:vAlign w:val="center"/>
                </w:tcPr>
                <w:p>
                  <w:pPr>
                    <w:pStyle w:val="169"/>
                    <w:jc w:val="left"/>
                    <w:rPr>
                      <w:lang w:bidi="en-US"/>
                    </w:rPr>
                  </w:pPr>
                  <w:r>
                    <w:rPr>
                      <w:rFonts w:hint="eastAsia"/>
                      <w:lang w:bidi="en-US"/>
                    </w:rPr>
                    <w:t>噪声污染管控。规划区应合理布局企业噪声源，紧邻居住区的工业用地后续 应避免引入易发生噪声扰民的企业。入驻企业应优先选择低噪声设备，采取消声、隔声、减振等措施，确保厂界噪声达标；加强运输车辆的管理，合理规划区域运输线路和时间，采取道路两侧</w:t>
                  </w:r>
                  <w:r>
                    <w:rPr>
                      <w:lang w:bidi="en-US"/>
                    </w:rPr>
                    <w:t>设置绿化隔离带等方式减轻交通噪声对周边的环境影响</w:t>
                  </w:r>
                  <w:r>
                    <w:t>。</w:t>
                  </w:r>
                </w:p>
              </w:tc>
              <w:tc>
                <w:tcPr>
                  <w:tcW w:w="1194" w:type="pct"/>
                  <w:vMerge w:val="continue"/>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2" w:type="pct"/>
                  <w:vAlign w:val="center"/>
                </w:tcPr>
                <w:p>
                  <w:pPr>
                    <w:pStyle w:val="169"/>
                  </w:pPr>
                  <w:r>
                    <w:rPr>
                      <w:rFonts w:hint="eastAsia"/>
                    </w:rPr>
                    <w:t>8</w:t>
                  </w:r>
                </w:p>
              </w:tc>
              <w:tc>
                <w:tcPr>
                  <w:tcW w:w="3423" w:type="pct"/>
                  <w:vAlign w:val="center"/>
                </w:tcPr>
                <w:p>
                  <w:pPr>
                    <w:pStyle w:val="169"/>
                    <w:jc w:val="left"/>
                    <w:rPr>
                      <w:lang w:bidi="en-US"/>
                    </w:rPr>
                  </w:pPr>
                  <w:r>
                    <w:rPr>
                      <w:rFonts w:hint="eastAsia"/>
                      <w:lang w:bidi="en-US"/>
                    </w:rPr>
                    <w:t>土壤、地下水污染风险防控。按源头防控的原则，可能产生地下水、土壤污染的企业，应严格落实分区、分级防渗措施，防范规划实施对土壤、地下水环境造成污染。定期开展土壤、地下水跟踪监测，根据监测结果完</w:t>
                  </w:r>
                  <w:r>
                    <w:rPr>
                      <w:lang w:bidi="en-US"/>
                    </w:rPr>
                    <w:t>善污染防控措施，确保规划区土壤、地下水环境质量稳定达标。</w:t>
                  </w:r>
                </w:p>
              </w:tc>
              <w:tc>
                <w:tcPr>
                  <w:tcW w:w="1194" w:type="pct"/>
                  <w:vMerge w:val="continue"/>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2" w:type="pct"/>
                  <w:vAlign w:val="center"/>
                </w:tcPr>
                <w:p>
                  <w:pPr>
                    <w:pStyle w:val="169"/>
                  </w:pPr>
                  <w:r>
                    <w:rPr>
                      <w:rFonts w:hint="eastAsia"/>
                    </w:rPr>
                    <w:t>9</w:t>
                  </w:r>
                </w:p>
              </w:tc>
              <w:tc>
                <w:tcPr>
                  <w:tcW w:w="3423" w:type="pct"/>
                  <w:vAlign w:val="center"/>
                </w:tcPr>
                <w:p>
                  <w:pPr>
                    <w:pStyle w:val="169"/>
                    <w:jc w:val="left"/>
                    <w:rPr>
                      <w:lang w:bidi="en-US"/>
                    </w:rPr>
                  </w:pPr>
                  <w:r>
                    <w:rPr>
                      <w:rFonts w:hint="eastAsia"/>
                      <w:lang w:bidi="en-US"/>
                    </w:rPr>
                    <w:t>碳排放管控。按照碳达峰、碳中和相关政策要求，统筹抓好碳排放控制管理和生态环境保护工作，推动实现减污降碳协同共治。入驻企业应采用先进的生产工艺技术，提高能源综合利用效率，从源头减少和控制温室气体排放。园区应建立碳排放管理制度，从源头控制碳排放强度，加强碳排放重点企业管控。加强园区建筑、交通低碳化发展，强化绿色低碳理念宣传教育，促进园区产业绿色低碳循环发展。</w:t>
                  </w:r>
                </w:p>
              </w:tc>
              <w:tc>
                <w:tcPr>
                  <w:tcW w:w="1194" w:type="pct"/>
                  <w:vMerge w:val="continue"/>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2" w:type="pct"/>
                  <w:vAlign w:val="center"/>
                </w:tcPr>
                <w:p>
                  <w:pPr>
                    <w:pStyle w:val="169"/>
                  </w:pPr>
                  <w:r>
                    <w:rPr>
                      <w:rFonts w:hint="eastAsia"/>
                    </w:rPr>
                    <w:t>10</w:t>
                  </w:r>
                </w:p>
              </w:tc>
              <w:tc>
                <w:tcPr>
                  <w:tcW w:w="3423" w:type="pct"/>
                  <w:vAlign w:val="center"/>
                </w:tcPr>
                <w:p>
                  <w:pPr>
                    <w:pStyle w:val="169"/>
                    <w:jc w:val="left"/>
                    <w:rPr>
                      <w:lang w:bidi="en-US"/>
                    </w:rPr>
                  </w:pPr>
                  <w:r>
                    <w:rPr>
                      <w:rFonts w:hint="eastAsia"/>
                      <w:lang w:bidi="en-US"/>
                    </w:rPr>
                    <w:t>规划区应严格执行环境风险防范的相关法律法规和政策要 求，建立健全环境风险防范体系，完善区域层面环境风险防范措 施，尽快完成园区级事故池建设，全面杜绝事故废水外排。园区管理部门应加强对企业环境风险源的监督管理，相关企业应严格落实各项环境风险防范措施，防范突发性环境风险事故发生。严格控制项目环境风险，合理布局生产装置及危险化学品仓储等设</w:t>
                  </w:r>
                  <w:r>
                    <w:rPr>
                      <w:lang w:bidi="en-US"/>
                    </w:rPr>
                    <w:t>施。涉及重点风险源企业的危险品生产装置、储存区或罐区应在</w:t>
                  </w:r>
                  <w:r>
                    <w:rPr>
                      <w:rFonts w:hint="eastAsia"/>
                      <w:lang w:bidi="en-US"/>
                    </w:rPr>
                    <w:t>装置区周围设置围堰及导流设施，围堰、围堤外设置切换阀并连接企业事故池。规划区应根据后续开发建设情况及时修订园区环境风险应急预案。</w:t>
                  </w:r>
                </w:p>
              </w:tc>
              <w:tc>
                <w:tcPr>
                  <w:tcW w:w="1194" w:type="pct"/>
                  <w:vMerge w:val="continue"/>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2" w:type="pct"/>
                  <w:vAlign w:val="center"/>
                </w:tcPr>
                <w:p>
                  <w:pPr>
                    <w:pStyle w:val="169"/>
                  </w:pPr>
                  <w:r>
                    <w:rPr>
                      <w:rFonts w:hint="eastAsia"/>
                    </w:rPr>
                    <w:t>11</w:t>
                  </w:r>
                </w:p>
              </w:tc>
              <w:tc>
                <w:tcPr>
                  <w:tcW w:w="3423" w:type="pct"/>
                  <w:vAlign w:val="center"/>
                </w:tcPr>
                <w:p>
                  <w:pPr>
                    <w:pStyle w:val="169"/>
                    <w:jc w:val="left"/>
                    <w:rPr>
                      <w:lang w:bidi="en-US"/>
                    </w:rPr>
                  </w:pPr>
                  <w:r>
                    <w:rPr>
                      <w:rFonts w:hint="eastAsia"/>
                      <w:lang w:bidi="en-US"/>
                    </w:rPr>
                    <w:t>加强日常环境监管，严格执行建设项目环境影响评价和固定 污染源排污许可制度。规划区应建立环境空气、地表水、地下水、土壤等环境要素的监控体系，落实环境跟踪监测计划，适时开展 环境影响跟踪评价。规划的实施范围、适用期限、规模、结构和布局等方面发生重大调整或修订的，应重新进行规划环境影响评价。表面处理加工区规划修编应当单独编制规划并开展规划环境影响评价。</w:t>
                  </w:r>
                </w:p>
                <w:p>
                  <w:pPr>
                    <w:pStyle w:val="169"/>
                    <w:jc w:val="left"/>
                    <w:rPr>
                      <w:lang w:bidi="en-US"/>
                    </w:rPr>
                  </w:pPr>
                  <w:r>
                    <w:rPr>
                      <w:rFonts w:hint="eastAsia"/>
                      <w:lang w:bidi="en-US"/>
                    </w:rPr>
                    <w:t>规划区拟引入的建设项目应结合规划环评提出的指导意见做 好环境影响评价工作，加强与规划环评的联动，重点做好工程分析、污染物允许排放量测算和环保措施可行性论证等内容。规划环评中规划协调性分析、环境现状、污染源调查等符合要求的资料可供建设项目环评共享。</w:t>
                  </w:r>
                </w:p>
              </w:tc>
              <w:tc>
                <w:tcPr>
                  <w:tcW w:w="1194" w:type="pct"/>
                  <w:vMerge w:val="continue"/>
                  <w:vAlign w:val="center"/>
                </w:tcPr>
                <w:p>
                  <w:pPr>
                    <w:pStyle w:val="169"/>
                  </w:pPr>
                </w:p>
              </w:tc>
            </w:tr>
          </w:tbl>
          <w:p>
            <w:pPr>
              <w:pStyle w:val="169"/>
              <w:spacing w:line="360" w:lineRule="auto"/>
              <w:ind w:firstLine="480"/>
              <w:jc w:val="left"/>
              <w:rPr>
                <w:sz w:val="24"/>
                <w:szCs w:val="24"/>
              </w:rPr>
            </w:pPr>
          </w:p>
          <w:p>
            <w:pPr>
              <w:pStyle w:val="169"/>
              <w:spacing w:line="360" w:lineRule="auto"/>
              <w:ind w:firstLine="480"/>
              <w:jc w:val="left"/>
              <w:rPr>
                <w:sz w:val="24"/>
                <w:szCs w:val="24"/>
              </w:rPr>
            </w:pPr>
            <w:r>
              <w:rPr>
                <w:rFonts w:hint="eastAsia"/>
                <w:sz w:val="24"/>
                <w:szCs w:val="24"/>
              </w:rPr>
              <w:t>根据表1.1-1~1.1-2分析可知，项目与《</w:t>
            </w:r>
            <w:r>
              <w:rPr>
                <w:rFonts w:hint="eastAsia"/>
                <w:bCs/>
                <w:sz w:val="24"/>
                <w:szCs w:val="24"/>
              </w:rPr>
              <w:t>大足高新区邮亭组团规划</w:t>
            </w:r>
            <w:r>
              <w:rPr>
                <w:rFonts w:hint="eastAsia"/>
                <w:sz w:val="24"/>
                <w:szCs w:val="24"/>
              </w:rPr>
              <w:t>环境影响报告书》及其审查意见要求是相符的。</w:t>
            </w:r>
          </w:p>
        </w:tc>
      </w:tr>
    </w:tbl>
    <w:p>
      <w:pPr>
        <w:pStyle w:val="169"/>
        <w:jc w:val="left"/>
        <w:rPr>
          <w:sz w:val="24"/>
          <w:szCs w:val="24"/>
        </w:rPr>
        <w:sectPr>
          <w:footerReference r:id="rId11" w:type="default"/>
          <w:pgSz w:w="11906" w:h="16838"/>
          <w:pgMar w:top="1701" w:right="1531" w:bottom="1701" w:left="1531" w:header="851" w:footer="1077" w:gutter="0"/>
          <w:pgNumType w:start="1"/>
          <w:cols w:space="720" w:num="1"/>
          <w:docGrid w:linePitch="312" w:charSpace="0"/>
        </w:sectPr>
      </w:pPr>
    </w:p>
    <w:tbl>
      <w:tblPr>
        <w:tblStyle w:val="88"/>
        <w:tblpPr w:leftFromText="180" w:rightFromText="180" w:vertAnchor="text" w:tblpY="1"/>
        <w:tblOverlap w:val="never"/>
        <w:tblW w:w="8900" w:type="dxa"/>
        <w:tblInd w:w="-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4"/>
        <w:gridCol w:w="8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05" w:hRule="atLeast"/>
        </w:trPr>
        <w:tc>
          <w:tcPr>
            <w:tcW w:w="454" w:type="dxa"/>
            <w:tcMar>
              <w:top w:w="16" w:type="dxa"/>
              <w:left w:w="16" w:type="dxa"/>
              <w:right w:w="16" w:type="dxa"/>
            </w:tcMar>
            <w:vAlign w:val="center"/>
          </w:tcPr>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其他符合性分析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其他符合性分析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其他符合性分析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其他符合性分析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其他符合性分析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其他符合性分析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其他符合性分析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其他符合性分析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其他符合性分析</w:t>
            </w: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jc w:val="left"/>
              <w:rPr>
                <w:sz w:val="24"/>
                <w:szCs w:val="24"/>
              </w:rPr>
            </w:pPr>
          </w:p>
        </w:tc>
        <w:tc>
          <w:tcPr>
            <w:tcW w:w="8446" w:type="dxa"/>
            <w:vAlign w:val="center"/>
          </w:tcPr>
          <w:p>
            <w:pPr>
              <w:pStyle w:val="4"/>
              <w:numPr>
                <w:ilvl w:val="0"/>
                <w:numId w:val="0"/>
              </w:numPr>
              <w:spacing w:before="120" w:after="120"/>
              <w:rPr>
                <w:sz w:val="28"/>
                <w:szCs w:val="28"/>
              </w:rPr>
            </w:pPr>
            <w:r>
              <w:rPr>
                <w:rFonts w:hint="eastAsia"/>
                <w:sz w:val="28"/>
                <w:szCs w:val="28"/>
              </w:rPr>
              <w:t>1.2其他符合性分析</w:t>
            </w:r>
          </w:p>
          <w:p>
            <w:pPr>
              <w:pStyle w:val="5"/>
              <w:numPr>
                <w:ilvl w:val="0"/>
                <w:numId w:val="0"/>
              </w:numPr>
              <w:rPr>
                <w:sz w:val="24"/>
                <w:szCs w:val="24"/>
              </w:rPr>
            </w:pPr>
            <w:r>
              <w:rPr>
                <w:rFonts w:hint="eastAsia"/>
                <w:sz w:val="24"/>
                <w:szCs w:val="24"/>
              </w:rPr>
              <w:t>1.2.1与《产业结构调整指导目录》的符合性分析</w:t>
            </w:r>
          </w:p>
          <w:p>
            <w:r>
              <w:t>根据</w:t>
            </w:r>
            <w:r>
              <w:fldChar w:fldCharType="begin"/>
            </w:r>
            <w:r>
              <w:instrText xml:space="preserve"> HYPERLINK "http://www.sdpc.gov.cn/zcfb/zcfbl/2013ling/W020130226380863208670.pdf" </w:instrText>
            </w:r>
            <w:r>
              <w:fldChar w:fldCharType="separate"/>
            </w:r>
            <w:r>
              <w:rPr>
                <w:rStyle w:val="143"/>
                <w:color w:val="auto"/>
                <w:u w:val="none"/>
              </w:rPr>
              <w:t>《产业结构调整指导目录（201</w:t>
            </w:r>
            <w:r>
              <w:rPr>
                <w:rStyle w:val="143"/>
                <w:rFonts w:hint="eastAsia"/>
                <w:color w:val="auto"/>
                <w:u w:val="none"/>
              </w:rPr>
              <w:t>9</w:t>
            </w:r>
            <w:r>
              <w:rPr>
                <w:rStyle w:val="143"/>
                <w:color w:val="auto"/>
                <w:u w:val="none"/>
              </w:rPr>
              <w:t>年本）</w:t>
            </w:r>
            <w:r>
              <w:rPr>
                <w:rStyle w:val="143"/>
                <w:rFonts w:hint="eastAsia"/>
                <w:color w:val="auto"/>
                <w:u w:val="none"/>
              </w:rPr>
              <w:t>（2021年修改）</w:t>
            </w:r>
            <w:r>
              <w:rPr>
                <w:rStyle w:val="143"/>
                <w:color w:val="auto"/>
                <w:u w:val="none"/>
              </w:rPr>
              <w:t>》有关条款的</w:t>
            </w:r>
            <w:r>
              <w:rPr>
                <w:rStyle w:val="143"/>
                <w:rFonts w:hint="eastAsia"/>
                <w:color w:val="auto"/>
                <w:u w:val="none"/>
              </w:rPr>
              <w:t>规定</w:t>
            </w:r>
            <w:r>
              <w:rPr>
                <w:rStyle w:val="143"/>
                <w:rFonts w:hint="eastAsia"/>
                <w:color w:val="auto"/>
                <w:u w:val="none"/>
              </w:rPr>
              <w:fldChar w:fldCharType="end"/>
            </w:r>
            <w:r>
              <w:t>，</w:t>
            </w:r>
            <w:r>
              <w:rPr>
                <w:rFonts w:hint="eastAsia"/>
              </w:rPr>
              <w:t>足航公司炼钢除尘灰入炉回收铁元素不属于“鼓励、限制、淘汰类”。为允许类，符合国家产业政策的要求。</w:t>
            </w:r>
          </w:p>
          <w:p>
            <w:r>
              <w:rPr>
                <w:rFonts w:hint="eastAsia"/>
              </w:rPr>
              <w:t>重庆市双桥经开区经济发展局以颁布《重庆市企业投资项目备案证》（编码为2311</w:t>
            </w:r>
            <w:r>
              <w:t>-500111-04-0</w:t>
            </w:r>
            <w:r>
              <w:rPr>
                <w:rFonts w:hint="eastAsia"/>
              </w:rPr>
              <w:t>5</w:t>
            </w:r>
            <w:r>
              <w:t>-</w:t>
            </w:r>
            <w:r>
              <w:rPr>
                <w:rFonts w:hint="eastAsia"/>
              </w:rPr>
              <w:t>246203）的形式同意本项目备案建设。</w:t>
            </w:r>
          </w:p>
          <w:p>
            <w:pPr>
              <w:ind w:firstLine="0" w:firstLineChars="0"/>
              <w:rPr>
                <w:b/>
                <w:bCs/>
              </w:rPr>
            </w:pPr>
            <w:r>
              <w:rPr>
                <w:rFonts w:hint="eastAsia"/>
                <w:b/>
                <w:bCs/>
              </w:rPr>
              <w:t>1.2.2与《重庆市“十四五”大宗固体废弃物综合利用实施方案》的符合性分析</w:t>
            </w:r>
          </w:p>
          <w:p>
            <w:r>
              <w:rPr>
                <w:rFonts w:hint="eastAsia"/>
              </w:rPr>
              <w:t>根据《重庆市“十四五”大宗固体废弃物综合利用实施方案》</w:t>
            </w:r>
            <w:r>
              <w:rPr>
                <w:rFonts w:hint="eastAsia"/>
                <w:bCs/>
              </w:rPr>
              <w:t>（渝发改规范（2022）3号）</w:t>
            </w:r>
            <w:r>
              <w:rPr>
                <w:rFonts w:hint="eastAsia"/>
              </w:rPr>
              <w:t>中“（十三）因地制宜，推动大宗固废综合利用模式创新。以汽车、电子电器等行业为重点，完善零部件制造—生产—销售—回收—拆解—资源利用的工业固废循环产业链，推动形成绿色生产模式。在矿山行业建立‘梯级回收+生态修复+封存保护’体系，推动绿色矿山建设。推广钢铁冶金行业“固废不出厂”全量化利用模式、建筑垃圾“原地再生+异地处理”模式和农业领域“工农复合”多产业协同发展模式。因地制宜推动大宗固废多产业、多品种协同利用，形成可复制、可推广的大宗固废综合利用发展新模式。”</w:t>
            </w:r>
          </w:p>
          <w:p>
            <w:r>
              <w:rPr>
                <w:rFonts w:hint="eastAsia"/>
              </w:rPr>
              <w:t>项目通过对除尘灰进行回炉利用，既减少了除尘灰的排放量，又回收了除尘灰中的铁元素等，减少企业原辅料用量，符合《重庆市“十四五”大宗固体废弃物综合利用实施方案》（渝发改规范（2022）3号）中的相关要求。</w:t>
            </w:r>
          </w:p>
          <w:p>
            <w:pPr>
              <w:ind w:firstLine="0" w:firstLineChars="0"/>
              <w:rPr>
                <w:b/>
              </w:rPr>
            </w:pPr>
            <w:r>
              <w:rPr>
                <w:rFonts w:hint="eastAsia"/>
                <w:b/>
              </w:rPr>
              <w:t>1.2.3与《重庆市“十四五”工业固体废物污染环境防治规划》的符合性分析</w:t>
            </w:r>
          </w:p>
          <w:p>
            <w:pPr>
              <w:ind w:firstLine="0" w:firstLineChars="0"/>
              <w:rPr>
                <w:bCs/>
              </w:rPr>
            </w:pPr>
            <w:r>
              <w:rPr>
                <w:rFonts w:hint="eastAsia"/>
              </w:rPr>
              <w:t xml:space="preserve">    根据《重庆市“十四五”工业固体废物污染环境防治规划》中“第三节 提高工业固体废物利用水平，研发推广工业危险废物资源化利用技术。</w:t>
            </w:r>
            <w:r>
              <w:rPr>
                <w:bCs/>
              </w:rPr>
              <w:t>……</w:t>
            </w:r>
            <w:r>
              <w:rPr>
                <w:rFonts w:hint="eastAsia"/>
                <w:bCs/>
              </w:rPr>
              <w:t>支持引入成熟的资源化技术与装备，鼓励工业危险废物进行工艺和设施优化升级，提高固废资源化利用处置率，完善危险废物利用链条，切实提升危险废物资源化质量和水平。</w:t>
            </w:r>
            <w:r>
              <w:rPr>
                <w:rFonts w:hint="eastAsia"/>
              </w:rPr>
              <w:t>”</w:t>
            </w:r>
          </w:p>
          <w:p>
            <w:pPr>
              <w:ind w:firstLine="0" w:firstLineChars="0"/>
            </w:pPr>
            <w:r>
              <w:rPr>
                <w:rFonts w:hint="eastAsia"/>
              </w:rPr>
              <w:t xml:space="preserve">    项目利用电弧炉对电炉除尘灰进行回炉利用，工艺可行，减少了除尘灰的排放量，实现了危险废物源头减量与资源化利用，符合《重庆市“十四五”工业固体废物污染环境防治规划》中的相关要求。</w:t>
            </w:r>
          </w:p>
          <w:p>
            <w:pPr>
              <w:ind w:firstLine="0" w:firstLineChars="0"/>
              <w:rPr>
                <w:b/>
              </w:rPr>
            </w:pPr>
            <w:r>
              <w:rPr>
                <w:rFonts w:hint="eastAsia"/>
                <w:b/>
              </w:rPr>
              <w:t>1.2.4</w:t>
            </w:r>
            <w:r>
              <w:rPr>
                <w:b/>
              </w:rPr>
              <w:t>与《中华人民共和国循环经济促进法》</w:t>
            </w:r>
            <w:r>
              <w:rPr>
                <w:rFonts w:hint="eastAsia"/>
                <w:b/>
              </w:rPr>
              <w:t>的</w:t>
            </w:r>
            <w:r>
              <w:rPr>
                <w:b/>
              </w:rPr>
              <w:t xml:space="preserve">符合性分析 </w:t>
            </w:r>
          </w:p>
          <w:p>
            <w:r>
              <w:t xml:space="preserve">《中华人民共和国循环经济促进法》中明确：“第四章 再利用和资源化 第二十九条 县级以上人民政府应当统筹规划区域经济布局，合理调整产业结构，促进企业在资源综合利用等领域进行合作，实现资源的高效利用和循环使用。……，第三十七条 国家鼓励和推进废物回收体系建设。地方人民政府应当按照城乡规划，合理布局废物回收网点和交易市场，支持废物回收企业和其他组织开展废物的收集、储存、运输及信息交流。” </w:t>
            </w:r>
          </w:p>
          <w:p>
            <w:r>
              <w:rPr>
                <w:rFonts w:hint="eastAsia"/>
              </w:rPr>
              <w:t>项目通过对危废除尘灰进行资源化利用，</w:t>
            </w:r>
            <w:r>
              <w:t>符合“循环经济促进法”的精神和要求。</w:t>
            </w:r>
          </w:p>
          <w:p>
            <w:pPr>
              <w:ind w:firstLine="0" w:firstLineChars="0"/>
              <w:rPr>
                <w:b/>
              </w:rPr>
            </w:pPr>
            <w:r>
              <w:rPr>
                <w:rFonts w:hint="eastAsia"/>
                <w:b/>
              </w:rPr>
              <w:t>1.2.5与</w:t>
            </w:r>
            <w:r>
              <w:rPr>
                <w:b/>
              </w:rPr>
              <w:t>《中华人民共和国固体废物污染环境防治法》</w:t>
            </w:r>
            <w:r>
              <w:rPr>
                <w:rFonts w:hint="eastAsia"/>
                <w:b/>
              </w:rPr>
              <w:t>的符合性分析</w:t>
            </w:r>
          </w:p>
          <w:p>
            <w:r>
              <w:rPr>
                <w:rFonts w:hint="eastAsia"/>
              </w:rPr>
              <w:t>项目与《</w:t>
            </w:r>
            <w:r>
              <w:t>中华人民共和国固体废物污染环境防治法》</w:t>
            </w:r>
            <w:r>
              <w:rPr>
                <w:rFonts w:hint="eastAsia"/>
              </w:rPr>
              <w:t>的符合性分析见</w:t>
            </w:r>
            <w:r>
              <w:t>表</w:t>
            </w:r>
            <w:r>
              <w:rPr>
                <w:rFonts w:hint="eastAsia"/>
              </w:rPr>
              <w:t>1.2-1。</w:t>
            </w:r>
          </w:p>
          <w:p>
            <w:pPr>
              <w:pStyle w:val="178"/>
              <w:rPr>
                <w:rFonts w:eastAsia="宋体"/>
                <w:color w:val="auto"/>
                <w:sz w:val="24"/>
                <w:szCs w:val="24"/>
              </w:rPr>
            </w:pPr>
            <w:r>
              <w:rPr>
                <w:rFonts w:hint="eastAsia" w:eastAsia="宋体"/>
                <w:color w:val="auto"/>
                <w:sz w:val="24"/>
                <w:szCs w:val="24"/>
              </w:rPr>
              <w:t>表 1.2-1</w:t>
            </w:r>
            <w:r>
              <w:rPr>
                <w:rFonts w:eastAsia="宋体"/>
                <w:color w:val="auto"/>
                <w:sz w:val="24"/>
                <w:szCs w:val="24"/>
              </w:rPr>
              <w:t>与《中华人民共和国固体废物污染环境防治法》符合性</w:t>
            </w:r>
            <w:r>
              <w:rPr>
                <w:rFonts w:hint="eastAsia" w:eastAsia="宋体"/>
                <w:color w:val="auto"/>
                <w:sz w:val="24"/>
                <w:szCs w:val="24"/>
              </w:rPr>
              <w:t>分析表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5"/>
              <w:gridCol w:w="226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85" w:type="dxa"/>
                </w:tcPr>
                <w:p>
                  <w:pPr>
                    <w:pStyle w:val="178"/>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与项目相关的要求</w:t>
                  </w:r>
                </w:p>
              </w:tc>
              <w:tc>
                <w:tcPr>
                  <w:tcW w:w="2268" w:type="dxa"/>
                </w:tcPr>
                <w:p>
                  <w:pPr>
                    <w:pStyle w:val="178"/>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w:t>
                  </w:r>
                  <w:r>
                    <w:rPr>
                      <w:rFonts w:asciiTheme="minorEastAsia" w:hAnsiTheme="minorEastAsia" w:eastAsiaTheme="minorEastAsia"/>
                      <w:color w:val="auto"/>
                      <w:szCs w:val="21"/>
                    </w:rPr>
                    <w:t>情况</w:t>
                  </w:r>
                </w:p>
              </w:tc>
              <w:tc>
                <w:tcPr>
                  <w:tcW w:w="858" w:type="dxa"/>
                </w:tcPr>
                <w:p>
                  <w:pPr>
                    <w:pStyle w:val="178"/>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85" w:type="dxa"/>
                </w:tcPr>
                <w:p>
                  <w:pPr>
                    <w:pStyle w:val="169"/>
                    <w:jc w:val="both"/>
                  </w:pPr>
                  <w:r>
                    <w:t>第</w:t>
                  </w:r>
                  <w:r>
                    <w:rPr>
                      <w:rFonts w:hint="eastAsia"/>
                    </w:rPr>
                    <w:t>四</w:t>
                  </w:r>
                  <w:r>
                    <w:t xml:space="preserve">条 </w:t>
                  </w:r>
                  <w:r>
                    <w:rPr>
                      <w:rFonts w:hint="eastAsia"/>
                    </w:rPr>
                    <w:t>固体废物污染环境防治坚持减量化、资源化和无害化的原则。任何单位和个人都应当采取措施，减少固体废物的产生量，促进固体废物的综合利用，降低固体废物的危害性。</w:t>
                  </w:r>
                </w:p>
              </w:tc>
              <w:tc>
                <w:tcPr>
                  <w:tcW w:w="2268" w:type="dxa"/>
                  <w:vAlign w:val="center"/>
                </w:tcPr>
                <w:p>
                  <w:pPr>
                    <w:pStyle w:val="169"/>
                    <w:spacing w:before="16" w:after="16"/>
                  </w:pPr>
                  <w:r>
                    <w:rPr>
                      <w:rFonts w:hint="eastAsia"/>
                    </w:rPr>
                    <w:t>项目将炼钢产生的除尘灰回收利用，实现了减量化、资源化。</w:t>
                  </w:r>
                </w:p>
              </w:tc>
              <w:tc>
                <w:tcPr>
                  <w:tcW w:w="858" w:type="dxa"/>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85" w:type="dxa"/>
                  <w:vAlign w:val="center"/>
                </w:tcPr>
                <w:p>
                  <w:pPr>
                    <w:pStyle w:val="169"/>
                    <w:jc w:val="both"/>
                  </w:pPr>
                  <w:r>
                    <w:t>第</w:t>
                  </w:r>
                  <w:r>
                    <w:rPr>
                      <w:rFonts w:hint="eastAsia"/>
                    </w:rPr>
                    <w:t>二十一</w:t>
                  </w:r>
                  <w:r>
                    <w:t xml:space="preserve">条 </w:t>
                  </w:r>
                  <w:r>
                    <w:rPr>
                      <w:rFonts w:hint="eastAsia"/>
                    </w:rPr>
                    <w:t>在生态保护红线区域、永久基本农田集中区域和其他需要特别保护的区域内，禁止建设工业固体废物、危险废物集中贮存、利用、处置的设施、场所和生活垃圾填埋场。</w:t>
                  </w:r>
                </w:p>
              </w:tc>
              <w:tc>
                <w:tcPr>
                  <w:tcW w:w="2268" w:type="dxa"/>
                  <w:vAlign w:val="center"/>
                </w:tcPr>
                <w:p>
                  <w:pPr>
                    <w:pStyle w:val="169"/>
                    <w:spacing w:before="16" w:after="16"/>
                  </w:pPr>
                  <w:r>
                    <w:rPr>
                      <w:rFonts w:hint="eastAsia"/>
                    </w:rPr>
                    <w:t>项目位于</w:t>
                  </w:r>
                  <w:r>
                    <w:rPr>
                      <w:rFonts w:hint="eastAsia"/>
                      <w:bCs/>
                    </w:rPr>
                    <w:t>大足高新区邮亭组团，不在生态环境敏感区内。</w:t>
                  </w:r>
                </w:p>
              </w:tc>
              <w:tc>
                <w:tcPr>
                  <w:tcW w:w="858" w:type="dxa"/>
                  <w:vAlign w:val="center"/>
                </w:tcPr>
                <w:p>
                  <w:pPr>
                    <w:pStyle w:val="169"/>
                    <w:spacing w:before="16" w:after="16"/>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85" w:type="dxa"/>
                  <w:vAlign w:val="center"/>
                </w:tcPr>
                <w:p>
                  <w:pPr>
                    <w:pStyle w:val="169"/>
                    <w:jc w:val="both"/>
                  </w:pPr>
                  <w:r>
                    <w:rPr>
                      <w:rFonts w:hint="eastAsia"/>
                    </w:rPr>
                    <w:t>第七十七条　对危险废物的容器和包装物以及收集、贮存、运输、利用、处置危险废物的设施、场所，应当按照规定设置危险废物识别标志。</w:t>
                  </w:r>
                </w:p>
              </w:tc>
              <w:tc>
                <w:tcPr>
                  <w:tcW w:w="2268" w:type="dxa"/>
                  <w:vMerge w:val="restart"/>
                  <w:vAlign w:val="center"/>
                </w:tcPr>
                <w:p>
                  <w:pPr>
                    <w:pStyle w:val="169"/>
                    <w:spacing w:before="16" w:after="16"/>
                  </w:pPr>
                  <w:r>
                    <w:rPr>
                      <w:rFonts w:hint="eastAsia"/>
                    </w:rPr>
                    <w:t xml:space="preserve">项目按要求设置了危废暂存间，对炼钢除尘灰设置了危废识别标志，严格实施防扬散、防流失、防腐防渗等措 </w:t>
                  </w:r>
                </w:p>
                <w:p>
                  <w:pPr>
                    <w:pStyle w:val="169"/>
                    <w:spacing w:before="16" w:after="16"/>
                  </w:pPr>
                  <w:r>
                    <w:rPr>
                      <w:rFonts w:hint="eastAsia"/>
                    </w:rPr>
                    <w:t>施</w:t>
                  </w:r>
                </w:p>
              </w:tc>
              <w:tc>
                <w:tcPr>
                  <w:tcW w:w="858" w:type="dxa"/>
                  <w:vMerge w:val="restart"/>
                  <w:vAlign w:val="center"/>
                </w:tcPr>
                <w:p>
                  <w:pPr>
                    <w:pStyle w:val="169"/>
                    <w:spacing w:before="16" w:after="16"/>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85" w:type="dxa"/>
                  <w:vAlign w:val="center"/>
                </w:tcPr>
                <w:p>
                  <w:pPr>
                    <w:pStyle w:val="169"/>
                    <w:jc w:val="both"/>
                  </w:pPr>
                  <w:r>
                    <w:rPr>
                      <w:rFonts w:hint="eastAsia"/>
                    </w:rPr>
                    <w:t>第七十九条　产生危险废物的单位，应当按照国家有关规定和环境保护标准要求贮存、利用、处置危险废物，不得擅自倾倒、堆放。</w:t>
                  </w:r>
                </w:p>
              </w:tc>
              <w:tc>
                <w:tcPr>
                  <w:tcW w:w="2268" w:type="dxa"/>
                  <w:vMerge w:val="continue"/>
                  <w:vAlign w:val="center"/>
                </w:tcPr>
                <w:p>
                  <w:pPr>
                    <w:pStyle w:val="169"/>
                    <w:spacing w:before="16" w:after="16"/>
                  </w:pPr>
                </w:p>
              </w:tc>
              <w:tc>
                <w:tcPr>
                  <w:tcW w:w="858" w:type="dxa"/>
                  <w:vMerge w:val="continue"/>
                  <w:vAlign w:val="center"/>
                </w:tcPr>
                <w:p>
                  <w:pPr>
                    <w:pStyle w:val="169"/>
                    <w:spacing w:before="16" w:after="16"/>
                  </w:pPr>
                </w:p>
              </w:tc>
            </w:tr>
          </w:tbl>
          <w:p/>
          <w:p>
            <w:r>
              <w:rPr>
                <w:rFonts w:hint="eastAsia"/>
              </w:rPr>
              <w:t>根据表1.2-1分析结果，项目符合《</w:t>
            </w:r>
            <w:r>
              <w:t>中华人民共和国固体废物污染环境防治法》</w:t>
            </w:r>
            <w:r>
              <w:rPr>
                <w:rFonts w:hint="eastAsia"/>
              </w:rPr>
              <w:t>相关要求。</w:t>
            </w:r>
          </w:p>
          <w:p>
            <w:pPr>
              <w:ind w:firstLine="0" w:firstLineChars="0"/>
              <w:rPr>
                <w:b/>
              </w:rPr>
            </w:pPr>
            <w:r>
              <w:rPr>
                <w:rFonts w:hint="eastAsia"/>
                <w:b/>
              </w:rPr>
              <w:t>1.2.6与《危险废物污染防治技术政策》的符合性分析</w:t>
            </w:r>
          </w:p>
          <w:p>
            <w:r>
              <w:rPr>
                <w:rFonts w:hint="eastAsia"/>
              </w:rPr>
              <w:t>项目与《危险废物污染防治技术政策</w:t>
            </w:r>
            <w:r>
              <w:t>》</w:t>
            </w:r>
            <w:r>
              <w:rPr>
                <w:rFonts w:hint="eastAsia"/>
              </w:rPr>
              <w:t>（环发</w:t>
            </w:r>
            <w:r>
              <w:rPr>
                <w:rFonts w:hint="eastAsia"/>
                <w:lang w:eastAsia="zh-CN"/>
              </w:rPr>
              <w:t>〔</w:t>
            </w:r>
            <w:r>
              <w:rPr>
                <w:rFonts w:hint="eastAsia"/>
              </w:rPr>
              <w:t>2001</w:t>
            </w:r>
            <w:r>
              <w:rPr>
                <w:rFonts w:hint="eastAsia"/>
                <w:lang w:eastAsia="zh-CN"/>
              </w:rPr>
              <w:t>〕</w:t>
            </w:r>
            <w:r>
              <w:rPr>
                <w:rFonts w:hint="eastAsia"/>
              </w:rPr>
              <w:t>199号）的符合性分析见</w:t>
            </w:r>
            <w:r>
              <w:t>表</w:t>
            </w:r>
            <w:r>
              <w:rPr>
                <w:rFonts w:hint="eastAsia"/>
              </w:rPr>
              <w:t>1.2-2。</w:t>
            </w:r>
          </w:p>
          <w:p/>
          <w:p>
            <w:pPr>
              <w:pStyle w:val="178"/>
              <w:rPr>
                <w:rFonts w:eastAsia="宋体"/>
                <w:color w:val="auto"/>
                <w:sz w:val="24"/>
                <w:szCs w:val="24"/>
              </w:rPr>
            </w:pPr>
            <w:r>
              <w:rPr>
                <w:rFonts w:hint="eastAsia" w:eastAsia="宋体"/>
                <w:color w:val="auto"/>
                <w:sz w:val="24"/>
                <w:szCs w:val="24"/>
              </w:rPr>
              <w:t>表 1.2-2</w:t>
            </w:r>
            <w:r>
              <w:rPr>
                <w:rFonts w:eastAsia="宋体"/>
                <w:color w:val="auto"/>
                <w:sz w:val="24"/>
                <w:szCs w:val="24"/>
              </w:rPr>
              <w:t>与《</w:t>
            </w:r>
            <w:r>
              <w:rPr>
                <w:rFonts w:hint="eastAsia" w:eastAsia="宋体"/>
                <w:color w:val="auto"/>
                <w:sz w:val="24"/>
                <w:szCs w:val="24"/>
              </w:rPr>
              <w:t>危险废物污染防治技术政策</w:t>
            </w:r>
            <w:r>
              <w:rPr>
                <w:rFonts w:eastAsia="宋体"/>
                <w:color w:val="auto"/>
                <w:sz w:val="24"/>
                <w:szCs w:val="24"/>
              </w:rPr>
              <w:t>》符合性</w:t>
            </w:r>
            <w:r>
              <w:rPr>
                <w:rFonts w:hint="eastAsia" w:eastAsia="宋体"/>
                <w:color w:val="auto"/>
                <w:sz w:val="24"/>
                <w:szCs w:val="24"/>
              </w:rPr>
              <w:t>分析表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5"/>
              <w:gridCol w:w="226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85" w:type="dxa"/>
                </w:tcPr>
                <w:p>
                  <w:pPr>
                    <w:pStyle w:val="178"/>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与项目相关的要求</w:t>
                  </w:r>
                </w:p>
              </w:tc>
              <w:tc>
                <w:tcPr>
                  <w:tcW w:w="2268" w:type="dxa"/>
                </w:tcPr>
                <w:p>
                  <w:pPr>
                    <w:pStyle w:val="178"/>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w:t>
                  </w:r>
                  <w:r>
                    <w:rPr>
                      <w:rFonts w:asciiTheme="minorEastAsia" w:hAnsiTheme="minorEastAsia" w:eastAsiaTheme="minorEastAsia"/>
                      <w:color w:val="auto"/>
                      <w:szCs w:val="21"/>
                    </w:rPr>
                    <w:t>情况</w:t>
                  </w:r>
                </w:p>
              </w:tc>
              <w:tc>
                <w:tcPr>
                  <w:tcW w:w="858" w:type="dxa"/>
                </w:tcPr>
                <w:p>
                  <w:pPr>
                    <w:pStyle w:val="178"/>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85" w:type="dxa"/>
                </w:tcPr>
                <w:p>
                  <w:pPr>
                    <w:pStyle w:val="169"/>
                    <w:jc w:val="both"/>
                  </w:pPr>
                  <w:r>
                    <w:rPr>
                      <w:rFonts w:hint="eastAsia"/>
                    </w:rPr>
                    <w:t>危险废物减量化适用于任何产生危险废物的工艺过程。各级政府应通过经济和其他政策措施促进企业清洁生产，防止和减少危险废物的产生。</w:t>
                  </w:r>
                </w:p>
              </w:tc>
              <w:tc>
                <w:tcPr>
                  <w:tcW w:w="2268" w:type="dxa"/>
                  <w:vMerge w:val="restart"/>
                  <w:vAlign w:val="center"/>
                </w:tcPr>
                <w:p>
                  <w:pPr>
                    <w:pStyle w:val="169"/>
                    <w:spacing w:before="16" w:after="16"/>
                  </w:pPr>
                  <w:r>
                    <w:rPr>
                      <w:rFonts w:hint="eastAsia"/>
                    </w:rPr>
                    <w:t>项目将炼钢产生的除尘灰在生产系统内回收利用，实现了减量化、资源化。</w:t>
                  </w:r>
                </w:p>
              </w:tc>
              <w:tc>
                <w:tcPr>
                  <w:tcW w:w="858" w:type="dxa"/>
                  <w:vMerge w:val="restart"/>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85" w:type="dxa"/>
                  <w:vAlign w:val="center"/>
                </w:tcPr>
                <w:p>
                  <w:pPr>
                    <w:pStyle w:val="169"/>
                    <w:jc w:val="both"/>
                  </w:pPr>
                  <w:r>
                    <w:rPr>
                      <w:rFonts w:hint="eastAsia"/>
                    </w:rPr>
                    <w:t>已产生的危险废物应首先考虑回收利用，减少后续处理处置的负荷。回收利用过程应达到国家和地方有关规定的要求，避免二次污染。生产过程中产生的危险废物，应积极推行生产系统内的回收利用。</w:t>
                  </w:r>
                </w:p>
              </w:tc>
              <w:tc>
                <w:tcPr>
                  <w:tcW w:w="2268" w:type="dxa"/>
                  <w:vMerge w:val="continue"/>
                  <w:vAlign w:val="center"/>
                </w:tcPr>
                <w:p>
                  <w:pPr>
                    <w:pStyle w:val="169"/>
                    <w:spacing w:before="16" w:after="16"/>
                  </w:pPr>
                </w:p>
              </w:tc>
              <w:tc>
                <w:tcPr>
                  <w:tcW w:w="858" w:type="dxa"/>
                  <w:vMerge w:val="continue"/>
                  <w:vAlign w:val="center"/>
                </w:tcPr>
                <w:p>
                  <w:pPr>
                    <w:pStyle w:val="169"/>
                    <w:spacing w:before="16" w:after="16"/>
                  </w:pPr>
                </w:p>
              </w:tc>
            </w:tr>
          </w:tbl>
          <w:p/>
          <w:p>
            <w:r>
              <w:rPr>
                <w:rFonts w:hint="eastAsia"/>
              </w:rPr>
              <w:t>根据表1.2-2分析结果，项目符合《危险废物污染防治技术政策</w:t>
            </w:r>
            <w:r>
              <w:t>》</w:t>
            </w:r>
            <w:r>
              <w:rPr>
                <w:rFonts w:hint="eastAsia"/>
              </w:rPr>
              <w:t>（环发</w:t>
            </w:r>
            <w:r>
              <w:rPr>
                <w:rFonts w:hint="eastAsia"/>
                <w:lang w:eastAsia="zh-CN"/>
              </w:rPr>
              <w:t>〔</w:t>
            </w:r>
            <w:r>
              <w:rPr>
                <w:rFonts w:hint="eastAsia"/>
              </w:rPr>
              <w:t>2001</w:t>
            </w:r>
            <w:r>
              <w:rPr>
                <w:rFonts w:hint="eastAsia"/>
                <w:lang w:eastAsia="zh-CN"/>
              </w:rPr>
              <w:t>〕</w:t>
            </w:r>
            <w:r>
              <w:rPr>
                <w:rFonts w:hint="eastAsia"/>
              </w:rPr>
              <w:t>199号）相关要求。</w:t>
            </w:r>
          </w:p>
          <w:p>
            <w:pPr>
              <w:ind w:firstLine="0" w:firstLineChars="0"/>
              <w:rPr>
                <w:b/>
              </w:rPr>
            </w:pPr>
            <w:r>
              <w:rPr>
                <w:rFonts w:hint="eastAsia"/>
                <w:b/>
              </w:rPr>
              <w:t>1.2.7与《国务院办公厅关于印发强化危险废物监管和利用处置能力改革实施方案的通知》的符合性分析</w:t>
            </w:r>
          </w:p>
          <w:p>
            <w:r>
              <w:rPr>
                <w:rFonts w:hint="eastAsia"/>
              </w:rPr>
              <w:t>《国务院办公厅关于印发强化危险废物监管和利用处置能力改革实施方案的通知》</w:t>
            </w:r>
            <w:r>
              <w:rPr>
                <w:bCs/>
              </w:rPr>
              <w:t>（国办函〔2021〕47号）</w:t>
            </w:r>
            <w:r>
              <w:rPr>
                <w:rFonts w:hint="eastAsia"/>
                <w:bCs/>
              </w:rPr>
              <w:t>提出：</w:t>
            </w:r>
            <w:r>
              <w:rPr>
                <w:bCs/>
              </w:rPr>
              <w:t>“推动源头减量化。支持研发、推广减少工业危险废物产生量和降低工业危险废物危害性的生产工艺和设备，促进从源头上减少危险废物产生量、降低危害性</w:t>
            </w:r>
            <w:r>
              <w:rPr>
                <w:rFonts w:hint="eastAsia"/>
                <w:bCs/>
              </w:rPr>
              <w:t>。</w:t>
            </w:r>
            <w:r>
              <w:rPr>
                <w:bCs/>
              </w:rPr>
              <w:t>”</w:t>
            </w:r>
            <w:r>
              <w:rPr>
                <w:rFonts w:hint="eastAsia"/>
              </w:rPr>
              <w:t xml:space="preserve"> </w:t>
            </w:r>
          </w:p>
          <w:p>
            <w:r>
              <w:rPr>
                <w:rFonts w:hint="eastAsia"/>
              </w:rPr>
              <w:t>项目将产生的炼钢除尘灰回炉利用，从源头上减少了危险废物产生量，符合《国务院办公厅关于印发强化危险废物监管和利用处置能力改革实施方案的通知》</w:t>
            </w:r>
            <w:r>
              <w:rPr>
                <w:bCs/>
              </w:rPr>
              <w:t>（国办函〔2021〕47号）</w:t>
            </w:r>
            <w:r>
              <w:rPr>
                <w:rFonts w:hint="eastAsia"/>
              </w:rPr>
              <w:t>的相关要求。</w:t>
            </w:r>
          </w:p>
          <w:p>
            <w:pPr>
              <w:ind w:firstLine="0" w:firstLineChars="0"/>
              <w:rPr>
                <w:b/>
              </w:rPr>
            </w:pPr>
            <w:r>
              <w:rPr>
                <w:rFonts w:hint="eastAsia"/>
                <w:b/>
              </w:rPr>
              <w:t>1.2.8与《关于提升危险废物环境监管能力、利用处置能力和环境风险防范能力的指导意见》的符合性分析</w:t>
            </w:r>
          </w:p>
          <w:p>
            <w:pPr>
              <w:ind w:firstLine="470" w:firstLineChars="196"/>
            </w:pPr>
            <w:r>
              <w:rPr>
                <w:rFonts w:hint="eastAsia"/>
              </w:rPr>
              <w:t>《关于提升危险废物环境监管能力、利用处置能力和环境风险防范能力的指导意见》</w:t>
            </w:r>
            <w:r>
              <w:rPr>
                <w:rFonts w:hint="eastAsia"/>
                <w:lang w:eastAsia="zh-CN"/>
              </w:rPr>
              <w:t>（</w:t>
            </w:r>
            <w:r>
              <w:rPr>
                <w:rFonts w:hint="eastAsia"/>
              </w:rPr>
              <w:t>环固体〔2019〕92号</w:t>
            </w:r>
            <w:r>
              <w:rPr>
                <w:rFonts w:hint="eastAsia"/>
                <w:lang w:eastAsia="zh-CN"/>
              </w:rPr>
              <w:t>）</w:t>
            </w:r>
            <w:r>
              <w:rPr>
                <w:rFonts w:hint="eastAsia"/>
              </w:rPr>
              <w:t>中提出</w:t>
            </w:r>
            <w:r>
              <w:rPr>
                <w:rFonts w:hint="eastAsia"/>
                <w:bCs/>
              </w:rPr>
              <w:t>：</w:t>
            </w:r>
            <w:r>
              <w:rPr>
                <w:bCs/>
              </w:rPr>
              <w:t>“</w:t>
            </w:r>
            <w:r>
              <w:rPr>
                <w:rFonts w:hint="eastAsia"/>
                <w:bCs/>
              </w:rPr>
              <w:t>着力强化危险废物利用处置能力</w:t>
            </w:r>
            <w:r>
              <w:rPr>
                <w:bCs/>
              </w:rPr>
              <w:t>。</w:t>
            </w:r>
            <w:r>
              <w:rPr>
                <w:rFonts w:hint="eastAsia"/>
                <w:bCs/>
              </w:rPr>
              <w:t>促进危险废物源头减量与资源化利用。企业应采取清洁生产等措施，从源头减少危险废物的产生量和危害性，优先实行企业内部资源化利用危险废物。</w:t>
            </w:r>
            <w:r>
              <w:rPr>
                <w:bCs/>
              </w:rPr>
              <w:t>”</w:t>
            </w:r>
            <w:r>
              <w:rPr>
                <w:rFonts w:hint="eastAsia"/>
              </w:rPr>
              <w:t xml:space="preserve"> </w:t>
            </w:r>
          </w:p>
          <w:p>
            <w:r>
              <w:rPr>
                <w:rFonts w:hint="eastAsia"/>
              </w:rPr>
              <w:t>项目通过对炼钢除尘灰进行回炉利用，既减少了除尘灰的排放量，又回收了除尘灰中的铁元素等，实现了危险废物源头减量与资源化利用，与《关于提升危险废物环境监管能力、利用处置能力和环境风险防范能力的指导意见》</w:t>
            </w:r>
            <w:r>
              <w:rPr>
                <w:rFonts w:hint="eastAsia"/>
                <w:lang w:eastAsia="zh-CN"/>
              </w:rPr>
              <w:t>（</w:t>
            </w:r>
            <w:r>
              <w:rPr>
                <w:rFonts w:hint="eastAsia"/>
              </w:rPr>
              <w:t>环固体〔2019〕92号</w:t>
            </w:r>
            <w:r>
              <w:rPr>
                <w:rFonts w:hint="eastAsia"/>
                <w:lang w:eastAsia="zh-CN"/>
              </w:rPr>
              <w:t>）</w:t>
            </w:r>
            <w:r>
              <w:rPr>
                <w:rFonts w:hint="eastAsia"/>
              </w:rPr>
              <w:t>是相符的。</w:t>
            </w:r>
          </w:p>
          <w:p>
            <w:pPr>
              <w:ind w:firstLine="0" w:firstLineChars="0"/>
              <w:rPr>
                <w:b/>
              </w:rPr>
            </w:pPr>
            <w:r>
              <w:rPr>
                <w:rFonts w:hint="eastAsia"/>
                <w:b/>
              </w:rPr>
              <w:t>1.2.9与《重庆市人民政府办公厅关于印发重庆市强化危险废物监管和利用处置能力改革工作方案的通知》的符合性分析</w:t>
            </w:r>
          </w:p>
          <w:p>
            <w:pPr>
              <w:ind w:firstLine="470" w:firstLineChars="196"/>
            </w:pPr>
            <w:r>
              <w:rPr>
                <w:rFonts w:hint="eastAsia"/>
              </w:rPr>
              <w:t>《重庆市人民政府办公厅关于印发重庆市强化危险废物监管和利用处置能力改革工作方案的通知》（渝府办发〔2022〕17号）中提出</w:t>
            </w:r>
            <w:r>
              <w:rPr>
                <w:rFonts w:hint="eastAsia"/>
                <w:bCs/>
              </w:rPr>
              <w:t>：</w:t>
            </w:r>
            <w:r>
              <w:rPr>
                <w:bCs/>
              </w:rPr>
              <w:t>“</w:t>
            </w:r>
            <w:r>
              <w:rPr>
                <w:rFonts w:hint="eastAsia"/>
                <w:bCs/>
              </w:rPr>
              <w:t>推动源头减量化。推行绿色设计，支持研发、推广减少工业危险废物产生量和降低工业危险废物危害性的生产工艺和设备，依法依规实施工业企业强制性清洁生产审核，鼓励年产废量1万吨以上企业、工业园区，配套建设危险废物利用处置设施。</w:t>
            </w:r>
            <w:r>
              <w:rPr>
                <w:bCs/>
              </w:rPr>
              <w:t>”</w:t>
            </w:r>
            <w:r>
              <w:rPr>
                <w:rFonts w:hint="eastAsia"/>
              </w:rPr>
              <w:t xml:space="preserve"> </w:t>
            </w:r>
          </w:p>
          <w:p>
            <w:r>
              <w:rPr>
                <w:rFonts w:hint="eastAsia"/>
              </w:rPr>
              <w:t>项目利用现有电弧炉对炼钢除尘灰回炉利用，工艺可行，从源头上减少了危险废物产生量，符合《重庆市人民政府办公厅关于印发重庆市强化危险废物监管和利用处置能力改革工作方案的通知》（渝府办发〔2022〕17号）中的相关要求。</w:t>
            </w:r>
          </w:p>
          <w:p>
            <w:pPr>
              <w:ind w:firstLine="0" w:firstLineChars="0"/>
              <w:rPr>
                <w:b/>
              </w:rPr>
            </w:pPr>
            <w:r>
              <w:rPr>
                <w:rFonts w:hint="eastAsia"/>
                <w:b/>
              </w:rPr>
              <w:t>1.2.10与《固体废物再生利用污染防治技术导则》的符合性分析</w:t>
            </w:r>
          </w:p>
          <w:p>
            <w:r>
              <w:rPr>
                <w:rFonts w:hint="eastAsia"/>
              </w:rPr>
              <w:t>项目与《固体废物再生利用污染防治技术导则》的符合性分析见</w:t>
            </w:r>
            <w:r>
              <w:t>表</w:t>
            </w:r>
            <w:r>
              <w:rPr>
                <w:rFonts w:hint="eastAsia"/>
              </w:rPr>
              <w:t>1.2-3。</w:t>
            </w:r>
          </w:p>
          <w:p>
            <w:pPr>
              <w:pStyle w:val="178"/>
              <w:rPr>
                <w:rFonts w:eastAsia="宋体"/>
                <w:color w:val="auto"/>
                <w:sz w:val="24"/>
                <w:szCs w:val="24"/>
              </w:rPr>
            </w:pPr>
            <w:r>
              <w:rPr>
                <w:rFonts w:hint="eastAsia" w:eastAsia="宋体"/>
                <w:color w:val="auto"/>
                <w:sz w:val="24"/>
                <w:szCs w:val="24"/>
              </w:rPr>
              <w:t xml:space="preserve">表 1.2-3 </w:t>
            </w:r>
            <w:r>
              <w:rPr>
                <w:rFonts w:eastAsia="宋体"/>
                <w:color w:val="auto"/>
                <w:sz w:val="24"/>
                <w:szCs w:val="24"/>
              </w:rPr>
              <w:t>与《</w:t>
            </w:r>
            <w:r>
              <w:rPr>
                <w:rFonts w:hint="eastAsia" w:eastAsia="宋体"/>
                <w:color w:val="auto"/>
                <w:sz w:val="24"/>
                <w:szCs w:val="24"/>
              </w:rPr>
              <w:t>固体废物再生利用污染防治技术导则</w:t>
            </w:r>
            <w:r>
              <w:rPr>
                <w:rFonts w:eastAsia="宋体"/>
                <w:color w:val="auto"/>
                <w:sz w:val="24"/>
                <w:szCs w:val="24"/>
              </w:rPr>
              <w:t>》符合性</w:t>
            </w:r>
            <w:r>
              <w:rPr>
                <w:rFonts w:hint="eastAsia" w:eastAsia="宋体"/>
                <w:color w:val="auto"/>
                <w:sz w:val="24"/>
                <w:szCs w:val="24"/>
              </w:rPr>
              <w:t>分析表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1"/>
              <w:gridCol w:w="3402"/>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051" w:type="dxa"/>
                </w:tcPr>
                <w:p>
                  <w:pPr>
                    <w:pStyle w:val="178"/>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与项目相关的要求</w:t>
                  </w:r>
                </w:p>
              </w:tc>
              <w:tc>
                <w:tcPr>
                  <w:tcW w:w="3402" w:type="dxa"/>
                </w:tcPr>
                <w:p>
                  <w:pPr>
                    <w:pStyle w:val="178"/>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w:t>
                  </w:r>
                  <w:r>
                    <w:rPr>
                      <w:rFonts w:asciiTheme="minorEastAsia" w:hAnsiTheme="minorEastAsia" w:eastAsiaTheme="minorEastAsia"/>
                      <w:color w:val="auto"/>
                      <w:szCs w:val="21"/>
                    </w:rPr>
                    <w:t>情况</w:t>
                  </w:r>
                </w:p>
              </w:tc>
              <w:tc>
                <w:tcPr>
                  <w:tcW w:w="858" w:type="dxa"/>
                </w:tcPr>
                <w:p>
                  <w:pPr>
                    <w:pStyle w:val="178"/>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11" w:type="dxa"/>
                  <w:gridSpan w:val="3"/>
                </w:tcPr>
                <w:p>
                  <w:pPr>
                    <w:pStyle w:val="178"/>
                    <w:ind w:firstLine="0" w:firstLineChars="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051" w:type="dxa"/>
                </w:tcPr>
                <w:p>
                  <w:pPr>
                    <w:pStyle w:val="169"/>
                    <w:jc w:val="both"/>
                  </w:pPr>
                  <w:r>
                    <w:rPr>
                      <w:rFonts w:hint="eastAsia"/>
                      <w:bCs/>
                    </w:rPr>
                    <w:t>4.1</w:t>
                  </w:r>
                  <w:r>
                    <w:rPr>
                      <w:bCs/>
                    </w:rPr>
                    <w:t>固体废物再生利用应遵循环境安全优先的原则，保证固体废物再生利用全过程的环境安全与人体健康</w:t>
                  </w:r>
                  <w:r>
                    <w:rPr>
                      <w:rFonts w:hint="eastAsia"/>
                    </w:rPr>
                    <w:t>。</w:t>
                  </w:r>
                </w:p>
              </w:tc>
              <w:tc>
                <w:tcPr>
                  <w:tcW w:w="3402" w:type="dxa"/>
                  <w:vAlign w:val="center"/>
                </w:tcPr>
                <w:p>
                  <w:pPr>
                    <w:pStyle w:val="169"/>
                    <w:spacing w:before="16" w:after="16"/>
                  </w:pPr>
                  <w:r>
                    <w:rPr>
                      <w:rFonts w:hint="eastAsia"/>
                    </w:rPr>
                    <w:t>项目炼钢除尘灰的暂存满足</w:t>
                  </w:r>
                  <w:r>
                    <w:rPr>
                      <w:bCs/>
                    </w:rPr>
                    <w:t>《危险废物贮存污染控制标准》（GB 18597-2023）的要求</w:t>
                  </w:r>
                  <w:r>
                    <w:rPr>
                      <w:rFonts w:hint="eastAsia"/>
                    </w:rPr>
                    <w:t>，</w:t>
                  </w:r>
                  <w:r>
                    <w:rPr>
                      <w:bCs/>
                    </w:rPr>
                    <w:t>利用过程的污染物能实现可防可控确保项目利用过程的环境安全与人体健康</w:t>
                  </w:r>
                  <w:r>
                    <w:rPr>
                      <w:rFonts w:hint="eastAsia"/>
                      <w:bCs/>
                    </w:rPr>
                    <w:t>。</w:t>
                  </w:r>
                </w:p>
              </w:tc>
              <w:tc>
                <w:tcPr>
                  <w:tcW w:w="858" w:type="dxa"/>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051" w:type="dxa"/>
                  <w:vAlign w:val="center"/>
                </w:tcPr>
                <w:p>
                  <w:pPr>
                    <w:pStyle w:val="169"/>
                    <w:jc w:val="both"/>
                  </w:pPr>
                  <w:r>
                    <w:rPr>
                      <w:rFonts w:hint="eastAsia"/>
                      <w:bCs/>
                    </w:rPr>
                    <w:t>4.2</w:t>
                  </w:r>
                  <w:r>
                    <w:rPr>
                      <w:bCs/>
                    </w:rPr>
                    <w:t>进行固体废物再生利用技术选择时，应在固体废物再生利用技术生命周期评价结果的基础上，结合相关法规及行业的产业政策要求</w:t>
                  </w:r>
                  <w:r>
                    <w:rPr>
                      <w:rFonts w:hint="eastAsia"/>
                    </w:rPr>
                    <w:t>。</w:t>
                  </w:r>
                </w:p>
              </w:tc>
              <w:tc>
                <w:tcPr>
                  <w:tcW w:w="3402" w:type="dxa"/>
                  <w:vAlign w:val="center"/>
                </w:tcPr>
                <w:p>
                  <w:pPr>
                    <w:pStyle w:val="169"/>
                    <w:spacing w:before="16" w:after="16"/>
                  </w:pPr>
                  <w:r>
                    <w:rPr>
                      <w:rFonts w:hint="eastAsia"/>
                    </w:rPr>
                    <w:t>项目采用电弧炉对炼钢除尘灰进行回收利用，该技术成熟可靠</w:t>
                  </w:r>
                  <w:r>
                    <w:rPr>
                      <w:rFonts w:hint="eastAsia"/>
                      <w:bCs/>
                    </w:rPr>
                    <w:t>，符合国家和地方产业政策要求。</w:t>
                  </w:r>
                </w:p>
              </w:tc>
              <w:tc>
                <w:tcPr>
                  <w:tcW w:w="858" w:type="dxa"/>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051" w:type="dxa"/>
                  <w:vAlign w:val="center"/>
                </w:tcPr>
                <w:p>
                  <w:pPr>
                    <w:pStyle w:val="169"/>
                    <w:jc w:val="both"/>
                    <w:rPr>
                      <w:bCs/>
                    </w:rPr>
                  </w:pPr>
                  <w:r>
                    <w:rPr>
                      <w:rFonts w:hint="eastAsia"/>
                      <w:bCs/>
                    </w:rPr>
                    <w:t>4.3</w:t>
                  </w:r>
                  <w:r>
                    <w:rPr>
                      <w:bCs/>
                    </w:rPr>
                    <w:t>固体废物再生利用建设项目的选址应符合区域性环境保护规划和当地的城乡总体规划</w:t>
                  </w:r>
                  <w:r>
                    <w:rPr>
                      <w:rFonts w:hint="eastAsia"/>
                      <w:bCs/>
                    </w:rPr>
                    <w:t>。</w:t>
                  </w:r>
                </w:p>
              </w:tc>
              <w:tc>
                <w:tcPr>
                  <w:tcW w:w="3402" w:type="dxa"/>
                  <w:vAlign w:val="center"/>
                </w:tcPr>
                <w:p>
                  <w:pPr>
                    <w:pStyle w:val="169"/>
                    <w:spacing w:before="16" w:after="16"/>
                  </w:pPr>
                  <w:r>
                    <w:rPr>
                      <w:rFonts w:hint="eastAsia"/>
                    </w:rPr>
                    <w:t>项目选址于</w:t>
                  </w:r>
                  <w:r>
                    <w:rPr>
                      <w:rFonts w:hint="eastAsia"/>
                      <w:bCs/>
                    </w:rPr>
                    <w:t>大足高新区邮亭组团，符合</w:t>
                  </w:r>
                  <w:r>
                    <w:rPr>
                      <w:bCs/>
                    </w:rPr>
                    <w:t>环境保护规划和当地的城乡总体规划</w:t>
                  </w:r>
                  <w:r>
                    <w:rPr>
                      <w:rFonts w:hint="eastAsia"/>
                      <w:bCs/>
                    </w:rPr>
                    <w:t>。</w:t>
                  </w:r>
                </w:p>
              </w:tc>
              <w:tc>
                <w:tcPr>
                  <w:tcW w:w="858" w:type="dxa"/>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051" w:type="dxa"/>
                  <w:vAlign w:val="center"/>
                </w:tcPr>
                <w:p>
                  <w:pPr>
                    <w:pStyle w:val="169"/>
                    <w:jc w:val="both"/>
                    <w:rPr>
                      <w:bCs/>
                    </w:rPr>
                  </w:pPr>
                  <w:r>
                    <w:rPr>
                      <w:rFonts w:hint="eastAsia"/>
                      <w:bCs/>
                    </w:rPr>
                    <w:t>4.4</w:t>
                  </w:r>
                  <w:r>
                    <w:rPr>
                      <w:bCs/>
                    </w:rPr>
                    <w:t>固体废物再生利用建设项目的设计、施工、验收和运行应遵守国家现行的相关法规的规定，同时建立完善的环境管理制度，包括环境影响评价、环境管理计划、环境保护责任、排污许可、监测、信息公开、环境应急预案和环境保护档案管理等制度</w:t>
                  </w:r>
                  <w:r>
                    <w:rPr>
                      <w:rFonts w:hint="eastAsia"/>
                      <w:bCs/>
                    </w:rPr>
                    <w:t>。</w:t>
                  </w:r>
                </w:p>
              </w:tc>
              <w:tc>
                <w:tcPr>
                  <w:tcW w:w="3402" w:type="dxa"/>
                  <w:vAlign w:val="center"/>
                </w:tcPr>
                <w:p>
                  <w:pPr>
                    <w:pStyle w:val="169"/>
                    <w:spacing w:before="16" w:after="16"/>
                  </w:pPr>
                  <w:r>
                    <w:rPr>
                      <w:rFonts w:hint="eastAsia"/>
                    </w:rPr>
                    <w:t>项目的设计</w:t>
                  </w:r>
                  <w:r>
                    <w:rPr>
                      <w:bCs/>
                    </w:rPr>
                    <w:t>、施工、验收和运行</w:t>
                  </w:r>
                  <w:r>
                    <w:rPr>
                      <w:rFonts w:hint="eastAsia"/>
                      <w:bCs/>
                    </w:rPr>
                    <w:t>将</w:t>
                  </w:r>
                  <w:r>
                    <w:rPr>
                      <w:bCs/>
                    </w:rPr>
                    <w:t>遵守国家现行的相关法规的规定，同时建立完善的环境管理制度</w:t>
                  </w:r>
                  <w:r>
                    <w:rPr>
                      <w:rFonts w:hint="eastAsia"/>
                      <w:bCs/>
                    </w:rPr>
                    <w:t>。</w:t>
                  </w:r>
                </w:p>
              </w:tc>
              <w:tc>
                <w:tcPr>
                  <w:tcW w:w="858" w:type="dxa"/>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051" w:type="dxa"/>
                  <w:vAlign w:val="center"/>
                </w:tcPr>
                <w:p>
                  <w:pPr>
                    <w:pStyle w:val="169"/>
                    <w:jc w:val="both"/>
                    <w:rPr>
                      <w:bCs/>
                    </w:rPr>
                  </w:pPr>
                  <w:r>
                    <w:rPr>
                      <w:rFonts w:hint="eastAsia"/>
                      <w:bCs/>
                    </w:rPr>
                    <w:t>4.5</w:t>
                  </w:r>
                  <w:r>
                    <w:rPr>
                      <w:bCs/>
                    </w:rPr>
                    <w:t>应对固体废物再生利用各技术环节的环境污染因子进行识别，采取有效污染控制措施，配备污染物监测设备设施，避免污染物的无组织排放，防止发生二次污染，妥善处置产生的废物</w:t>
                  </w:r>
                  <w:r>
                    <w:rPr>
                      <w:rFonts w:hint="eastAsia"/>
                      <w:bCs/>
                    </w:rPr>
                    <w:t>。</w:t>
                  </w:r>
                </w:p>
              </w:tc>
              <w:tc>
                <w:tcPr>
                  <w:tcW w:w="3402" w:type="dxa"/>
                  <w:vAlign w:val="center"/>
                </w:tcPr>
                <w:p>
                  <w:pPr>
                    <w:pStyle w:val="169"/>
                    <w:spacing w:before="16" w:after="16"/>
                  </w:pPr>
                  <w:r>
                    <w:rPr>
                      <w:rFonts w:hint="eastAsia"/>
                    </w:rPr>
                    <w:t>项目电炉废气采用</w:t>
                  </w:r>
                  <w:r>
                    <w:t>“第四孔排烟+上料隧道+</w:t>
                  </w:r>
                  <w:r>
                    <w:rPr>
                      <w:rFonts w:hint="eastAsia"/>
                    </w:rPr>
                    <w:t>密闭罩+</w:t>
                  </w:r>
                  <w:r>
                    <w:t>屋顶罩+布袋除尘器”的方式处理达标后</w:t>
                  </w:r>
                  <w:r>
                    <w:rPr>
                      <w:rFonts w:hint="eastAsia"/>
                    </w:rPr>
                    <w:t>高空排放。</w:t>
                  </w:r>
                </w:p>
              </w:tc>
              <w:tc>
                <w:tcPr>
                  <w:tcW w:w="858" w:type="dxa"/>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051" w:type="dxa"/>
                  <w:vAlign w:val="center"/>
                </w:tcPr>
                <w:p>
                  <w:pPr>
                    <w:pStyle w:val="169"/>
                    <w:jc w:val="both"/>
                    <w:rPr>
                      <w:bCs/>
                    </w:rPr>
                  </w:pPr>
                  <w:r>
                    <w:rPr>
                      <w:rFonts w:hint="eastAsia"/>
                      <w:bCs/>
                    </w:rPr>
                    <w:t>4.6</w:t>
                  </w:r>
                  <w:r>
                    <w:rPr>
                      <w:bCs/>
                    </w:rPr>
                    <w:t>固体废物再生利用过程产生的各种污染物的排放应满足国家和地方的污染物排放（控制）标准与排污许可要求</w:t>
                  </w:r>
                </w:p>
              </w:tc>
              <w:tc>
                <w:tcPr>
                  <w:tcW w:w="3402" w:type="dxa"/>
                  <w:vAlign w:val="center"/>
                </w:tcPr>
                <w:p>
                  <w:pPr>
                    <w:pStyle w:val="169"/>
                    <w:spacing w:before="16" w:after="16"/>
                  </w:pPr>
                  <w:r>
                    <w:rPr>
                      <w:rFonts w:hint="eastAsia"/>
                    </w:rPr>
                    <w:t>项目废气污染物排放能满足相应标准要求。</w:t>
                  </w:r>
                </w:p>
              </w:tc>
              <w:tc>
                <w:tcPr>
                  <w:tcW w:w="858" w:type="dxa"/>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11" w:type="dxa"/>
                  <w:gridSpan w:val="3"/>
                  <w:vAlign w:val="center"/>
                </w:tcPr>
                <w:p>
                  <w:pPr>
                    <w:pStyle w:val="169"/>
                    <w:spacing w:before="16" w:after="16"/>
                    <w:rPr>
                      <w:b/>
                    </w:rPr>
                  </w:pPr>
                  <w:r>
                    <w:rPr>
                      <w:b/>
                      <w:bCs/>
                    </w:rPr>
                    <w:t>主要工艺单元污染防治技术要求  一般规定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051" w:type="dxa"/>
                  <w:vAlign w:val="center"/>
                </w:tcPr>
                <w:p>
                  <w:pPr>
                    <w:pStyle w:val="169"/>
                    <w:jc w:val="both"/>
                    <w:rPr>
                      <w:bCs/>
                    </w:rPr>
                  </w:pPr>
                  <w:r>
                    <w:rPr>
                      <w:rFonts w:hint="eastAsia"/>
                      <w:bCs/>
                    </w:rPr>
                    <w:t>5.1.1</w:t>
                  </w:r>
                  <w:r>
                    <w:rPr>
                      <w:bCs/>
                    </w:rPr>
                    <w:t>进行再生利用作业前，应明确固体废物的理化特性，并采取相应的安全防护措施，以防止固体废物在清洗、破碎、中和反应等过程中引起有毒有害物质的释放</w:t>
                  </w:r>
                  <w:r>
                    <w:rPr>
                      <w:rFonts w:hint="eastAsia"/>
                      <w:bCs/>
                    </w:rPr>
                    <w:t>。</w:t>
                  </w:r>
                </w:p>
              </w:tc>
              <w:tc>
                <w:tcPr>
                  <w:tcW w:w="3402" w:type="dxa"/>
                  <w:vAlign w:val="center"/>
                </w:tcPr>
                <w:p>
                  <w:pPr>
                    <w:pStyle w:val="169"/>
                    <w:spacing w:before="16" w:after="16"/>
                  </w:pPr>
                  <w:r>
                    <w:rPr>
                      <w:rFonts w:hint="eastAsia"/>
                    </w:rPr>
                    <w:t>炼钢除尘灰为粉状，理化性质稳定，投入电弧炉回收利用过程中</w:t>
                  </w:r>
                  <w:r>
                    <w:rPr>
                      <w:bCs/>
                    </w:rPr>
                    <w:t>不会引起有毒有害物质的释放</w:t>
                  </w:r>
                  <w:r>
                    <w:rPr>
                      <w:rFonts w:hint="eastAsia"/>
                      <w:bCs/>
                    </w:rPr>
                    <w:t>。</w:t>
                  </w:r>
                </w:p>
              </w:tc>
              <w:tc>
                <w:tcPr>
                  <w:tcW w:w="858" w:type="dxa"/>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051" w:type="dxa"/>
                  <w:vAlign w:val="center"/>
                </w:tcPr>
                <w:p>
                  <w:pPr>
                    <w:pStyle w:val="169"/>
                    <w:jc w:val="both"/>
                    <w:rPr>
                      <w:bCs/>
                    </w:rPr>
                  </w:pPr>
                  <w:r>
                    <w:rPr>
                      <w:bCs/>
                    </w:rPr>
                    <w:t>5.1.2具有物理化学危险特性的固体废物，应首先进行稳定化处理。</w:t>
                  </w:r>
                </w:p>
              </w:tc>
              <w:tc>
                <w:tcPr>
                  <w:tcW w:w="3402" w:type="dxa"/>
                  <w:vAlign w:val="center"/>
                </w:tcPr>
                <w:p>
                  <w:pPr>
                    <w:pStyle w:val="169"/>
                    <w:spacing w:before="16" w:after="16"/>
                  </w:pPr>
                  <w:r>
                    <w:rPr>
                      <w:rFonts w:hint="eastAsia"/>
                    </w:rPr>
                    <w:t>项目理化性质稳定，回收利用前不用进行稳定化处理。</w:t>
                  </w:r>
                </w:p>
              </w:tc>
              <w:tc>
                <w:tcPr>
                  <w:tcW w:w="858" w:type="dxa"/>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051" w:type="dxa"/>
                  <w:vAlign w:val="center"/>
                </w:tcPr>
                <w:p>
                  <w:pPr>
                    <w:pStyle w:val="169"/>
                    <w:jc w:val="both"/>
                    <w:rPr>
                      <w:bCs/>
                    </w:rPr>
                  </w:pPr>
                  <w:r>
                    <w:rPr>
                      <w:bCs/>
                    </w:rPr>
                    <w:t>5.1.3应根据固体废物的特性设置必要的防扬撒、防渗漏、防</w:t>
                  </w:r>
                  <w:r>
                    <w:rPr>
                      <w:bCs/>
                    </w:rPr>
                    <w:cr/>
                  </w:r>
                  <w:r>
                    <w:rPr>
                      <w:bCs/>
                    </w:rPr>
                    <w:t>蚀设施，配备废气处理、废水处理、噪声控制等污染防治设施，按要求对主要环境影响指标进行在线监测。</w:t>
                  </w:r>
                </w:p>
              </w:tc>
              <w:tc>
                <w:tcPr>
                  <w:tcW w:w="3402" w:type="dxa"/>
                  <w:vAlign w:val="center"/>
                </w:tcPr>
                <w:p>
                  <w:pPr>
                    <w:pStyle w:val="169"/>
                    <w:spacing w:before="16" w:after="16"/>
                  </w:pPr>
                  <w:r>
                    <w:rPr>
                      <w:rFonts w:hint="eastAsia"/>
                    </w:rPr>
                    <w:t>炼钢除尘灰的储存设置了</w:t>
                  </w:r>
                  <w:r>
                    <w:rPr>
                      <w:bCs/>
                    </w:rPr>
                    <w:t>防扬撒、防渗漏、防腐蚀</w:t>
                  </w:r>
                  <w:r>
                    <w:rPr>
                      <w:rFonts w:hint="eastAsia"/>
                      <w:bCs/>
                    </w:rPr>
                    <w:t>等措施，配备了废气处理设施，设有废气在线监测。</w:t>
                  </w:r>
                </w:p>
              </w:tc>
              <w:tc>
                <w:tcPr>
                  <w:tcW w:w="858" w:type="dxa"/>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051" w:type="dxa"/>
                  <w:vAlign w:val="center"/>
                </w:tcPr>
                <w:p>
                  <w:pPr>
                    <w:pStyle w:val="169"/>
                    <w:jc w:val="both"/>
                    <w:rPr>
                      <w:bCs/>
                    </w:rPr>
                  </w:pPr>
                  <w:r>
                    <w:rPr>
                      <w:bCs/>
                    </w:rPr>
                    <w:t>5.1.4产生粉尘和有毒有害气体的作业区应采取除尘和有毒有害气体收集措施。扬尘点应设置吸尘罩和收尘设备，有毒有害气体逸散区应设置吸附（吸收）转化装置，保证作业区粉尘、有害气体浓度满足GBZ2.1的要求。</w:t>
                  </w:r>
                </w:p>
              </w:tc>
              <w:tc>
                <w:tcPr>
                  <w:tcW w:w="3402" w:type="dxa"/>
                  <w:vAlign w:val="center"/>
                </w:tcPr>
                <w:p>
                  <w:pPr>
                    <w:pStyle w:val="169"/>
                    <w:spacing w:before="16" w:after="16"/>
                  </w:pPr>
                  <w:r>
                    <w:rPr>
                      <w:rFonts w:hint="eastAsia"/>
                    </w:rPr>
                    <w:t>项目电炉废气采用</w:t>
                  </w:r>
                  <w:r>
                    <w:t>“第四孔排烟+上料隧道+</w:t>
                  </w:r>
                  <w:r>
                    <w:rPr>
                      <w:rFonts w:hint="eastAsia"/>
                    </w:rPr>
                    <w:t>密闭罩+</w:t>
                  </w:r>
                  <w:r>
                    <w:t>屋顶罩+布袋除尘器”的方式处理达标后</w:t>
                  </w:r>
                  <w:r>
                    <w:rPr>
                      <w:rFonts w:hint="eastAsia"/>
                    </w:rPr>
                    <w:t>高空排放</w:t>
                  </w:r>
                </w:p>
              </w:tc>
              <w:tc>
                <w:tcPr>
                  <w:tcW w:w="858" w:type="dxa"/>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051" w:type="dxa"/>
                  <w:vAlign w:val="center"/>
                </w:tcPr>
                <w:p>
                  <w:pPr>
                    <w:pStyle w:val="169"/>
                    <w:jc w:val="both"/>
                    <w:rPr>
                      <w:bCs/>
                    </w:rPr>
                  </w:pPr>
                  <w:r>
                    <w:rPr>
                      <w:bCs/>
                    </w:rPr>
                    <w:t>5.1.10危险废物的贮存、包装、处置等应符合GB18597、HJ2042 等危险废物专用标准的要求。</w:t>
                  </w:r>
                </w:p>
              </w:tc>
              <w:tc>
                <w:tcPr>
                  <w:tcW w:w="3402" w:type="dxa"/>
                  <w:vAlign w:val="center"/>
                </w:tcPr>
                <w:p>
                  <w:pPr>
                    <w:pStyle w:val="169"/>
                    <w:spacing w:before="16" w:after="16"/>
                  </w:pPr>
                  <w:r>
                    <w:rPr>
                      <w:rFonts w:hint="eastAsia"/>
                      <w:bCs/>
                    </w:rPr>
                    <w:t>炼钢除尘灰</w:t>
                  </w:r>
                  <w:r>
                    <w:rPr>
                      <w:bCs/>
                    </w:rPr>
                    <w:t>的贮存、包装、处置等均严格按照GB18597、HJ2042等危险废物专用标准的要求进行落实。</w:t>
                  </w:r>
                </w:p>
              </w:tc>
              <w:tc>
                <w:tcPr>
                  <w:tcW w:w="858" w:type="dxa"/>
                  <w:vAlign w:val="center"/>
                </w:tcPr>
                <w:p>
                  <w:pPr>
                    <w:pStyle w:val="169"/>
                    <w:spacing w:before="16" w:after="16"/>
                  </w:pPr>
                  <w:r>
                    <w:t>符合</w:t>
                  </w:r>
                </w:p>
              </w:tc>
            </w:tr>
          </w:tbl>
          <w:p/>
          <w:p>
            <w:r>
              <w:rPr>
                <w:rFonts w:hint="eastAsia"/>
              </w:rPr>
              <w:t>根据表1.2-3分析结果，项目符合《固体废物再生利用污染防治技术导则》相关要求。</w:t>
            </w:r>
          </w:p>
          <w:p>
            <w:pPr>
              <w:pStyle w:val="5"/>
              <w:numPr>
                <w:ilvl w:val="0"/>
                <w:numId w:val="0"/>
              </w:numPr>
              <w:rPr>
                <w:sz w:val="24"/>
                <w:szCs w:val="24"/>
              </w:rPr>
            </w:pPr>
            <w:r>
              <w:rPr>
                <w:rFonts w:hint="eastAsia"/>
                <w:sz w:val="24"/>
                <w:szCs w:val="24"/>
              </w:rPr>
              <w:t>1.2.11与《重庆市产业投资准入工作手册》的符合性分析</w:t>
            </w:r>
          </w:p>
          <w:p>
            <w:r>
              <w:rPr>
                <w:rFonts w:hint="eastAsia"/>
              </w:rPr>
              <w:t>本项目与《重庆市产业投资准入工作手册》（渝发改投[2022]1436号）符合性分析见表1.2-4。</w:t>
            </w:r>
          </w:p>
          <w:p>
            <w:pPr>
              <w:pStyle w:val="178"/>
              <w:ind w:firstLine="420"/>
              <w:rPr>
                <w:rFonts w:ascii="宋体" w:hAnsi="宋体" w:eastAsia="宋体" w:cs="宋体"/>
                <w:color w:val="auto"/>
                <w:sz w:val="24"/>
                <w:szCs w:val="24"/>
              </w:rPr>
            </w:pPr>
            <w:r>
              <w:rPr>
                <w:color w:val="auto"/>
              </w:rPr>
              <w:tab/>
            </w:r>
            <w:r>
              <w:rPr>
                <w:rFonts w:eastAsiaTheme="minorEastAsia"/>
                <w:color w:val="auto"/>
                <w:sz w:val="24"/>
                <w:szCs w:val="24"/>
              </w:rPr>
              <w:t>表1.2-</w:t>
            </w:r>
            <w:r>
              <w:rPr>
                <w:rFonts w:hint="eastAsia" w:eastAsiaTheme="minorEastAsia"/>
                <w:color w:val="auto"/>
                <w:sz w:val="24"/>
                <w:szCs w:val="24"/>
              </w:rPr>
              <w:t>4</w:t>
            </w:r>
            <w:r>
              <w:rPr>
                <w:rFonts w:hint="eastAsia"/>
                <w:color w:val="auto"/>
                <w:sz w:val="24"/>
                <w:szCs w:val="24"/>
              </w:rPr>
              <w:t xml:space="preserve">    </w:t>
            </w:r>
            <w:r>
              <w:rPr>
                <w:rFonts w:hint="eastAsia" w:ascii="宋体" w:hAnsi="宋体" w:eastAsia="宋体" w:cs="宋体"/>
                <w:color w:val="auto"/>
                <w:sz w:val="24"/>
                <w:szCs w:val="24"/>
              </w:rPr>
              <w:t>《重庆市产业投资准入工作手册》符合性分析表</w:t>
            </w:r>
          </w:p>
          <w:tbl>
            <w:tblPr>
              <w:tblStyle w:val="88"/>
              <w:tblW w:w="491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57" w:type="dxa"/>
                <w:bottom w:w="0" w:type="dxa"/>
                <w:right w:w="57" w:type="dxa"/>
              </w:tblCellMar>
            </w:tblPr>
            <w:tblGrid>
              <w:gridCol w:w="744"/>
              <w:gridCol w:w="4722"/>
              <w:gridCol w:w="28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105" w:firstLineChars="50"/>
                    <w:jc w:val="left"/>
                  </w:pPr>
                  <w:r>
                    <w:t>序号</w:t>
                  </w:r>
                </w:p>
              </w:tc>
              <w:tc>
                <w:tcPr>
                  <w:tcW w:w="2853" w:type="pct"/>
                  <w:vAlign w:val="center"/>
                </w:tcPr>
                <w:p>
                  <w:pPr>
                    <w:pStyle w:val="169"/>
                    <w:ind w:firstLine="210" w:firstLineChars="100"/>
                    <w:jc w:val="left"/>
                  </w:pPr>
                  <w:r>
                    <w:rPr>
                      <w:rFonts w:hint="eastAsia"/>
                    </w:rPr>
                    <w:t>《重庆市产业投资准入工作手册》相关要求</w:t>
                  </w:r>
                </w:p>
              </w:tc>
              <w:tc>
                <w:tcPr>
                  <w:tcW w:w="1697" w:type="pct"/>
                  <w:vAlign w:val="center"/>
                </w:tcPr>
                <w:p>
                  <w:pPr>
                    <w:pStyle w:val="169"/>
                    <w:ind w:firstLine="480"/>
                  </w:pPr>
                  <w:r>
                    <w:t>符合性分析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一</w:t>
                  </w:r>
                </w:p>
              </w:tc>
              <w:tc>
                <w:tcPr>
                  <w:tcW w:w="4550" w:type="pct"/>
                  <w:gridSpan w:val="2"/>
                  <w:vAlign w:val="center"/>
                </w:tcPr>
                <w:p>
                  <w:pPr>
                    <w:pStyle w:val="169"/>
                    <w:ind w:firstLine="2473" w:firstLineChars="1178"/>
                    <w:jc w:val="left"/>
                  </w:pPr>
                  <w:r>
                    <w:rPr>
                      <w:rFonts w:hint="eastAsia"/>
                    </w:rPr>
                    <w:t>全市范围内不准入的产业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1</w:t>
                  </w:r>
                </w:p>
              </w:tc>
              <w:tc>
                <w:tcPr>
                  <w:tcW w:w="2853" w:type="pct"/>
                  <w:vAlign w:val="center"/>
                </w:tcPr>
                <w:p>
                  <w:pPr>
                    <w:pStyle w:val="182"/>
                    <w:ind w:firstLine="0" w:firstLineChars="0"/>
                  </w:pPr>
                  <w:r>
                    <w:rPr>
                      <w:rFonts w:hint="eastAsia"/>
                    </w:rPr>
                    <w:t>国家产业结构调整指导目录中的淘汰类项目。</w:t>
                  </w:r>
                </w:p>
              </w:tc>
              <w:tc>
                <w:tcPr>
                  <w:tcW w:w="1697" w:type="pct"/>
                  <w:vAlign w:val="center"/>
                </w:tcPr>
                <w:p>
                  <w:pPr>
                    <w:pStyle w:val="182"/>
                    <w:ind w:firstLine="0" w:firstLineChars="0"/>
                    <w:jc w:val="center"/>
                  </w:pPr>
                  <w:r>
                    <w:rPr>
                      <w:rFonts w:hint="eastAsia"/>
                    </w:rPr>
                    <w:t>本项目为允许类建设项目。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2</w:t>
                  </w:r>
                </w:p>
              </w:tc>
              <w:tc>
                <w:tcPr>
                  <w:tcW w:w="2853" w:type="pct"/>
                  <w:vAlign w:val="center"/>
                </w:tcPr>
                <w:p>
                  <w:pPr>
                    <w:pStyle w:val="182"/>
                    <w:ind w:firstLine="0" w:firstLineChars="0"/>
                  </w:pPr>
                  <w:r>
                    <w:rPr>
                      <w:rFonts w:hint="eastAsia"/>
                    </w:rPr>
                    <w:t>天然林商业性采伐。</w:t>
                  </w:r>
                </w:p>
              </w:tc>
              <w:tc>
                <w:tcPr>
                  <w:tcW w:w="1697" w:type="pct"/>
                  <w:vAlign w:val="center"/>
                </w:tcPr>
                <w:p>
                  <w:pPr>
                    <w:pStyle w:val="182"/>
                    <w:ind w:firstLine="0" w:firstLineChars="0"/>
                    <w:jc w:val="center"/>
                  </w:pPr>
                  <w:r>
                    <w:rPr>
                      <w:rFonts w:hint="eastAsia"/>
                    </w:rPr>
                    <w:t>不涉及天然林采伐。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3</w:t>
                  </w:r>
                </w:p>
              </w:tc>
              <w:tc>
                <w:tcPr>
                  <w:tcW w:w="2853" w:type="pct"/>
                  <w:vAlign w:val="center"/>
                </w:tcPr>
                <w:p>
                  <w:pPr>
                    <w:pStyle w:val="182"/>
                    <w:ind w:firstLine="0" w:firstLineChars="0"/>
                  </w:pPr>
                  <w:r>
                    <w:rPr>
                      <w:rFonts w:hint="eastAsia"/>
                    </w:rPr>
                    <w:t>法律法规和相关政策明令不予准入的其他项目</w:t>
                  </w:r>
                </w:p>
              </w:tc>
              <w:tc>
                <w:tcPr>
                  <w:tcW w:w="1697" w:type="pct"/>
                  <w:vAlign w:val="center"/>
                </w:tcPr>
                <w:p>
                  <w:pPr>
                    <w:pStyle w:val="182"/>
                    <w:ind w:firstLine="0" w:firstLineChars="0"/>
                  </w:pPr>
                  <w:r>
                    <w:rPr>
                      <w:rFonts w:hint="eastAsia"/>
                    </w:rPr>
                    <w:t>项目</w:t>
                  </w:r>
                  <w:r>
                    <w:t>不属于法律法规和相关政 策明令不予准入的项目。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二</w:t>
                  </w:r>
                </w:p>
              </w:tc>
              <w:tc>
                <w:tcPr>
                  <w:tcW w:w="4550" w:type="pct"/>
                  <w:gridSpan w:val="2"/>
                  <w:vAlign w:val="center"/>
                </w:tcPr>
                <w:p>
                  <w:pPr>
                    <w:pStyle w:val="182"/>
                    <w:ind w:firstLine="1785" w:firstLineChars="850"/>
                  </w:pPr>
                  <w:r>
                    <w:rPr>
                      <w:rFonts w:hint="eastAsia"/>
                    </w:rPr>
                    <w:t>重点区域范围内不予准入的产业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1</w:t>
                  </w:r>
                </w:p>
              </w:tc>
              <w:tc>
                <w:tcPr>
                  <w:tcW w:w="2853" w:type="pct"/>
                  <w:vAlign w:val="center"/>
                </w:tcPr>
                <w:p>
                  <w:pPr>
                    <w:pStyle w:val="182"/>
                    <w:ind w:firstLine="0" w:firstLineChars="0"/>
                  </w:pPr>
                  <w:r>
                    <w:rPr>
                      <w:rFonts w:hint="eastAsia"/>
                    </w:rPr>
                    <w:t>外环绕城高速公路以内长江、嘉陵江水域采砂。</w:t>
                  </w:r>
                </w:p>
              </w:tc>
              <w:tc>
                <w:tcPr>
                  <w:tcW w:w="1697" w:type="pct"/>
                  <w:vAlign w:val="center"/>
                </w:tcPr>
                <w:p>
                  <w:pPr>
                    <w:pStyle w:val="182"/>
                  </w:pPr>
                  <w:r>
                    <w:rPr>
                      <w:rFonts w:hint="eastAsia"/>
                    </w:rPr>
                    <w:t>项目不属于采砂项目。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2</w:t>
                  </w:r>
                </w:p>
              </w:tc>
              <w:tc>
                <w:tcPr>
                  <w:tcW w:w="2853" w:type="pct"/>
                  <w:vAlign w:val="center"/>
                </w:tcPr>
                <w:p>
                  <w:pPr>
                    <w:pStyle w:val="182"/>
                    <w:ind w:firstLine="0" w:firstLineChars="0"/>
                  </w:pPr>
                  <w:r>
                    <w:rPr>
                      <w:rFonts w:hint="eastAsia"/>
                    </w:rPr>
                    <w:t>二十五度以上陡坡地开垦种植农作物。</w:t>
                  </w:r>
                </w:p>
              </w:tc>
              <w:tc>
                <w:tcPr>
                  <w:tcW w:w="1697" w:type="pct"/>
                  <w:vAlign w:val="center"/>
                </w:tcPr>
                <w:p>
                  <w:pPr>
                    <w:pStyle w:val="182"/>
                  </w:pPr>
                  <w:r>
                    <w:rPr>
                      <w:rFonts w:hint="eastAsia"/>
                    </w:rPr>
                    <w:t>项目不开垦种植农作物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3</w:t>
                  </w:r>
                </w:p>
              </w:tc>
              <w:tc>
                <w:tcPr>
                  <w:tcW w:w="2853" w:type="pct"/>
                  <w:vAlign w:val="center"/>
                </w:tcPr>
                <w:p>
                  <w:pPr>
                    <w:pStyle w:val="182"/>
                    <w:ind w:firstLine="0" w:firstLineChars="0"/>
                  </w:pPr>
                  <w:r>
                    <w:rPr>
                      <w:rFonts w:hint="eastAsia"/>
                    </w:rPr>
                    <w:t>在自然保护区核心区、缓冲区的岸线和河段范围内投资建设旅游和生产经营项目。</w:t>
                  </w:r>
                </w:p>
              </w:tc>
              <w:tc>
                <w:tcPr>
                  <w:tcW w:w="1697" w:type="pct"/>
                  <w:vAlign w:val="center"/>
                </w:tcPr>
                <w:p>
                  <w:pPr>
                    <w:pStyle w:val="182"/>
                  </w:pPr>
                  <w:r>
                    <w:rPr>
                      <w:rFonts w:hint="eastAsia"/>
                    </w:rPr>
                    <w:t>项目不在上述区域。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4</w:t>
                  </w:r>
                </w:p>
              </w:tc>
              <w:tc>
                <w:tcPr>
                  <w:tcW w:w="2853" w:type="pct"/>
                  <w:vAlign w:val="center"/>
                </w:tcPr>
                <w:p>
                  <w:pPr>
                    <w:pStyle w:val="182"/>
                    <w:ind w:firstLine="0" w:firstLineChars="0"/>
                  </w:pPr>
                  <w:r>
                    <w:rPr>
                      <w:rFonts w:hint="eastAsia"/>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1697" w:type="pct"/>
                  <w:vAlign w:val="center"/>
                </w:tcPr>
                <w:p>
                  <w:pPr>
                    <w:pStyle w:val="182"/>
                  </w:pPr>
                  <w:r>
                    <w:rPr>
                      <w:rFonts w:hint="eastAsia"/>
                    </w:rPr>
                    <w:t>项目不在上述区域。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5</w:t>
                  </w:r>
                </w:p>
              </w:tc>
              <w:tc>
                <w:tcPr>
                  <w:tcW w:w="2853" w:type="pct"/>
                  <w:vAlign w:val="center"/>
                </w:tcPr>
                <w:p>
                  <w:pPr>
                    <w:pStyle w:val="182"/>
                    <w:ind w:firstLine="0" w:firstLineChars="0"/>
                  </w:pPr>
                  <w:r>
                    <w:rPr>
                      <w:rFonts w:hint="eastAsia"/>
                    </w:rPr>
                    <w:t>长江干流岸线3公里范围内和重要支流岸线1公里范围内新建、改建、扩建尾矿库、冶炼渣库和磷石膏库（以提升安全、生态环境保护水平为目的的改建除外）。</w:t>
                  </w:r>
                </w:p>
              </w:tc>
              <w:tc>
                <w:tcPr>
                  <w:tcW w:w="1697" w:type="pct"/>
                  <w:vAlign w:val="center"/>
                </w:tcPr>
                <w:p>
                  <w:pPr>
                    <w:pStyle w:val="182"/>
                  </w:pPr>
                  <w:r>
                    <w:t>项目不涉及尾矿库、冶炼渣 库和磷石膏库。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6</w:t>
                  </w:r>
                </w:p>
              </w:tc>
              <w:tc>
                <w:tcPr>
                  <w:tcW w:w="2853" w:type="pct"/>
                  <w:vAlign w:val="center"/>
                </w:tcPr>
                <w:p>
                  <w:pPr>
                    <w:pStyle w:val="182"/>
                    <w:ind w:firstLine="0" w:firstLineChars="0"/>
                  </w:pPr>
                  <w:r>
                    <w:rPr>
                      <w:rFonts w:hint="eastAsia"/>
                    </w:rPr>
                    <w:t>在风景名胜区核心景区的岸线和河段范围内投资建设与风景名胜资源保护无关的项目。</w:t>
                  </w:r>
                </w:p>
              </w:tc>
              <w:tc>
                <w:tcPr>
                  <w:tcW w:w="1697" w:type="pct"/>
                  <w:vAlign w:val="center"/>
                </w:tcPr>
                <w:p>
                  <w:pPr>
                    <w:pStyle w:val="182"/>
                  </w:pPr>
                  <w:r>
                    <w:rPr>
                      <w:rFonts w:hint="eastAsia"/>
                    </w:rPr>
                    <w:t>项目不在上述区域。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7</w:t>
                  </w:r>
                </w:p>
              </w:tc>
              <w:tc>
                <w:tcPr>
                  <w:tcW w:w="2853" w:type="pct"/>
                  <w:vAlign w:val="center"/>
                </w:tcPr>
                <w:p>
                  <w:pPr>
                    <w:pStyle w:val="182"/>
                    <w:ind w:firstLine="0" w:firstLineChars="0"/>
                  </w:pPr>
                  <w:r>
                    <w:rPr>
                      <w:rFonts w:hint="eastAsia"/>
                    </w:rPr>
                    <w:t>在国家湿地公园的岸线和河段范围内挖沙、采矿，以及任何不符合主体功能定位的投资建设项目。</w:t>
                  </w:r>
                </w:p>
              </w:tc>
              <w:tc>
                <w:tcPr>
                  <w:tcW w:w="1697" w:type="pct"/>
                  <w:vAlign w:val="center"/>
                </w:tcPr>
                <w:p>
                  <w:pPr>
                    <w:pStyle w:val="182"/>
                  </w:pPr>
                  <w:r>
                    <w:rPr>
                      <w:rFonts w:hint="eastAsia"/>
                    </w:rPr>
                    <w:t>项目不在上述区域。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8</w:t>
                  </w:r>
                </w:p>
              </w:tc>
              <w:tc>
                <w:tcPr>
                  <w:tcW w:w="2853" w:type="pct"/>
                  <w:vAlign w:val="center"/>
                </w:tcPr>
                <w:p>
                  <w:pPr>
                    <w:pStyle w:val="182"/>
                    <w:ind w:firstLine="0" w:firstLineChars="0"/>
                  </w:pPr>
                  <w:r>
                    <w:rPr>
                      <w:rFonts w:hint="eastAsia"/>
                    </w:rPr>
                    <w:t>在《长江岸线保护和开发利用总体规划》划定的岸线保护区和保留区内投资建设除事关公共安全及公众利益的防洪护岸、河道治理、供水、生态环境保护、航道整治、国家重要基础设施以外的项目。</w:t>
                  </w:r>
                </w:p>
              </w:tc>
              <w:tc>
                <w:tcPr>
                  <w:tcW w:w="1697" w:type="pct"/>
                  <w:vAlign w:val="center"/>
                </w:tcPr>
                <w:p>
                  <w:pPr>
                    <w:pStyle w:val="182"/>
                    <w:ind w:firstLine="0" w:firstLineChars="0"/>
                  </w:pPr>
                  <w:r>
                    <w:rPr>
                      <w:rFonts w:hint="eastAsia"/>
                    </w:rPr>
                    <w:t>项目位于</w:t>
                  </w:r>
                  <w:r>
                    <w:rPr>
                      <w:rFonts w:hint="eastAsia"/>
                      <w:bCs/>
                    </w:rPr>
                    <w:t>大足高新区邮亭组团</w:t>
                  </w:r>
                  <w:r>
                    <w:rPr>
                      <w:rFonts w:hint="eastAsia"/>
                    </w:rPr>
                    <w:t>，项目用地为工业用地，</w:t>
                  </w:r>
                  <w:r>
                    <w:t>不涉及岸线保护区和保</w:t>
                  </w:r>
                  <w:r>
                    <w:rPr>
                      <w:rFonts w:hint="eastAsia"/>
                    </w:rPr>
                    <w:t>留区。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9</w:t>
                  </w:r>
                </w:p>
              </w:tc>
              <w:tc>
                <w:tcPr>
                  <w:tcW w:w="2853" w:type="pct"/>
                  <w:vAlign w:val="center"/>
                </w:tcPr>
                <w:p>
                  <w:pPr>
                    <w:pStyle w:val="182"/>
                    <w:ind w:firstLine="0" w:firstLineChars="0"/>
                  </w:pPr>
                  <w:r>
                    <w:rPr>
                      <w:rFonts w:hint="eastAsia"/>
                    </w:rPr>
                    <w:t>在《全国重要江河湖泊水功能区划》划定的河段及湖泊保护区、保留区内投资建设不利于水资源及自然生态保护的项目。</w:t>
                  </w:r>
                </w:p>
              </w:tc>
              <w:tc>
                <w:tcPr>
                  <w:tcW w:w="1697" w:type="pct"/>
                  <w:vAlign w:val="center"/>
                </w:tcPr>
                <w:p>
                  <w:pPr>
                    <w:pStyle w:val="182"/>
                  </w:pPr>
                  <w:r>
                    <w:rPr>
                      <w:rFonts w:hint="eastAsia"/>
                    </w:rPr>
                    <w:t>项目不涉及。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三</w:t>
                  </w:r>
                </w:p>
              </w:tc>
              <w:tc>
                <w:tcPr>
                  <w:tcW w:w="4550" w:type="pct"/>
                  <w:gridSpan w:val="2"/>
                  <w:vAlign w:val="center"/>
                </w:tcPr>
                <w:p>
                  <w:pPr>
                    <w:pStyle w:val="182"/>
                    <w:ind w:firstLine="2310" w:firstLineChars="1100"/>
                  </w:pPr>
                  <w:r>
                    <w:rPr>
                      <w:rFonts w:hint="eastAsia"/>
                    </w:rPr>
                    <w:t>限制准入类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jc w:val="left"/>
                  </w:pPr>
                  <w:r>
                    <w:rPr>
                      <w:rFonts w:hint="eastAsia"/>
                    </w:rPr>
                    <w:t>（一）</w:t>
                  </w:r>
                </w:p>
              </w:tc>
              <w:tc>
                <w:tcPr>
                  <w:tcW w:w="4550" w:type="pct"/>
                  <w:gridSpan w:val="2"/>
                  <w:vAlign w:val="center"/>
                </w:tcPr>
                <w:p>
                  <w:pPr>
                    <w:pStyle w:val="182"/>
                    <w:ind w:firstLine="1785" w:firstLineChars="850"/>
                  </w:pPr>
                  <w:r>
                    <w:rPr>
                      <w:rFonts w:hint="eastAsia"/>
                    </w:rPr>
                    <w:t>全市范围内限制准入的产业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1</w:t>
                  </w:r>
                </w:p>
              </w:tc>
              <w:tc>
                <w:tcPr>
                  <w:tcW w:w="2853" w:type="pct"/>
                  <w:vAlign w:val="center"/>
                </w:tcPr>
                <w:p>
                  <w:pPr>
                    <w:pStyle w:val="182"/>
                    <w:ind w:firstLine="0" w:firstLineChars="0"/>
                  </w:pPr>
                  <w:r>
                    <w:rPr>
                      <w:rFonts w:hint="eastAsia"/>
                    </w:rPr>
                    <w:t>新建、扩建不符合国家产能置换要求的严重过剩产能行业的项目。新建、扩建不符合要求的高耗能高排放项目。</w:t>
                  </w:r>
                </w:p>
              </w:tc>
              <w:tc>
                <w:tcPr>
                  <w:tcW w:w="1697" w:type="pct"/>
                  <w:vAlign w:val="center"/>
                </w:tcPr>
                <w:p>
                  <w:pPr>
                    <w:pStyle w:val="182"/>
                    <w:ind w:firstLine="0" w:firstLineChars="0"/>
                  </w:pPr>
                  <w:r>
                    <w:rPr>
                      <w:rFonts w:hint="eastAsia"/>
                    </w:rPr>
                    <w:t>项目不属于高耗能高排放项目。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2</w:t>
                  </w:r>
                </w:p>
              </w:tc>
              <w:tc>
                <w:tcPr>
                  <w:tcW w:w="2853" w:type="pct"/>
                  <w:vAlign w:val="center"/>
                </w:tcPr>
                <w:p>
                  <w:pPr>
                    <w:pStyle w:val="182"/>
                    <w:ind w:firstLine="0" w:firstLineChars="0"/>
                  </w:pPr>
                  <w:r>
                    <w:rPr>
                      <w:rFonts w:hint="eastAsia"/>
                    </w:rPr>
                    <w:t>新建、扩建不符合国家石化、现代煤化工等产业布局规划的项目。</w:t>
                  </w:r>
                </w:p>
              </w:tc>
              <w:tc>
                <w:tcPr>
                  <w:tcW w:w="1697" w:type="pct"/>
                  <w:vAlign w:val="center"/>
                </w:tcPr>
                <w:p>
                  <w:pPr>
                    <w:pStyle w:val="182"/>
                    <w:ind w:firstLine="0" w:firstLineChars="0"/>
                  </w:pPr>
                  <w:r>
                    <w:rPr>
                      <w:rFonts w:hint="eastAsia"/>
                    </w:rPr>
                    <w:t>项目不属于石化、现代煤化工项目。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3</w:t>
                  </w:r>
                </w:p>
              </w:tc>
              <w:tc>
                <w:tcPr>
                  <w:tcW w:w="2853" w:type="pct"/>
                  <w:vAlign w:val="center"/>
                </w:tcPr>
                <w:p>
                  <w:pPr>
                    <w:pStyle w:val="182"/>
                    <w:ind w:firstLine="0" w:firstLineChars="0"/>
                  </w:pPr>
                  <w:r>
                    <w:rPr>
                      <w:rFonts w:hint="eastAsia"/>
                    </w:rPr>
                    <w:t>在合规园区外新建、扩建钢铁、石化、化工、焦化、建材、有色、制浆造纸等高污染项目。</w:t>
                  </w:r>
                </w:p>
              </w:tc>
              <w:tc>
                <w:tcPr>
                  <w:tcW w:w="1697" w:type="pct"/>
                  <w:vAlign w:val="center"/>
                </w:tcPr>
                <w:p>
                  <w:pPr>
                    <w:pStyle w:val="182"/>
                  </w:pPr>
                  <w:r>
                    <w:rPr>
                      <w:rFonts w:hint="eastAsia"/>
                    </w:rPr>
                    <w:t>项目位于园区范围内。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4</w:t>
                  </w:r>
                </w:p>
              </w:tc>
              <w:tc>
                <w:tcPr>
                  <w:tcW w:w="2853" w:type="pct"/>
                  <w:vAlign w:val="center"/>
                </w:tcPr>
                <w:p>
                  <w:pPr>
                    <w:pStyle w:val="182"/>
                    <w:ind w:firstLine="0" w:firstLineChars="0"/>
                  </w:pPr>
                  <w:r>
                    <w:rPr>
                      <w:rFonts w:hint="eastAsia"/>
                    </w:rPr>
                    <w:t>《汽车产业投资管理规定》（国家发展和改革委员会令第22号）明确禁止建设的汽车投资项目。</w:t>
                  </w:r>
                </w:p>
              </w:tc>
              <w:tc>
                <w:tcPr>
                  <w:tcW w:w="1697" w:type="pct"/>
                  <w:vAlign w:val="center"/>
                </w:tcPr>
                <w:p>
                  <w:pPr>
                    <w:pStyle w:val="182"/>
                    <w:ind w:firstLine="0" w:firstLineChars="0"/>
                  </w:pPr>
                  <w:r>
                    <w:rPr>
                      <w:rFonts w:hint="eastAsia"/>
                    </w:rPr>
                    <w:t>项目不属于汽车投资项目。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jc w:val="left"/>
                  </w:pPr>
                  <w:r>
                    <w:rPr>
                      <w:rFonts w:hint="eastAsia"/>
                    </w:rPr>
                    <w:t>（二）</w:t>
                  </w:r>
                </w:p>
              </w:tc>
              <w:tc>
                <w:tcPr>
                  <w:tcW w:w="4550" w:type="pct"/>
                  <w:gridSpan w:val="2"/>
                  <w:vAlign w:val="center"/>
                </w:tcPr>
                <w:p>
                  <w:pPr>
                    <w:pStyle w:val="182"/>
                    <w:ind w:firstLine="1470" w:firstLineChars="700"/>
                  </w:pPr>
                  <w:r>
                    <w:rPr>
                      <w:rFonts w:hint="eastAsia"/>
                    </w:rPr>
                    <w:t>重点区域范围内限制准入的产业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1</w:t>
                  </w:r>
                </w:p>
              </w:tc>
              <w:tc>
                <w:tcPr>
                  <w:tcW w:w="2853" w:type="pct"/>
                  <w:vAlign w:val="center"/>
                </w:tcPr>
                <w:p>
                  <w:pPr>
                    <w:pStyle w:val="182"/>
                    <w:ind w:firstLine="0" w:firstLineChars="0"/>
                  </w:pPr>
                  <w:r>
                    <w:rPr>
                      <w:rFonts w:hint="eastAsia"/>
                    </w:rPr>
                    <w:t>长江干支流、重要湖泊岸线1公里范围内新建、扩建化工园区和化工项目，长江、嘉陵江、乌江岸线1公里范围内布局新建纸浆制造、印染等存在环境风险的项目。</w:t>
                  </w:r>
                </w:p>
              </w:tc>
              <w:tc>
                <w:tcPr>
                  <w:tcW w:w="1697" w:type="pct"/>
                  <w:vAlign w:val="center"/>
                </w:tcPr>
                <w:p>
                  <w:pPr>
                    <w:pStyle w:val="182"/>
                  </w:pPr>
                  <w:r>
                    <w:rPr>
                      <w:rFonts w:hint="eastAsia"/>
                    </w:rPr>
                    <w:t>项目不涉及。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450" w:type="pct"/>
                  <w:vAlign w:val="center"/>
                </w:tcPr>
                <w:p>
                  <w:pPr>
                    <w:pStyle w:val="169"/>
                    <w:ind w:firstLine="210" w:firstLineChars="100"/>
                    <w:jc w:val="left"/>
                  </w:pPr>
                  <w:r>
                    <w:rPr>
                      <w:rFonts w:hint="eastAsia"/>
                    </w:rPr>
                    <w:t>2</w:t>
                  </w:r>
                </w:p>
              </w:tc>
              <w:tc>
                <w:tcPr>
                  <w:tcW w:w="2853" w:type="pct"/>
                  <w:vAlign w:val="center"/>
                </w:tcPr>
                <w:p>
                  <w:pPr>
                    <w:pStyle w:val="182"/>
                    <w:ind w:firstLine="0" w:firstLineChars="0"/>
                  </w:pPr>
                  <w:r>
                    <w:rPr>
                      <w:rFonts w:hint="eastAsia"/>
                    </w:rPr>
                    <w:t>在水产种质资源保护区的岸线和河段范围内新建围湖造田等投资建设项目。</w:t>
                  </w:r>
                </w:p>
              </w:tc>
              <w:tc>
                <w:tcPr>
                  <w:tcW w:w="1697" w:type="pct"/>
                  <w:vAlign w:val="center"/>
                </w:tcPr>
                <w:p>
                  <w:pPr>
                    <w:pStyle w:val="182"/>
                  </w:pPr>
                  <w:r>
                    <w:rPr>
                      <w:rFonts w:hint="eastAsia"/>
                    </w:rPr>
                    <w:t>项目不涉及。</w:t>
                  </w:r>
                </w:p>
              </w:tc>
            </w:tr>
          </w:tbl>
          <w:p>
            <w:pPr>
              <w:pStyle w:val="178"/>
              <w:rPr>
                <w:rFonts w:eastAsia="Times New Roman" w:cs="宋体"/>
                <w:color w:val="auto"/>
                <w:sz w:val="24"/>
                <w:szCs w:val="24"/>
              </w:rPr>
            </w:pPr>
          </w:p>
          <w:p>
            <w:r>
              <w:rPr>
                <w:rFonts w:hint="eastAsia"/>
                <w:bCs/>
              </w:rPr>
              <w:t>根据</w:t>
            </w:r>
            <w:r>
              <w:rPr>
                <w:rFonts w:hint="eastAsia"/>
              </w:rPr>
              <w:t>表1.2-4分析结果，</w:t>
            </w:r>
            <w:r>
              <w:rPr>
                <w:rFonts w:hint="eastAsia"/>
                <w:bCs/>
              </w:rPr>
              <w:t>项目满足《重庆市产业投资准入工作手册》（渝发改投[2022]1436号）中相关规定。</w:t>
            </w:r>
          </w:p>
          <w:p>
            <w:pPr>
              <w:pStyle w:val="5"/>
              <w:numPr>
                <w:ilvl w:val="0"/>
                <w:numId w:val="0"/>
              </w:numPr>
              <w:rPr>
                <w:sz w:val="24"/>
                <w:szCs w:val="24"/>
              </w:rPr>
            </w:pPr>
            <w:r>
              <w:rPr>
                <w:rFonts w:hint="eastAsia"/>
                <w:sz w:val="24"/>
                <w:szCs w:val="24"/>
              </w:rPr>
              <w:t>1.2.12与《重庆市发展和改革委员会</w:t>
            </w:r>
            <w:r>
              <w:rPr>
                <w:sz w:val="24"/>
                <w:szCs w:val="24"/>
              </w:rPr>
              <w:t xml:space="preserve"> </w:t>
            </w:r>
            <w:r>
              <w:rPr>
                <w:rFonts w:hint="eastAsia"/>
                <w:sz w:val="24"/>
                <w:szCs w:val="24"/>
              </w:rPr>
              <w:t>重庆市经济和信息化委员会关于严格工业布局和准入的通知》（渝发改工</w:t>
            </w:r>
            <w:r>
              <w:rPr>
                <w:sz w:val="24"/>
                <w:szCs w:val="24"/>
              </w:rPr>
              <w:t>[2018]781</w:t>
            </w:r>
            <w:r>
              <w:rPr>
                <w:rFonts w:hint="eastAsia"/>
                <w:sz w:val="24"/>
                <w:szCs w:val="24"/>
              </w:rPr>
              <w:t>号）的符合性分析</w:t>
            </w:r>
          </w:p>
          <w:p>
            <w:r>
              <w:rPr>
                <w:rFonts w:hint="eastAsia"/>
                <w:bCs/>
              </w:rPr>
              <w:t>本项目与《重庆市发展和改革委员会、重庆市经济和信息化委员会关于严格工业布局和准入的通知》（渝发改工</w:t>
            </w:r>
            <w:r>
              <w:rPr>
                <w:bCs/>
              </w:rPr>
              <w:t xml:space="preserve">[2018]781 </w:t>
            </w:r>
            <w:r>
              <w:rPr>
                <w:rFonts w:hint="eastAsia"/>
                <w:bCs/>
              </w:rPr>
              <w:t>号）的符合性分析见表1.2-5。</w:t>
            </w:r>
          </w:p>
          <w:p>
            <w:pPr>
              <w:pStyle w:val="178"/>
              <w:rPr>
                <w:rFonts w:eastAsia="宋体"/>
                <w:color w:val="auto"/>
                <w:sz w:val="24"/>
                <w:szCs w:val="24"/>
              </w:rPr>
            </w:pPr>
            <w:r>
              <w:rPr>
                <w:rFonts w:eastAsia="宋体"/>
                <w:color w:val="auto"/>
                <w:sz w:val="24"/>
                <w:szCs w:val="24"/>
              </w:rPr>
              <w:t>表 1.2-</w:t>
            </w:r>
            <w:r>
              <w:rPr>
                <w:rFonts w:hint="eastAsia" w:eastAsia="宋体"/>
                <w:color w:val="auto"/>
                <w:sz w:val="24"/>
                <w:szCs w:val="24"/>
              </w:rPr>
              <w:t>5</w:t>
            </w:r>
            <w:r>
              <w:rPr>
                <w:rFonts w:eastAsia="宋体"/>
                <w:color w:val="auto"/>
                <w:sz w:val="24"/>
                <w:szCs w:val="24"/>
              </w:rPr>
              <w:t xml:space="preserve"> 《关于严格工业布局和准入的通知》符合性分析表</w:t>
            </w:r>
          </w:p>
          <w:tbl>
            <w:tblPr>
              <w:tblStyle w:val="88"/>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374"/>
              <w:gridCol w:w="1581"/>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jc w:val="center"/>
              </w:trPr>
              <w:tc>
                <w:tcPr>
                  <w:tcW w:w="360" w:type="pct"/>
                  <w:vAlign w:val="center"/>
                </w:tcPr>
                <w:p>
                  <w:pPr>
                    <w:pStyle w:val="169"/>
                  </w:pPr>
                  <w:r>
                    <w:rPr>
                      <w:rFonts w:hint="eastAsia"/>
                    </w:rPr>
                    <w:t>要求</w:t>
                  </w:r>
                </w:p>
              </w:tc>
              <w:tc>
                <w:tcPr>
                  <w:tcW w:w="3235" w:type="pct"/>
                  <w:vAlign w:val="center"/>
                </w:tcPr>
                <w:p>
                  <w:pPr>
                    <w:pStyle w:val="169"/>
                  </w:pPr>
                  <w:r>
                    <w:rPr>
                      <w:rFonts w:hint="eastAsia"/>
                    </w:rPr>
                    <w:t>具体内容</w:t>
                  </w:r>
                </w:p>
              </w:tc>
              <w:tc>
                <w:tcPr>
                  <w:tcW w:w="952" w:type="pct"/>
                  <w:vAlign w:val="center"/>
                </w:tcPr>
                <w:p>
                  <w:pPr>
                    <w:pStyle w:val="169"/>
                  </w:pPr>
                  <w:r>
                    <w:rPr>
                      <w:rFonts w:hint="eastAsia"/>
                    </w:rPr>
                    <w:t>项目情况</w:t>
                  </w:r>
                </w:p>
              </w:tc>
              <w:tc>
                <w:tcPr>
                  <w:tcW w:w="453" w:type="pct"/>
                  <w:vAlign w:val="center"/>
                </w:tcPr>
                <w:p>
                  <w:pPr>
                    <w:pStyle w:val="169"/>
                  </w:pPr>
                  <w:r>
                    <w:rPr>
                      <w:rFonts w:hint="eastAsia"/>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jc w:val="center"/>
              </w:trPr>
              <w:tc>
                <w:tcPr>
                  <w:tcW w:w="360" w:type="pct"/>
                  <w:vAlign w:val="center"/>
                </w:tcPr>
                <w:p>
                  <w:pPr>
                    <w:pStyle w:val="169"/>
                  </w:pPr>
                  <w:r>
                    <w:rPr>
                      <w:rFonts w:hint="eastAsia"/>
                    </w:rPr>
                    <w:t>优化空间布局</w:t>
                  </w:r>
                </w:p>
              </w:tc>
              <w:tc>
                <w:tcPr>
                  <w:tcW w:w="3235" w:type="pct"/>
                  <w:shd w:val="clear" w:color="auto" w:fill="auto"/>
                  <w:vAlign w:val="center"/>
                </w:tcPr>
                <w:p>
                  <w:pPr>
                    <w:pStyle w:val="169"/>
                  </w:pPr>
                  <w:r>
                    <w:rPr>
                      <w:rFonts w:hint="eastAsia"/>
                    </w:rPr>
                    <w:t>对在长江干流及主要支流岸线</w:t>
                  </w:r>
                  <w:r>
                    <w:t xml:space="preserve">1 </w:t>
                  </w:r>
                  <w:r>
                    <w:rPr>
                      <w:rFonts w:hint="eastAsia"/>
                    </w:rPr>
                    <w:t>公里范围内新建重化工、纺织、造纸等存在污染风险的工业项目，不得办理项目核准或备案手续。禁止在长江干流及主要支流岸线</w:t>
                  </w:r>
                  <w:r>
                    <w:t xml:space="preserve">5 </w:t>
                  </w:r>
                  <w:r>
                    <w:rPr>
                      <w:rFonts w:hint="eastAsia"/>
                    </w:rPr>
                    <w:t>公范围内新布局工业园区，有序推进现有工业园区空间布局的调整优化</w:t>
                  </w:r>
                </w:p>
              </w:tc>
              <w:tc>
                <w:tcPr>
                  <w:tcW w:w="952" w:type="pct"/>
                  <w:vAlign w:val="center"/>
                </w:tcPr>
                <w:p>
                  <w:pPr>
                    <w:pStyle w:val="169"/>
                  </w:pPr>
                  <w:r>
                    <w:rPr>
                      <w:rFonts w:hint="eastAsia"/>
                    </w:rPr>
                    <w:t>项目不属于化工、纺织、造纸等存在污染风险的工业项目。</w:t>
                  </w:r>
                </w:p>
              </w:tc>
              <w:tc>
                <w:tcPr>
                  <w:tcW w:w="453" w:type="pct"/>
                  <w:vAlign w:val="center"/>
                </w:tcPr>
                <w:p>
                  <w:pPr>
                    <w:pStyle w:val="169"/>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360" w:type="pct"/>
                  <w:vAlign w:val="center"/>
                </w:tcPr>
                <w:p>
                  <w:pPr>
                    <w:pStyle w:val="169"/>
                  </w:pPr>
                  <w:r>
                    <w:rPr>
                      <w:rFonts w:hint="eastAsia"/>
                    </w:rPr>
                    <w:t>新建项目入园</w:t>
                  </w:r>
                </w:p>
              </w:tc>
              <w:tc>
                <w:tcPr>
                  <w:tcW w:w="3235" w:type="pct"/>
                  <w:vAlign w:val="center"/>
                </w:tcPr>
                <w:p>
                  <w:pPr>
                    <w:pStyle w:val="169"/>
                  </w:pPr>
                  <w:r>
                    <w:rPr>
                      <w:rFonts w:hint="eastAsia"/>
                    </w:rPr>
                    <w:t>新建有污染物排放的工业项目，除在安全生产或者产业布局等方面有特殊要求外，应当进入工业园区（工业集聚区，下同）。对未进入工业园区的项目，或在工业园区（工业集聚区）以外区域实施单纯增加产能的技改（改建）的项目，不得办理项目核准或备案手续</w:t>
                  </w:r>
                </w:p>
              </w:tc>
              <w:tc>
                <w:tcPr>
                  <w:tcW w:w="952" w:type="pct"/>
                  <w:vAlign w:val="center"/>
                </w:tcPr>
                <w:p>
                  <w:pPr>
                    <w:pStyle w:val="169"/>
                  </w:pPr>
                  <w:r>
                    <w:rPr>
                      <w:rFonts w:hint="eastAsia"/>
                    </w:rPr>
                    <w:t>项目位于</w:t>
                  </w:r>
                  <w:r>
                    <w:rPr>
                      <w:rFonts w:hint="eastAsia"/>
                      <w:bCs/>
                    </w:rPr>
                    <w:t>大足高新区邮亭组团</w:t>
                  </w:r>
                  <w:r>
                    <w:rPr>
                      <w:rFonts w:hint="eastAsia"/>
                    </w:rPr>
                    <w:t>。</w:t>
                  </w:r>
                </w:p>
              </w:tc>
              <w:tc>
                <w:tcPr>
                  <w:tcW w:w="453" w:type="pct"/>
                  <w:vAlign w:val="center"/>
                </w:tcPr>
                <w:p>
                  <w:pPr>
                    <w:pStyle w:val="169"/>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360" w:type="pct"/>
                  <w:vAlign w:val="center"/>
                </w:tcPr>
                <w:p>
                  <w:pPr>
                    <w:pStyle w:val="169"/>
                  </w:pPr>
                  <w:r>
                    <w:rPr>
                      <w:rFonts w:hint="eastAsia"/>
                    </w:rPr>
                    <w:t>严格产业准入</w:t>
                  </w:r>
                </w:p>
              </w:tc>
              <w:tc>
                <w:tcPr>
                  <w:tcW w:w="3235" w:type="pct"/>
                  <w:vAlign w:val="center"/>
                </w:tcPr>
                <w:p>
                  <w:pPr>
                    <w:pStyle w:val="169"/>
                  </w:pPr>
                  <w:r>
                    <w:rPr>
                      <w:rFonts w:hint="eastAsia"/>
                    </w:rPr>
                    <w:t>严格控制过剩产能和“两高一资”项目，严格限制造纸、印染、煤电、传统化工、传统燃油汽车、涉及重金属以及有毒有害和持久性污染物排放的项目。新建或改建上述项目，必须符合国家及我市产业政策和布局，依法办理环境保护、安全生产、资源（能源）节约等有关手续。</w:t>
                  </w:r>
                </w:p>
              </w:tc>
              <w:tc>
                <w:tcPr>
                  <w:tcW w:w="952" w:type="pct"/>
                  <w:vAlign w:val="center"/>
                </w:tcPr>
                <w:p>
                  <w:pPr>
                    <w:pStyle w:val="169"/>
                  </w:pPr>
                  <w:r>
                    <w:rPr>
                      <w:rFonts w:hint="eastAsia"/>
                    </w:rPr>
                    <w:t>项目不属于所列的过剩产能和“两高一资”项目。</w:t>
                  </w:r>
                </w:p>
              </w:tc>
              <w:tc>
                <w:tcPr>
                  <w:tcW w:w="453" w:type="pct"/>
                  <w:vAlign w:val="center"/>
                </w:tcPr>
                <w:p>
                  <w:pPr>
                    <w:pStyle w:val="169"/>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360" w:type="pct"/>
                  <w:vAlign w:val="center"/>
                </w:tcPr>
                <w:p>
                  <w:pPr>
                    <w:pStyle w:val="169"/>
                  </w:pPr>
                  <w:r>
                    <w:rPr>
                      <w:rFonts w:hint="eastAsia"/>
                    </w:rPr>
                    <w:t>加强监督管理</w:t>
                  </w:r>
                </w:p>
              </w:tc>
              <w:tc>
                <w:tcPr>
                  <w:tcW w:w="3235" w:type="pct"/>
                  <w:vAlign w:val="center"/>
                </w:tcPr>
                <w:p>
                  <w:pPr>
                    <w:pStyle w:val="169"/>
                  </w:pPr>
                  <w:r>
                    <w:rPr>
                      <w:rFonts w:hint="eastAsia"/>
                    </w:rPr>
                    <w:t>按照本通知要求，对本区域内工业布局和项目准入严格把关，加强日常监管。对违反本通知要求的，我们将依据有关规定予以严肃处理。</w:t>
                  </w:r>
                </w:p>
              </w:tc>
              <w:tc>
                <w:tcPr>
                  <w:tcW w:w="952" w:type="pct"/>
                  <w:vAlign w:val="center"/>
                </w:tcPr>
                <w:p>
                  <w:pPr>
                    <w:pStyle w:val="169"/>
                  </w:pPr>
                  <w:r>
                    <w:rPr>
                      <w:rFonts w:hint="eastAsia"/>
                    </w:rPr>
                    <w:t>/</w:t>
                  </w:r>
                </w:p>
              </w:tc>
              <w:tc>
                <w:tcPr>
                  <w:tcW w:w="453" w:type="pct"/>
                  <w:vAlign w:val="center"/>
                </w:tcPr>
                <w:p>
                  <w:pPr>
                    <w:pStyle w:val="169"/>
                  </w:pPr>
                  <w:r>
                    <w:rPr>
                      <w:rFonts w:hint="eastAsia"/>
                    </w:rPr>
                    <w:t>/</w:t>
                  </w:r>
                </w:p>
              </w:tc>
            </w:tr>
          </w:tbl>
          <w:p>
            <w:pPr>
              <w:spacing w:line="240" w:lineRule="auto"/>
            </w:pPr>
          </w:p>
          <w:p>
            <w:pPr>
              <w:pStyle w:val="169"/>
              <w:spacing w:line="360" w:lineRule="auto"/>
              <w:ind w:firstLine="480" w:firstLineChars="200"/>
              <w:jc w:val="left"/>
              <w:rPr>
                <w:kern w:val="2"/>
                <w:sz w:val="24"/>
                <w:szCs w:val="24"/>
              </w:rPr>
            </w:pPr>
            <w:r>
              <w:rPr>
                <w:rFonts w:hint="eastAsia"/>
                <w:sz w:val="24"/>
                <w:szCs w:val="24"/>
              </w:rPr>
              <w:t>根据表1.2-5分析结果，项目满足《重庆市发展和改革委员会、重庆市经济和信息化委员会关于严格工业布局和准入的通知》（渝发改工</w:t>
            </w:r>
            <w:r>
              <w:rPr>
                <w:sz w:val="24"/>
                <w:szCs w:val="24"/>
              </w:rPr>
              <w:t xml:space="preserve">[2018]781 </w:t>
            </w:r>
            <w:r>
              <w:rPr>
                <w:rFonts w:hint="eastAsia"/>
                <w:sz w:val="24"/>
                <w:szCs w:val="24"/>
              </w:rPr>
              <w:t>号）中相关规定。</w:t>
            </w:r>
          </w:p>
          <w:p>
            <w:pPr>
              <w:pStyle w:val="5"/>
              <w:numPr>
                <w:ilvl w:val="0"/>
                <w:numId w:val="0"/>
              </w:numPr>
              <w:rPr>
                <w:sz w:val="24"/>
                <w:szCs w:val="24"/>
              </w:rPr>
            </w:pPr>
            <w:r>
              <w:rPr>
                <w:rFonts w:hint="eastAsia"/>
                <w:sz w:val="24"/>
                <w:szCs w:val="24"/>
              </w:rPr>
              <w:t>1.2.13与《四川省、重庆市长江经济带发展负面清单实施细则（试行，2022年版）》的符合性分析</w:t>
            </w:r>
          </w:p>
          <w:p>
            <w:r>
              <w:rPr>
                <w:rFonts w:hint="eastAsia"/>
              </w:rPr>
              <w:t>项目与《四川省、重庆市长江经济带发展负面清单实施细则（试行，2022年版）》（川长江办发</w:t>
            </w:r>
            <w:r>
              <w:rPr>
                <w:rFonts w:hint="eastAsia"/>
                <w:lang w:eastAsia="zh-CN"/>
              </w:rPr>
              <w:t>〔</w:t>
            </w:r>
            <w:r>
              <w:t>20</w:t>
            </w:r>
            <w:r>
              <w:rPr>
                <w:rFonts w:hint="eastAsia"/>
              </w:rPr>
              <w:t>22</w:t>
            </w:r>
            <w:r>
              <w:rPr>
                <w:rFonts w:hint="eastAsia"/>
                <w:lang w:eastAsia="zh-CN"/>
              </w:rPr>
              <w:t>〕</w:t>
            </w:r>
            <w:r>
              <w:rPr>
                <w:rFonts w:hint="eastAsia"/>
              </w:rPr>
              <w:t>17号）的符合性分析见表1.2-6。</w:t>
            </w:r>
          </w:p>
          <w:p/>
          <w:p/>
          <w:p/>
          <w:p/>
          <w:p>
            <w:pPr>
              <w:pStyle w:val="178"/>
              <w:rPr>
                <w:rFonts w:eastAsia="宋体"/>
                <w:color w:val="auto"/>
                <w:sz w:val="24"/>
                <w:szCs w:val="24"/>
              </w:rPr>
            </w:pPr>
            <w:r>
              <w:rPr>
                <w:rFonts w:eastAsia="宋体"/>
                <w:color w:val="auto"/>
                <w:sz w:val="24"/>
                <w:szCs w:val="24"/>
              </w:rPr>
              <w:t>表 1.2-</w:t>
            </w:r>
            <w:r>
              <w:rPr>
                <w:rFonts w:hint="eastAsia" w:eastAsia="宋体"/>
                <w:color w:val="auto"/>
                <w:sz w:val="24"/>
                <w:szCs w:val="24"/>
              </w:rPr>
              <w:t>6  与川长江办发</w:t>
            </w:r>
            <w:r>
              <w:rPr>
                <w:rFonts w:hint="eastAsia" w:eastAsia="宋体"/>
                <w:color w:val="auto"/>
                <w:sz w:val="24"/>
                <w:szCs w:val="24"/>
                <w:lang w:eastAsia="zh-CN"/>
              </w:rPr>
              <w:t>〔</w:t>
            </w:r>
            <w:r>
              <w:rPr>
                <w:rFonts w:eastAsia="宋体"/>
                <w:color w:val="auto"/>
                <w:sz w:val="24"/>
                <w:szCs w:val="24"/>
              </w:rPr>
              <w:t>20</w:t>
            </w:r>
            <w:r>
              <w:rPr>
                <w:rFonts w:hint="eastAsia" w:eastAsia="宋体"/>
                <w:color w:val="auto"/>
                <w:sz w:val="24"/>
                <w:szCs w:val="24"/>
              </w:rPr>
              <w:t>22</w:t>
            </w:r>
            <w:r>
              <w:rPr>
                <w:rFonts w:hint="eastAsia" w:eastAsia="宋体"/>
                <w:color w:val="auto"/>
                <w:sz w:val="24"/>
                <w:szCs w:val="24"/>
                <w:lang w:eastAsia="zh-CN"/>
              </w:rPr>
              <w:t>〕</w:t>
            </w:r>
            <w:r>
              <w:rPr>
                <w:rFonts w:hint="eastAsia" w:eastAsia="宋体"/>
                <w:color w:val="auto"/>
                <w:sz w:val="24"/>
                <w:szCs w:val="24"/>
              </w:rPr>
              <w:t>17号文</w:t>
            </w:r>
            <w:r>
              <w:rPr>
                <w:rFonts w:eastAsia="宋体"/>
                <w:color w:val="auto"/>
                <w:sz w:val="24"/>
                <w:szCs w:val="24"/>
              </w:rPr>
              <w:t>符合性分析</w:t>
            </w:r>
            <w:r>
              <w:rPr>
                <w:rFonts w:hint="eastAsia" w:eastAsia="宋体"/>
                <w:color w:val="auto"/>
                <w:sz w:val="24"/>
                <w:szCs w:val="24"/>
              </w:rPr>
              <w:t>表</w:t>
            </w:r>
          </w:p>
          <w:tbl>
            <w:tblPr>
              <w:tblStyle w:val="88"/>
              <w:tblW w:w="48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337"/>
              <w:gridCol w:w="1914"/>
              <w:gridCol w:w="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4" w:hRule="atLeast"/>
                <w:jc w:val="center"/>
              </w:trPr>
              <w:tc>
                <w:tcPr>
                  <w:tcW w:w="3240" w:type="pct"/>
                  <w:vAlign w:val="center"/>
                </w:tcPr>
                <w:p>
                  <w:pPr>
                    <w:widowControl/>
                    <w:spacing w:line="240" w:lineRule="auto"/>
                    <w:ind w:firstLine="420" w:firstLineChars="0"/>
                    <w:jc w:val="center"/>
                    <w:rPr>
                      <w:kern w:val="0"/>
                      <w:sz w:val="21"/>
                      <w:szCs w:val="20"/>
                    </w:rPr>
                  </w:pPr>
                  <w:r>
                    <w:rPr>
                      <w:rFonts w:hint="eastAsia"/>
                      <w:kern w:val="0"/>
                      <w:sz w:val="21"/>
                      <w:szCs w:val="20"/>
                    </w:rPr>
                    <w:t>相关内容</w:t>
                  </w:r>
                </w:p>
              </w:tc>
              <w:tc>
                <w:tcPr>
                  <w:tcW w:w="1162" w:type="pct"/>
                  <w:vAlign w:val="center"/>
                </w:tcPr>
                <w:p>
                  <w:pPr>
                    <w:widowControl/>
                    <w:spacing w:line="240" w:lineRule="auto"/>
                    <w:ind w:firstLine="525" w:firstLineChars="250"/>
                    <w:rPr>
                      <w:kern w:val="0"/>
                      <w:sz w:val="21"/>
                      <w:szCs w:val="20"/>
                    </w:rPr>
                  </w:pPr>
                  <w:r>
                    <w:rPr>
                      <w:rFonts w:hint="eastAsia"/>
                      <w:kern w:val="0"/>
                      <w:sz w:val="21"/>
                      <w:szCs w:val="20"/>
                    </w:rPr>
                    <w:t>本项目</w:t>
                  </w:r>
                </w:p>
              </w:tc>
              <w:tc>
                <w:tcPr>
                  <w:tcW w:w="598" w:type="pct"/>
                  <w:vAlign w:val="center"/>
                </w:tcPr>
                <w:p>
                  <w:pPr>
                    <w:widowControl/>
                    <w:spacing w:line="240" w:lineRule="auto"/>
                    <w:ind w:firstLine="0" w:firstLineChars="0"/>
                    <w:rPr>
                      <w:kern w:val="0"/>
                      <w:sz w:val="21"/>
                      <w:szCs w:val="20"/>
                    </w:rPr>
                  </w:pPr>
                  <w:r>
                    <w:rPr>
                      <w:rFonts w:hint="eastAsia"/>
                      <w:kern w:val="0"/>
                      <w:sz w:val="21"/>
                      <w:szCs w:val="20"/>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2" w:hRule="atLeast"/>
                <w:jc w:val="center"/>
              </w:trPr>
              <w:tc>
                <w:tcPr>
                  <w:tcW w:w="3240" w:type="pct"/>
                  <w:shd w:val="clear" w:color="auto" w:fill="auto"/>
                  <w:vAlign w:val="center"/>
                </w:tcPr>
                <w:p>
                  <w:pPr>
                    <w:widowControl/>
                    <w:spacing w:line="240" w:lineRule="auto"/>
                    <w:ind w:firstLine="0" w:firstLineChars="0"/>
                    <w:rPr>
                      <w:kern w:val="0"/>
                      <w:sz w:val="21"/>
                      <w:szCs w:val="20"/>
                    </w:rPr>
                  </w:pPr>
                  <w:r>
                    <w:rPr>
                      <w:rFonts w:hint="eastAsia"/>
                      <w:kern w:val="0"/>
                      <w:sz w:val="21"/>
                      <w:szCs w:val="20"/>
                    </w:rPr>
                    <w:t>第五条 禁止新建、改建和扩建不符合全国港口布局规划及《四川省内河水运发展规划》《泸州—宜宾—乐山港口群布局规划》《重庆港总体规划（2035年）》等省级港口布局规划及市级港口总体规划的码头项目。</w:t>
                  </w:r>
                </w:p>
              </w:tc>
              <w:tc>
                <w:tcPr>
                  <w:tcW w:w="1162" w:type="pct"/>
                  <w:vAlign w:val="center"/>
                </w:tcPr>
                <w:p>
                  <w:pPr>
                    <w:widowControl/>
                    <w:spacing w:line="240" w:lineRule="auto"/>
                    <w:ind w:firstLine="105" w:firstLineChars="50"/>
                    <w:rPr>
                      <w:kern w:val="0"/>
                      <w:sz w:val="21"/>
                      <w:szCs w:val="20"/>
                    </w:rPr>
                  </w:pPr>
                  <w:r>
                    <w:rPr>
                      <w:rFonts w:hint="eastAsia"/>
                      <w:kern w:val="0"/>
                      <w:sz w:val="21"/>
                      <w:szCs w:val="20"/>
                    </w:rPr>
                    <w:t>不属于码头项目。</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2" w:hRule="atLeast"/>
                <w:jc w:val="center"/>
              </w:trPr>
              <w:tc>
                <w:tcPr>
                  <w:tcW w:w="3240" w:type="pct"/>
                  <w:shd w:val="clear" w:color="auto" w:fill="auto"/>
                  <w:vAlign w:val="center"/>
                </w:tcPr>
                <w:p>
                  <w:pPr>
                    <w:widowControl/>
                    <w:spacing w:line="240" w:lineRule="auto"/>
                    <w:ind w:firstLine="0" w:firstLineChars="0"/>
                    <w:rPr>
                      <w:kern w:val="0"/>
                      <w:sz w:val="21"/>
                      <w:szCs w:val="20"/>
                    </w:rPr>
                  </w:pPr>
                  <w:r>
                    <w:rPr>
                      <w:rFonts w:hint="eastAsia"/>
                      <w:kern w:val="0"/>
                      <w:sz w:val="21"/>
                      <w:szCs w:val="20"/>
                    </w:rPr>
                    <w:t>第六条 禁止新建、改建和扩建不符合《长江干线过江通道布局规划（2020-2035年）》的过长江通道项目（含桥梁、隧道），国家发展改革委同意过长江通道线位调整的除外。</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不属于过长江通道项目。</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jc w:val="center"/>
              </w:trPr>
              <w:tc>
                <w:tcPr>
                  <w:tcW w:w="3240" w:type="pct"/>
                  <w:vAlign w:val="center"/>
                </w:tcPr>
                <w:p>
                  <w:pPr>
                    <w:widowControl/>
                    <w:spacing w:line="240" w:lineRule="auto"/>
                    <w:ind w:firstLine="0" w:firstLineChars="0"/>
                    <w:rPr>
                      <w:kern w:val="0"/>
                      <w:sz w:val="21"/>
                      <w:szCs w:val="20"/>
                    </w:rPr>
                  </w:pPr>
                  <w:r>
                    <w:rPr>
                      <w:rFonts w:hint="eastAsia"/>
                      <w:kern w:val="0"/>
                      <w:sz w:val="21"/>
                      <w:szCs w:val="20"/>
                    </w:rPr>
                    <w:t>第七条 禁止在自然保护区核心区、缓冲区的岸线和河段范围内投资建设旅游和生产经营项目。自然保护区的内部未分区的，依照核心区和缓冲区的规定管控。</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不涉及自然保护区。</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jc w:val="center"/>
              </w:trPr>
              <w:tc>
                <w:tcPr>
                  <w:tcW w:w="3240" w:type="pct"/>
                  <w:vAlign w:val="center"/>
                </w:tcPr>
                <w:p>
                  <w:pPr>
                    <w:widowControl/>
                    <w:spacing w:line="240" w:lineRule="auto"/>
                    <w:ind w:firstLine="0" w:firstLineChars="0"/>
                    <w:rPr>
                      <w:kern w:val="0"/>
                      <w:sz w:val="21"/>
                      <w:szCs w:val="20"/>
                    </w:rPr>
                  </w:pPr>
                  <w:r>
                    <w:rPr>
                      <w:rFonts w:hint="eastAsia"/>
                      <w:kern w:val="0"/>
                      <w:sz w:val="21"/>
                      <w:szCs w:val="20"/>
                    </w:rPr>
                    <w:t>第八条 禁止违反风景名胜区规划，在风景名胜区内设立各类开发区。禁止在风景名胜区核心景区的岸线和河段范围内建设宾馆、招待所、培训中心、疗养院以及与风景名胜资源保护无关的项目。</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不涉及风景名胜区。</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jc w:val="center"/>
              </w:trPr>
              <w:tc>
                <w:tcPr>
                  <w:tcW w:w="3240" w:type="pct"/>
                  <w:vAlign w:val="center"/>
                </w:tcPr>
                <w:p>
                  <w:pPr>
                    <w:widowControl/>
                    <w:spacing w:line="240" w:lineRule="auto"/>
                    <w:ind w:firstLine="0" w:firstLineChars="0"/>
                    <w:rPr>
                      <w:kern w:val="0"/>
                      <w:sz w:val="21"/>
                      <w:szCs w:val="20"/>
                    </w:rPr>
                  </w:pPr>
                  <w:r>
                    <w:rPr>
                      <w:rFonts w:hint="eastAsia"/>
                      <w:kern w:val="0"/>
                      <w:sz w:val="21"/>
                      <w:szCs w:val="20"/>
                    </w:rPr>
                    <w:t>第九条 禁止在饮用水水源准保护区的岸线和河段范围内新建、扩建对水体污染严重的建设项目，禁止改建增加排污量的建设项目。</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不涉及饮用水水源准保护区。</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jc w:val="center"/>
              </w:trPr>
              <w:tc>
                <w:tcPr>
                  <w:tcW w:w="3240" w:type="pct"/>
                  <w:vAlign w:val="center"/>
                </w:tcPr>
                <w:p>
                  <w:pPr>
                    <w:widowControl/>
                    <w:spacing w:line="240" w:lineRule="auto"/>
                    <w:ind w:firstLine="0" w:firstLineChars="0"/>
                    <w:rPr>
                      <w:kern w:val="0"/>
                      <w:sz w:val="21"/>
                      <w:szCs w:val="20"/>
                    </w:rPr>
                  </w:pPr>
                  <w:r>
                    <w:rPr>
                      <w:rFonts w:hint="eastAsia"/>
                      <w:kern w:val="0"/>
                      <w:sz w:val="21"/>
                      <w:szCs w:val="20"/>
                    </w:rPr>
                    <w:t>第十条 饮用水水源二级保护区的岸线和河段范围内，除遵守准保护区规定外，禁止新建、改建、扩建排放污染物的投资建设项目；禁止从事对水体有污染的水产养殖等活动。</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不涉及饮用水水源二级保护区。</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jc w:val="center"/>
              </w:trPr>
              <w:tc>
                <w:tcPr>
                  <w:tcW w:w="3240" w:type="pct"/>
                  <w:vAlign w:val="center"/>
                </w:tcPr>
                <w:p>
                  <w:pPr>
                    <w:widowControl/>
                    <w:spacing w:line="240" w:lineRule="auto"/>
                    <w:ind w:firstLine="0" w:firstLineChars="0"/>
                    <w:rPr>
                      <w:kern w:val="0"/>
                      <w:sz w:val="21"/>
                      <w:szCs w:val="20"/>
                    </w:rPr>
                  </w:pPr>
                  <w:r>
                    <w:rPr>
                      <w:rFonts w:hint="eastAsia"/>
                      <w:kern w:val="0"/>
                      <w:sz w:val="21"/>
                      <w:szCs w:val="20"/>
                    </w:rPr>
                    <w:t>第十一条 饮用水水源一级保护区的岸线和河段范围内，除遵守二级保护区规定外，禁止新建、改建、扩建与供水设施和保护水源无关的项目，以及网箱养殖、畜禽养殖、旅游等可能污染饮用水水体的投资建设项目。</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不涉及饮用水水源一级保护区。</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3240" w:type="pct"/>
                  <w:vAlign w:val="center"/>
                </w:tcPr>
                <w:p>
                  <w:pPr>
                    <w:widowControl/>
                    <w:spacing w:line="240" w:lineRule="auto"/>
                    <w:ind w:firstLine="0" w:firstLineChars="0"/>
                    <w:rPr>
                      <w:kern w:val="0"/>
                      <w:sz w:val="21"/>
                      <w:szCs w:val="20"/>
                    </w:rPr>
                  </w:pPr>
                  <w:r>
                    <w:rPr>
                      <w:rFonts w:hint="eastAsia"/>
                      <w:kern w:val="0"/>
                      <w:sz w:val="21"/>
                      <w:szCs w:val="20"/>
                    </w:rPr>
                    <w:t>第十二条 禁止在水产种质资源保护区的岸线和河段范围内新建围湖造田、围海造地或挖沙采石等投资减少项目。</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不涉及水产种质资源保护区。</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1" w:hRule="atLeast"/>
                <w:jc w:val="center"/>
              </w:trPr>
              <w:tc>
                <w:tcPr>
                  <w:tcW w:w="3240" w:type="pct"/>
                  <w:vAlign w:val="center"/>
                </w:tcPr>
                <w:p>
                  <w:pPr>
                    <w:widowControl/>
                    <w:spacing w:line="240" w:lineRule="auto"/>
                    <w:ind w:firstLine="0" w:firstLineChars="0"/>
                    <w:rPr>
                      <w:kern w:val="0"/>
                      <w:sz w:val="21"/>
                      <w:szCs w:val="20"/>
                    </w:rPr>
                  </w:pPr>
                  <w:r>
                    <w:rPr>
                      <w:rFonts w:hint="eastAsia"/>
                      <w:kern w:val="0"/>
                      <w:sz w:val="21"/>
                      <w:szCs w:val="20"/>
                    </w:rPr>
                    <w:t>第十三条 禁止在国家湿地公园的岸线和河段范围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不涉及国家湿地公园。</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8" w:hRule="atLeast"/>
                <w:jc w:val="center"/>
              </w:trPr>
              <w:tc>
                <w:tcPr>
                  <w:tcW w:w="3240" w:type="pct"/>
                  <w:shd w:val="clear" w:color="auto" w:fill="auto"/>
                  <w:vAlign w:val="center"/>
                </w:tcPr>
                <w:p>
                  <w:pPr>
                    <w:widowControl/>
                    <w:spacing w:line="240" w:lineRule="auto"/>
                    <w:ind w:firstLine="0" w:firstLineChars="0"/>
                    <w:rPr>
                      <w:kern w:val="0"/>
                      <w:sz w:val="21"/>
                      <w:szCs w:val="20"/>
                    </w:rPr>
                  </w:pPr>
                  <w:r>
                    <w:rPr>
                      <w:rFonts w:hint="eastAsia"/>
                      <w:kern w:val="0"/>
                      <w:sz w:val="21"/>
                      <w:szCs w:val="20"/>
                    </w:rPr>
                    <w:t>第十四条 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外的项目。</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不涉及长江河湖岸线。</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8" w:hRule="atLeast"/>
                <w:jc w:val="center"/>
              </w:trPr>
              <w:tc>
                <w:tcPr>
                  <w:tcW w:w="3240" w:type="pct"/>
                  <w:shd w:val="clear" w:color="auto" w:fill="auto"/>
                  <w:vAlign w:val="center"/>
                </w:tcPr>
                <w:p>
                  <w:pPr>
                    <w:widowControl/>
                    <w:spacing w:line="240" w:lineRule="auto"/>
                    <w:ind w:firstLine="0" w:firstLineChars="0"/>
                    <w:rPr>
                      <w:kern w:val="0"/>
                      <w:sz w:val="21"/>
                      <w:szCs w:val="20"/>
                    </w:rPr>
                  </w:pPr>
                  <w:r>
                    <w:rPr>
                      <w:rFonts w:hint="eastAsia"/>
                      <w:kern w:val="0"/>
                      <w:sz w:val="21"/>
                      <w:szCs w:val="20"/>
                    </w:rPr>
                    <w:t>第十五条 禁止在《全国重要江河湖泊水功能区划》划定的河段保护区、保留区内投资建设不利于水资源及自然生态保护的项目。</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不涉及河段保护区、保留区。</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8" w:hRule="atLeast"/>
                <w:jc w:val="center"/>
              </w:trPr>
              <w:tc>
                <w:tcPr>
                  <w:tcW w:w="3240" w:type="pct"/>
                  <w:shd w:val="clear" w:color="auto" w:fill="auto"/>
                  <w:vAlign w:val="center"/>
                </w:tcPr>
                <w:p>
                  <w:pPr>
                    <w:widowControl/>
                    <w:spacing w:line="240" w:lineRule="auto"/>
                    <w:ind w:firstLine="0" w:firstLineChars="0"/>
                    <w:rPr>
                      <w:kern w:val="0"/>
                      <w:sz w:val="21"/>
                      <w:szCs w:val="20"/>
                    </w:rPr>
                  </w:pPr>
                  <w:r>
                    <w:rPr>
                      <w:rFonts w:hint="eastAsia"/>
                      <w:kern w:val="0"/>
                      <w:sz w:val="21"/>
                      <w:szCs w:val="20"/>
                    </w:rPr>
                    <w:t>第十六条 禁止在长江流域江河、湖泊新设、改设或者扩大排污口，经有管辖权的生态环境主管部门或者长江流域生态环境监督管理机构同意的除外。</w:t>
                  </w:r>
                </w:p>
              </w:tc>
              <w:tc>
                <w:tcPr>
                  <w:tcW w:w="1162" w:type="pct"/>
                  <w:vAlign w:val="center"/>
                </w:tcPr>
                <w:p>
                  <w:pPr>
                    <w:widowControl/>
                    <w:spacing w:line="240" w:lineRule="auto"/>
                    <w:ind w:firstLine="105" w:firstLineChars="50"/>
                    <w:rPr>
                      <w:kern w:val="0"/>
                      <w:sz w:val="21"/>
                      <w:szCs w:val="20"/>
                    </w:rPr>
                  </w:pPr>
                  <w:r>
                    <w:rPr>
                      <w:rFonts w:hint="eastAsia"/>
                      <w:kern w:val="0"/>
                      <w:sz w:val="21"/>
                      <w:szCs w:val="20"/>
                    </w:rPr>
                    <w:t>不新增排污口。</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8" w:hRule="atLeast"/>
                <w:jc w:val="center"/>
              </w:trPr>
              <w:tc>
                <w:tcPr>
                  <w:tcW w:w="3240" w:type="pct"/>
                  <w:shd w:val="clear" w:color="auto" w:fill="auto"/>
                  <w:vAlign w:val="center"/>
                </w:tcPr>
                <w:p>
                  <w:pPr>
                    <w:widowControl/>
                    <w:spacing w:line="240" w:lineRule="auto"/>
                    <w:ind w:firstLine="0" w:firstLineChars="0"/>
                    <w:rPr>
                      <w:kern w:val="0"/>
                      <w:sz w:val="21"/>
                      <w:szCs w:val="20"/>
                    </w:rPr>
                  </w:pPr>
                  <w:r>
                    <w:rPr>
                      <w:rFonts w:hint="eastAsia"/>
                      <w:kern w:val="0"/>
                      <w:sz w:val="21"/>
                      <w:szCs w:val="20"/>
                    </w:rPr>
                    <w:t>第十七条 禁止在长江干流、大渡河、岷江、赤水河、沱江、嘉陵江、乌江、汉江和51个（四川省45个、重庆市6个）水生生物保护区开展生产线捕捞。</w:t>
                  </w:r>
                </w:p>
              </w:tc>
              <w:tc>
                <w:tcPr>
                  <w:tcW w:w="1162" w:type="pct"/>
                  <w:vAlign w:val="center"/>
                </w:tcPr>
                <w:p>
                  <w:pPr>
                    <w:widowControl/>
                    <w:spacing w:line="240" w:lineRule="auto"/>
                    <w:ind w:firstLine="210" w:firstLineChars="100"/>
                    <w:rPr>
                      <w:kern w:val="0"/>
                      <w:sz w:val="21"/>
                      <w:szCs w:val="20"/>
                    </w:rPr>
                  </w:pPr>
                  <w:r>
                    <w:rPr>
                      <w:rFonts w:hint="eastAsia"/>
                      <w:kern w:val="0"/>
                      <w:sz w:val="21"/>
                      <w:szCs w:val="20"/>
                    </w:rPr>
                    <w:t>项目不涉及。</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8" w:hRule="atLeast"/>
                <w:jc w:val="center"/>
              </w:trPr>
              <w:tc>
                <w:tcPr>
                  <w:tcW w:w="3240" w:type="pct"/>
                  <w:shd w:val="clear" w:color="auto" w:fill="auto"/>
                  <w:vAlign w:val="center"/>
                </w:tcPr>
                <w:p>
                  <w:pPr>
                    <w:widowControl/>
                    <w:spacing w:line="240" w:lineRule="auto"/>
                    <w:ind w:firstLine="0" w:firstLineChars="0"/>
                    <w:rPr>
                      <w:kern w:val="0"/>
                      <w:sz w:val="21"/>
                      <w:szCs w:val="20"/>
                    </w:rPr>
                  </w:pPr>
                  <w:r>
                    <w:rPr>
                      <w:rFonts w:hint="eastAsia"/>
                      <w:kern w:val="0"/>
                      <w:sz w:val="21"/>
                      <w:szCs w:val="20"/>
                    </w:rPr>
                    <w:t>第十八条 禁止在长江干支流、重要湖泊岸线一公里范围内新建、扩建化工园区和化工项目。</w:t>
                  </w:r>
                </w:p>
              </w:tc>
              <w:tc>
                <w:tcPr>
                  <w:tcW w:w="1162" w:type="pct"/>
                  <w:vAlign w:val="center"/>
                </w:tcPr>
                <w:p>
                  <w:pPr>
                    <w:widowControl/>
                    <w:spacing w:line="240" w:lineRule="auto"/>
                    <w:ind w:firstLine="210" w:firstLineChars="100"/>
                    <w:rPr>
                      <w:kern w:val="0"/>
                      <w:sz w:val="21"/>
                      <w:szCs w:val="20"/>
                    </w:rPr>
                  </w:pPr>
                  <w:r>
                    <w:rPr>
                      <w:rFonts w:hint="eastAsia"/>
                      <w:kern w:val="0"/>
                      <w:sz w:val="21"/>
                      <w:szCs w:val="20"/>
                    </w:rPr>
                    <w:t>项目不涉及。</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8" w:hRule="atLeast"/>
                <w:jc w:val="center"/>
              </w:trPr>
              <w:tc>
                <w:tcPr>
                  <w:tcW w:w="3240" w:type="pct"/>
                  <w:shd w:val="clear" w:color="auto" w:fill="auto"/>
                  <w:vAlign w:val="center"/>
                </w:tcPr>
                <w:p>
                  <w:pPr>
                    <w:widowControl/>
                    <w:spacing w:line="240" w:lineRule="auto"/>
                    <w:ind w:firstLine="0" w:firstLineChars="0"/>
                    <w:rPr>
                      <w:kern w:val="0"/>
                      <w:sz w:val="21"/>
                      <w:szCs w:val="20"/>
                    </w:rPr>
                  </w:pPr>
                  <w:r>
                    <w:rPr>
                      <w:rFonts w:hint="eastAsia"/>
                      <w:kern w:val="0"/>
                      <w:sz w:val="21"/>
                      <w:szCs w:val="20"/>
                    </w:rPr>
                    <w:t>第十九条 禁止在长江干流岸线三公里范围内河重要支流岸线一公里范围内新建、改建、扩建尾矿库、冶炼渣库、磷石膏库，以提升安全、生态环境保护水平为目的的改建除外。</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不属于尾矿库、冶炼渣库、磷石膏库项目。</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8" w:hRule="atLeast"/>
                <w:jc w:val="center"/>
              </w:trPr>
              <w:tc>
                <w:tcPr>
                  <w:tcW w:w="3240" w:type="pct"/>
                  <w:shd w:val="clear" w:color="auto" w:fill="auto"/>
                  <w:vAlign w:val="center"/>
                </w:tcPr>
                <w:p>
                  <w:pPr>
                    <w:widowControl/>
                    <w:spacing w:line="240" w:lineRule="auto"/>
                    <w:ind w:firstLine="0" w:firstLineChars="0"/>
                    <w:rPr>
                      <w:kern w:val="0"/>
                      <w:sz w:val="21"/>
                      <w:szCs w:val="20"/>
                    </w:rPr>
                  </w:pPr>
                  <w:r>
                    <w:rPr>
                      <w:rFonts w:hint="eastAsia"/>
                      <w:kern w:val="0"/>
                      <w:sz w:val="21"/>
                      <w:szCs w:val="20"/>
                    </w:rPr>
                    <w:t>第二十条 禁止在生态保护红线区域、永久基本农田集中区域和其他需要特别保护的区域内选址建设尾矿库、冶炼渣库、磷石膏库。</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不占用生态保护红线区域、永久基本农田。</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8" w:hRule="atLeast"/>
                <w:jc w:val="center"/>
              </w:trPr>
              <w:tc>
                <w:tcPr>
                  <w:tcW w:w="3240" w:type="pct"/>
                  <w:shd w:val="clear" w:color="auto" w:fill="auto"/>
                  <w:vAlign w:val="center"/>
                </w:tcPr>
                <w:p>
                  <w:pPr>
                    <w:widowControl/>
                    <w:spacing w:line="240" w:lineRule="auto"/>
                    <w:ind w:firstLine="0" w:firstLineChars="0"/>
                    <w:rPr>
                      <w:kern w:val="0"/>
                      <w:sz w:val="21"/>
                      <w:szCs w:val="20"/>
                    </w:rPr>
                  </w:pPr>
                  <w:r>
                    <w:rPr>
                      <w:rFonts w:hint="eastAsia"/>
                      <w:kern w:val="0"/>
                      <w:sz w:val="21"/>
                      <w:szCs w:val="20"/>
                    </w:rPr>
                    <w:t>第二十一条 禁止在合规园区外新建、扩建钢铁、石化、化工、焦化、建材、有色、制浆造纸等高污染项目。</w:t>
                  </w:r>
                </w:p>
              </w:tc>
              <w:tc>
                <w:tcPr>
                  <w:tcW w:w="1162" w:type="pct"/>
                  <w:vAlign w:val="center"/>
                </w:tcPr>
                <w:p>
                  <w:pPr>
                    <w:widowControl/>
                    <w:spacing w:line="240" w:lineRule="auto"/>
                    <w:ind w:firstLine="210" w:firstLineChars="100"/>
                    <w:rPr>
                      <w:kern w:val="0"/>
                      <w:sz w:val="21"/>
                      <w:szCs w:val="20"/>
                    </w:rPr>
                  </w:pPr>
                  <w:r>
                    <w:rPr>
                      <w:rFonts w:hint="eastAsia"/>
                      <w:kern w:val="0"/>
                      <w:sz w:val="21"/>
                      <w:szCs w:val="20"/>
                    </w:rPr>
                    <w:t>项目不涉及。</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8" w:hRule="atLeast"/>
                <w:jc w:val="center"/>
              </w:trPr>
              <w:tc>
                <w:tcPr>
                  <w:tcW w:w="3240" w:type="pct"/>
                  <w:shd w:val="clear" w:color="auto" w:fill="auto"/>
                  <w:vAlign w:val="center"/>
                </w:tcPr>
                <w:p>
                  <w:pPr>
                    <w:widowControl/>
                    <w:spacing w:line="240" w:lineRule="auto"/>
                    <w:ind w:firstLine="0" w:firstLineChars="0"/>
                    <w:rPr>
                      <w:kern w:val="0"/>
                      <w:sz w:val="21"/>
                      <w:szCs w:val="20"/>
                    </w:rPr>
                  </w:pPr>
                  <w:r>
                    <w:rPr>
                      <w:rFonts w:hint="eastAsia"/>
                      <w:kern w:val="0"/>
                      <w:sz w:val="21"/>
                      <w:szCs w:val="20"/>
                    </w:rPr>
                    <w:t>第二十二条 禁止新建、改建不符合国家石化、现代煤化工等产业布局规划的项目。</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不属于石化、现代煤化工项目。</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3240" w:type="pct"/>
                  <w:vAlign w:val="center"/>
                </w:tcPr>
                <w:p>
                  <w:pPr>
                    <w:widowControl/>
                    <w:spacing w:line="240" w:lineRule="auto"/>
                    <w:ind w:firstLine="0" w:firstLineChars="0"/>
                    <w:rPr>
                      <w:kern w:val="0"/>
                      <w:sz w:val="21"/>
                      <w:szCs w:val="20"/>
                    </w:rPr>
                  </w:pPr>
                  <w:r>
                    <w:rPr>
                      <w:rFonts w:hint="eastAsia"/>
                      <w:kern w:val="0"/>
                      <w:sz w:val="21"/>
                      <w:szCs w:val="20"/>
                    </w:rPr>
                    <w:t>第二十三条 禁止新建、扩建法律法规和相关政策明令禁止的落后产能项目。对《产业结构调整指导目录》中淘汰类项目，禁止投资；限制类的新建项目，禁止投资，对属于限制类的现有生产能力，允许企业在一定期限内采取措施改造升级。</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不属于落后产能项目，属于《产业结构调整指导目录》中允许类项目。</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3240" w:type="pct"/>
                  <w:vAlign w:val="center"/>
                </w:tcPr>
                <w:p>
                  <w:pPr>
                    <w:widowControl/>
                    <w:spacing w:line="240" w:lineRule="auto"/>
                    <w:ind w:firstLine="0" w:firstLineChars="0"/>
                    <w:rPr>
                      <w:kern w:val="0"/>
                      <w:sz w:val="21"/>
                      <w:szCs w:val="20"/>
                    </w:rPr>
                  </w:pPr>
                  <w:r>
                    <w:rPr>
                      <w:rFonts w:hint="eastAsia"/>
                      <w:kern w:val="0"/>
                      <w:sz w:val="21"/>
                      <w:szCs w:val="20"/>
                    </w:rPr>
                    <w:t>第二十四条 禁止新建、扩建不符合国家产能置换要求的严重过剩产能行业的项目。对应不符合国家产能置换要求的严重过剩产能行业，不得以其他任何名义、任何方式备案新增产能项目。</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不属于严重过剩产能行业的项目。</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3240" w:type="pct"/>
                  <w:vAlign w:val="center"/>
                </w:tcPr>
                <w:p>
                  <w:pPr>
                    <w:widowControl/>
                    <w:spacing w:line="240" w:lineRule="auto"/>
                    <w:ind w:firstLine="0" w:firstLineChars="0"/>
                    <w:rPr>
                      <w:kern w:val="0"/>
                      <w:sz w:val="21"/>
                      <w:szCs w:val="20"/>
                    </w:rPr>
                  </w:pPr>
                  <w:r>
                    <w:rPr>
                      <w:rFonts w:hint="eastAsia"/>
                      <w:kern w:val="0"/>
                      <w:sz w:val="21"/>
                      <w:szCs w:val="20"/>
                    </w:rPr>
                    <w:t>第二十五条 禁止建设以下燃油汽车投资项目（不在中国境内销售产品的投资项目除外）：</w:t>
                  </w:r>
                </w:p>
                <w:p>
                  <w:pPr>
                    <w:widowControl/>
                    <w:spacing w:line="240" w:lineRule="auto"/>
                    <w:ind w:firstLine="420" w:firstLineChars="0"/>
                    <w:rPr>
                      <w:kern w:val="0"/>
                      <w:sz w:val="21"/>
                      <w:szCs w:val="20"/>
                    </w:rPr>
                  </w:pPr>
                  <w:r>
                    <w:rPr>
                      <w:rFonts w:hint="eastAsia"/>
                      <w:kern w:val="0"/>
                      <w:sz w:val="21"/>
                      <w:szCs w:val="20"/>
                    </w:rPr>
                    <w:t>（一）新建独立燃油汽车企业；</w:t>
                  </w:r>
                </w:p>
                <w:p>
                  <w:pPr>
                    <w:widowControl/>
                    <w:spacing w:line="240" w:lineRule="auto"/>
                    <w:ind w:firstLine="420" w:firstLineChars="0"/>
                    <w:rPr>
                      <w:kern w:val="0"/>
                      <w:sz w:val="21"/>
                      <w:szCs w:val="20"/>
                    </w:rPr>
                  </w:pPr>
                  <w:r>
                    <w:rPr>
                      <w:rFonts w:hint="eastAsia"/>
                      <w:kern w:val="0"/>
                      <w:sz w:val="21"/>
                      <w:szCs w:val="20"/>
                    </w:rPr>
                    <w:t>（二）现有汽车企业跨乘用车、商用车类别建设燃油汽车生产能力；</w:t>
                  </w:r>
                </w:p>
                <w:p>
                  <w:pPr>
                    <w:widowControl/>
                    <w:spacing w:line="240" w:lineRule="auto"/>
                    <w:ind w:firstLine="420" w:firstLineChars="0"/>
                    <w:rPr>
                      <w:kern w:val="0"/>
                      <w:sz w:val="21"/>
                      <w:szCs w:val="20"/>
                    </w:rPr>
                  </w:pPr>
                  <w:r>
                    <w:rPr>
                      <w:rFonts w:hint="eastAsia"/>
                      <w:kern w:val="0"/>
                      <w:sz w:val="21"/>
                      <w:szCs w:val="20"/>
                    </w:rPr>
                    <w:t>（三）外省现有燃油汽车企业整体搬迁至本省（列入国家级区域发展规划或不改变企业股权结构的项目除外）；</w:t>
                  </w:r>
                </w:p>
                <w:p>
                  <w:pPr>
                    <w:widowControl/>
                    <w:spacing w:line="240" w:lineRule="auto"/>
                    <w:ind w:firstLine="420" w:firstLineChars="0"/>
                    <w:rPr>
                      <w:kern w:val="0"/>
                      <w:sz w:val="21"/>
                      <w:szCs w:val="20"/>
                    </w:rPr>
                  </w:pPr>
                  <w:r>
                    <w:rPr>
                      <w:rFonts w:hint="eastAsia"/>
                      <w:kern w:val="0"/>
                      <w:sz w:val="21"/>
                      <w:szCs w:val="20"/>
                    </w:rPr>
                    <w:t>（四）对行业管理部门特别公示的燃油汽车企业进行投资（企业原有股东投资或将该企业转为非独立法人的投资项目除外）。</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不属于燃油汽车投资项目。</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3240" w:type="pct"/>
                  <w:vAlign w:val="center"/>
                </w:tcPr>
                <w:p>
                  <w:pPr>
                    <w:widowControl/>
                    <w:spacing w:line="240" w:lineRule="auto"/>
                    <w:ind w:firstLine="0" w:firstLineChars="0"/>
                    <w:rPr>
                      <w:kern w:val="0"/>
                      <w:sz w:val="21"/>
                      <w:szCs w:val="20"/>
                    </w:rPr>
                  </w:pPr>
                  <w:r>
                    <w:rPr>
                      <w:rFonts w:hint="eastAsia"/>
                      <w:kern w:val="0"/>
                      <w:sz w:val="21"/>
                      <w:szCs w:val="20"/>
                    </w:rPr>
                    <w:t>第二十六条 禁止新建、扩建不符合要求的高耗能、高排放、低水平项目。</w:t>
                  </w:r>
                </w:p>
              </w:tc>
              <w:tc>
                <w:tcPr>
                  <w:tcW w:w="1162" w:type="pct"/>
                  <w:vAlign w:val="center"/>
                </w:tcPr>
                <w:p>
                  <w:pPr>
                    <w:widowControl/>
                    <w:spacing w:line="240" w:lineRule="auto"/>
                    <w:ind w:firstLine="0" w:firstLineChars="0"/>
                    <w:rPr>
                      <w:kern w:val="0"/>
                      <w:sz w:val="21"/>
                      <w:szCs w:val="20"/>
                    </w:rPr>
                  </w:pPr>
                  <w:r>
                    <w:rPr>
                      <w:rFonts w:hint="eastAsia"/>
                      <w:kern w:val="0"/>
                      <w:sz w:val="21"/>
                      <w:szCs w:val="20"/>
                    </w:rPr>
                    <w:t>不属于高耗能、高排放、低水平项目。</w:t>
                  </w:r>
                </w:p>
              </w:tc>
              <w:tc>
                <w:tcPr>
                  <w:tcW w:w="598" w:type="pct"/>
                  <w:vAlign w:val="center"/>
                </w:tcPr>
                <w:p>
                  <w:pPr>
                    <w:widowControl/>
                    <w:spacing w:line="240" w:lineRule="auto"/>
                    <w:ind w:firstLine="105" w:firstLineChars="50"/>
                    <w:rPr>
                      <w:kern w:val="0"/>
                      <w:sz w:val="21"/>
                      <w:szCs w:val="20"/>
                    </w:rPr>
                  </w:pPr>
                  <w:r>
                    <w:rPr>
                      <w:rFonts w:hint="eastAsia"/>
                      <w:kern w:val="0"/>
                      <w:sz w:val="21"/>
                      <w:szCs w:val="20"/>
                    </w:rPr>
                    <w:t>符合</w:t>
                  </w:r>
                </w:p>
              </w:tc>
            </w:tr>
          </w:tbl>
          <w:p>
            <w:pPr>
              <w:pStyle w:val="178"/>
              <w:rPr>
                <w:rFonts w:eastAsia="宋体"/>
                <w:color w:val="auto"/>
                <w:sz w:val="24"/>
                <w:szCs w:val="24"/>
              </w:rPr>
            </w:pPr>
          </w:p>
          <w:p>
            <w:pPr>
              <w:pStyle w:val="169"/>
              <w:spacing w:line="360" w:lineRule="auto"/>
              <w:ind w:firstLine="480" w:firstLineChars="200"/>
              <w:jc w:val="left"/>
              <w:rPr>
                <w:sz w:val="24"/>
                <w:szCs w:val="24"/>
              </w:rPr>
            </w:pPr>
            <w:r>
              <w:rPr>
                <w:rFonts w:hint="eastAsia"/>
                <w:sz w:val="24"/>
                <w:szCs w:val="24"/>
              </w:rPr>
              <w:t>根据表1.2-6分析结果，项目符合《四川省、重庆市长江经济带发展负面清单实施细则（试行，2022年版）》（川长江办发</w:t>
            </w:r>
            <w:r>
              <w:rPr>
                <w:rFonts w:hint="eastAsia"/>
                <w:sz w:val="24"/>
                <w:szCs w:val="24"/>
                <w:lang w:eastAsia="zh-CN"/>
              </w:rPr>
              <w:t>〔</w:t>
            </w:r>
            <w:r>
              <w:rPr>
                <w:sz w:val="24"/>
                <w:szCs w:val="24"/>
              </w:rPr>
              <w:t>20</w:t>
            </w:r>
            <w:r>
              <w:rPr>
                <w:rFonts w:hint="eastAsia"/>
                <w:sz w:val="24"/>
                <w:szCs w:val="24"/>
              </w:rPr>
              <w:t>22</w:t>
            </w:r>
            <w:r>
              <w:rPr>
                <w:rFonts w:hint="eastAsia"/>
                <w:sz w:val="24"/>
                <w:szCs w:val="24"/>
                <w:lang w:eastAsia="zh-CN"/>
              </w:rPr>
              <w:t>〕</w:t>
            </w:r>
            <w:r>
              <w:rPr>
                <w:rFonts w:hint="eastAsia"/>
                <w:sz w:val="24"/>
                <w:szCs w:val="24"/>
              </w:rPr>
              <w:t>17号）中相关要求。</w:t>
            </w:r>
          </w:p>
          <w:p>
            <w:pPr>
              <w:pStyle w:val="178"/>
              <w:rPr>
                <w:rFonts w:eastAsia="宋体"/>
                <w:color w:val="auto"/>
                <w:sz w:val="24"/>
                <w:szCs w:val="24"/>
              </w:rPr>
            </w:pPr>
          </w:p>
          <w:p>
            <w:pPr>
              <w:pStyle w:val="178"/>
              <w:rPr>
                <w:rFonts w:eastAsia="宋体"/>
                <w:color w:val="auto"/>
                <w:sz w:val="24"/>
                <w:szCs w:val="24"/>
              </w:rPr>
            </w:pPr>
          </w:p>
          <w:p>
            <w:pPr>
              <w:pStyle w:val="3246"/>
              <w:rPr>
                <w:b/>
              </w:rPr>
            </w:pPr>
            <w:r>
              <w:rPr>
                <w:rFonts w:hint="eastAsia"/>
                <w:b/>
              </w:rPr>
              <w:t>1.2.14</w:t>
            </w:r>
            <w:r>
              <w:rPr>
                <w:b/>
              </w:rPr>
              <w:t>与《关于加强高耗能、高排放建设项目生态环境源头防控的指导意见》环环评[2021]45 号、《重庆市生态环境局办公室关于贯彻落实坚决遏制高耗能、高排放项目盲目发展相关要求的通知》（渝环办〔2021〕168 号）</w:t>
            </w:r>
            <w:r>
              <w:rPr>
                <w:rFonts w:hint="eastAsia"/>
                <w:b/>
              </w:rPr>
              <w:t>符合性</w:t>
            </w:r>
            <w:r>
              <w:rPr>
                <w:b/>
              </w:rPr>
              <w:t>分析</w:t>
            </w:r>
          </w:p>
          <w:p>
            <w:pPr>
              <w:pStyle w:val="3246"/>
              <w:ind w:firstLine="480"/>
            </w:pPr>
            <w:r>
              <w:rPr>
                <w:rFonts w:hint="eastAsia"/>
              </w:rPr>
              <w:t>项目与</w:t>
            </w:r>
            <w:r>
              <w:t>《关于加强高耗能、高排放建设项目生态环境源头防控的指导意见》环环评[2021]45号、《重庆市生态环境局办公室关于贯彻落实坚决遏制高耗能、高排放项目盲目发展相关要求的通知》（渝环办〔2021〕168 号）</w:t>
            </w:r>
            <w:r>
              <w:rPr>
                <w:rFonts w:hint="eastAsia"/>
              </w:rPr>
              <w:t>符合性</w:t>
            </w:r>
            <w:r>
              <w:t>分析</w:t>
            </w:r>
            <w:r>
              <w:rPr>
                <w:rFonts w:hint="eastAsia"/>
              </w:rPr>
              <w:t>见表1.2-7。</w:t>
            </w:r>
          </w:p>
          <w:p>
            <w:pPr>
              <w:pStyle w:val="178"/>
              <w:ind w:firstLine="240" w:firstLineChars="100"/>
              <w:jc w:val="left"/>
              <w:rPr>
                <w:rFonts w:eastAsia="宋体"/>
                <w:color w:val="auto"/>
                <w:sz w:val="24"/>
                <w:szCs w:val="24"/>
              </w:rPr>
            </w:pPr>
            <w:r>
              <w:rPr>
                <w:rFonts w:eastAsia="宋体"/>
                <w:color w:val="auto"/>
                <w:sz w:val="24"/>
                <w:szCs w:val="24"/>
              </w:rPr>
              <w:t xml:space="preserve">表 </w:t>
            </w:r>
            <w:r>
              <w:rPr>
                <w:rFonts w:hint="eastAsia" w:eastAsia="宋体"/>
                <w:color w:val="auto"/>
                <w:sz w:val="24"/>
                <w:szCs w:val="24"/>
              </w:rPr>
              <w:t>1.2-7   项目与环环评</w:t>
            </w:r>
            <w:r>
              <w:rPr>
                <w:rFonts w:eastAsia="宋体"/>
                <w:color w:val="auto"/>
                <w:sz w:val="24"/>
                <w:szCs w:val="24"/>
              </w:rPr>
              <w:t>[2021]45</w:t>
            </w:r>
            <w:r>
              <w:rPr>
                <w:rFonts w:hint="eastAsia" w:eastAsia="宋体"/>
                <w:color w:val="auto"/>
                <w:sz w:val="24"/>
                <w:szCs w:val="24"/>
              </w:rPr>
              <w:t>号、渝环办〔</w:t>
            </w:r>
            <w:r>
              <w:rPr>
                <w:rFonts w:eastAsia="宋体"/>
                <w:color w:val="auto"/>
                <w:sz w:val="24"/>
                <w:szCs w:val="24"/>
              </w:rPr>
              <w:t>2021</w:t>
            </w:r>
            <w:r>
              <w:rPr>
                <w:rFonts w:hint="eastAsia" w:eastAsia="宋体"/>
                <w:color w:val="auto"/>
                <w:sz w:val="24"/>
                <w:szCs w:val="24"/>
              </w:rPr>
              <w:t>〕</w:t>
            </w:r>
            <w:r>
              <w:rPr>
                <w:rFonts w:eastAsia="宋体"/>
                <w:color w:val="auto"/>
                <w:sz w:val="24"/>
                <w:szCs w:val="24"/>
              </w:rPr>
              <w:t>168</w:t>
            </w:r>
            <w:r>
              <w:rPr>
                <w:rFonts w:hint="eastAsia" w:eastAsia="宋体"/>
                <w:color w:val="auto"/>
                <w:sz w:val="24"/>
                <w:szCs w:val="24"/>
              </w:rPr>
              <w:t>号</w:t>
            </w:r>
            <w:r>
              <w:rPr>
                <w:rFonts w:eastAsia="宋体"/>
                <w:color w:val="auto"/>
                <w:sz w:val="24"/>
                <w:szCs w:val="24"/>
              </w:rPr>
              <w:t>符合性分析表</w:t>
            </w:r>
          </w:p>
          <w:tbl>
            <w:tblPr>
              <w:tblStyle w:val="88"/>
              <w:tblW w:w="493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738"/>
              <w:gridCol w:w="3209"/>
              <w:gridCol w:w="1542"/>
              <w:gridCol w:w="8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 w:hRule="atLeast"/>
                <w:jc w:val="center"/>
              </w:trPr>
              <w:tc>
                <w:tcPr>
                  <w:tcW w:w="1650" w:type="pct"/>
                  <w:vAlign w:val="center"/>
                </w:tcPr>
                <w:p>
                  <w:pPr>
                    <w:pStyle w:val="169"/>
                    <w:rPr>
                      <w:szCs w:val="21"/>
                    </w:rPr>
                  </w:pPr>
                  <w:r>
                    <w:rPr>
                      <w:szCs w:val="21"/>
                    </w:rPr>
                    <w:t>环环评[2021]45 号相关要求</w:t>
                  </w:r>
                </w:p>
              </w:tc>
              <w:tc>
                <w:tcPr>
                  <w:tcW w:w="1934" w:type="pct"/>
                  <w:vAlign w:val="center"/>
                </w:tcPr>
                <w:p>
                  <w:pPr>
                    <w:pStyle w:val="169"/>
                    <w:rPr>
                      <w:szCs w:val="21"/>
                    </w:rPr>
                  </w:pPr>
                  <w:r>
                    <w:rPr>
                      <w:szCs w:val="21"/>
                    </w:rPr>
                    <w:t>渝环办〔2021〕168 号相关要求</w:t>
                  </w:r>
                </w:p>
              </w:tc>
              <w:tc>
                <w:tcPr>
                  <w:tcW w:w="929" w:type="pct"/>
                  <w:vAlign w:val="center"/>
                </w:tcPr>
                <w:p>
                  <w:pPr>
                    <w:pStyle w:val="169"/>
                    <w:rPr>
                      <w:szCs w:val="21"/>
                    </w:rPr>
                  </w:pPr>
                  <w:r>
                    <w:rPr>
                      <w:szCs w:val="21"/>
                    </w:rPr>
                    <w:t>项目情况</w:t>
                  </w:r>
                </w:p>
              </w:tc>
              <w:tc>
                <w:tcPr>
                  <w:tcW w:w="487" w:type="pct"/>
                  <w:vAlign w:val="center"/>
                </w:tcPr>
                <w:p>
                  <w:pPr>
                    <w:pStyle w:val="169"/>
                    <w:rPr>
                      <w:szCs w:val="21"/>
                    </w:rPr>
                  </w:pPr>
                  <w:r>
                    <w:rPr>
                      <w:szCs w:val="21"/>
                    </w:rPr>
                    <w:t>符合性分析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 w:hRule="atLeast"/>
                <w:jc w:val="center"/>
              </w:trPr>
              <w:tc>
                <w:tcPr>
                  <w:tcW w:w="1650" w:type="pct"/>
                  <w:vAlign w:val="center"/>
                </w:tcPr>
                <w:p>
                  <w:pPr>
                    <w:pStyle w:val="169"/>
                    <w:rPr>
                      <w:szCs w:val="21"/>
                    </w:rPr>
                  </w:pPr>
                  <w:r>
                    <w:rPr>
                      <w:szCs w:val="21"/>
                    </w:rPr>
                    <w:t>严把建设项目环境准入关。新建、改建、扩建 “两高”项目须符合生态环境保护法律法规和相关法定规划，满足重点污染物排放总量控制、碳排放达峰目标、生态环境准入清单、相关规划环评和相应行业建设项目环境准入条件、环评文件审批原则要求。石化、现代煤化工项目应纳入国家产业规划。新建、扩建石化、化工、焦化、有色金属冶炼、平板玻璃项目应布设在依法合规设立并经规划环评的产业园区。</w:t>
                  </w:r>
                </w:p>
              </w:tc>
              <w:tc>
                <w:tcPr>
                  <w:tcW w:w="1934" w:type="pct"/>
                  <w:shd w:val="clear" w:color="auto" w:fill="auto"/>
                  <w:vAlign w:val="center"/>
                </w:tcPr>
                <w:p>
                  <w:pPr>
                    <w:pStyle w:val="169"/>
                    <w:jc w:val="both"/>
                    <w:rPr>
                      <w:szCs w:val="21"/>
                    </w:rPr>
                  </w:pPr>
                  <w:r>
                    <w:rPr>
                      <w:szCs w:val="21"/>
                    </w:rPr>
                    <w:t>严格项目准入，对不符合生态环境保护法律法规、国家产业规划、产业政策、“三线一单”、规划环评、产能置换、煤炭消费减量替代和主要污染物排放量区域削减等要求的“两高”项目，坚决不予审批。严格按照国家及我市有关规定，对钢铁、水泥熟料、平板玻璃、电解铝等行业新建、扩建项目实行产能等量或减量置换。石化、现代煤化工项目应纳入国家产业规划。严控钢铁、化工、水泥等主要用煤行业煤炭消费，新建、改扩建项目实行用煤减量替代。严格落实国家及我市大气污染防控相关要求，对大气环境质量未达标地区，新建、改扩建项目实施更严格的污染物排放总量控制要求。严格落实区域削减要求，所在区域、流域控制单元环境质量未达到国家或者地方环境质量标准的，建设项目需提出有效的区域削减方案，主要污染物实行区域倍量削减。</w:t>
                  </w:r>
                </w:p>
              </w:tc>
              <w:tc>
                <w:tcPr>
                  <w:tcW w:w="929" w:type="pct"/>
                  <w:vMerge w:val="restart"/>
                  <w:vAlign w:val="center"/>
                </w:tcPr>
                <w:p>
                  <w:pPr>
                    <w:pStyle w:val="169"/>
                    <w:rPr>
                      <w:szCs w:val="21"/>
                    </w:rPr>
                  </w:pPr>
                  <w:r>
                    <w:rPr>
                      <w:rFonts w:hint="eastAsia"/>
                      <w:szCs w:val="21"/>
                    </w:rPr>
                    <w:t>项目为炼钢除尘灰资源化利用，不涉及煤使用，不属于《产业结构调整指导目录</w:t>
                  </w:r>
                  <w:r>
                    <w:rPr>
                      <w:rFonts w:hint="eastAsia"/>
                      <w:szCs w:val="21"/>
                      <w:lang w:eastAsia="zh-CN"/>
                    </w:rPr>
                    <w:t>（</w:t>
                  </w:r>
                  <w:r>
                    <w:rPr>
                      <w:szCs w:val="21"/>
                    </w:rPr>
                    <w:t xml:space="preserve">2019 </w:t>
                  </w:r>
                  <w:r>
                    <w:rPr>
                      <w:rFonts w:hint="eastAsia"/>
                      <w:szCs w:val="21"/>
                    </w:rPr>
                    <w:t>年</w:t>
                  </w:r>
                  <w:r>
                    <w:rPr>
                      <w:rFonts w:hint="eastAsia"/>
                      <w:szCs w:val="21"/>
                      <w:lang w:eastAsia="zh-CN"/>
                    </w:rPr>
                    <w:t>）</w:t>
                  </w:r>
                  <w:r>
                    <w:rPr>
                      <w:rFonts w:hint="eastAsia"/>
                      <w:szCs w:val="21"/>
                    </w:rPr>
                    <w:t xml:space="preserve">》淘汰类和限 </w:t>
                  </w:r>
                </w:p>
                <w:p>
                  <w:pPr>
                    <w:pStyle w:val="169"/>
                    <w:rPr>
                      <w:bCs/>
                      <w:szCs w:val="21"/>
                    </w:rPr>
                  </w:pPr>
                  <w:r>
                    <w:rPr>
                      <w:rFonts w:hint="eastAsia"/>
                      <w:szCs w:val="21"/>
                    </w:rPr>
                    <w:t>制类，符合园区规划，符合</w:t>
                  </w:r>
                  <w:r>
                    <w:rPr>
                      <w:rFonts w:hint="eastAsia"/>
                      <w:bCs/>
                      <w:szCs w:val="21"/>
                    </w:rPr>
                    <w:t>大足高新区邮亭组团</w:t>
                  </w:r>
                  <w:r>
                    <w:rPr>
                      <w:rFonts w:hint="eastAsia"/>
                      <w:szCs w:val="21"/>
                    </w:rPr>
                    <w:t xml:space="preserve">环境准入清单要求，符合大足区“三线一单”要求。 </w:t>
                  </w:r>
                </w:p>
              </w:tc>
              <w:tc>
                <w:tcPr>
                  <w:tcW w:w="487" w:type="pct"/>
                  <w:vMerge w:val="restart"/>
                  <w:vAlign w:val="center"/>
                </w:tcPr>
                <w:p>
                  <w:pPr>
                    <w:pStyle w:val="169"/>
                    <w:rPr>
                      <w:szCs w:val="21"/>
                    </w:rPr>
                  </w:pPr>
                  <w:r>
                    <w:rPr>
                      <w:szCs w:val="21"/>
                    </w:rPr>
                    <w:t>符合</w:t>
                  </w:r>
                </w:p>
                <w:p>
                  <w:pPr>
                    <w:pStyle w:val="169"/>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 w:hRule="atLeast"/>
                <w:jc w:val="center"/>
              </w:trPr>
              <w:tc>
                <w:tcPr>
                  <w:tcW w:w="1650" w:type="pct"/>
                  <w:vAlign w:val="center"/>
                </w:tcPr>
                <w:p>
                  <w:pPr>
                    <w:pStyle w:val="169"/>
                    <w:jc w:val="both"/>
                    <w:rPr>
                      <w:szCs w:val="21"/>
                    </w:rPr>
                  </w:pPr>
                  <w:r>
                    <w:rPr>
                      <w:szCs w:val="21"/>
                    </w:rPr>
                    <w:t>落实区域削减要求。新建“两高”项目应按照《关于加强重点行业建设项目区域削减措施监督管理的通知》要求，依据区域环境质量改善目标，制定配套区域污染物削减方案，采取有效的污染物区域削减措施，腾出足够的环境容量。国家</w:t>
                  </w:r>
                  <w:r>
                    <w:rPr>
                      <w:rFonts w:hint="eastAsia"/>
                      <w:szCs w:val="21"/>
                      <w:lang w:eastAsia="zh-CN"/>
                    </w:rPr>
                    <w:t>大气污染防治</w:t>
                  </w:r>
                  <w:r>
                    <w:rPr>
                      <w:szCs w:val="21"/>
                    </w:rPr>
                    <w:t>重点区域（以下称重点区域）内新建耗煤项目还应严格按规定采取煤炭消费减量替代措施，不得使用高污染燃料作为煤炭减量替代措施。</w:t>
                  </w:r>
                </w:p>
              </w:tc>
              <w:tc>
                <w:tcPr>
                  <w:tcW w:w="1934" w:type="pct"/>
                  <w:vAlign w:val="center"/>
                </w:tcPr>
                <w:p>
                  <w:pPr>
                    <w:pStyle w:val="169"/>
                    <w:rPr>
                      <w:szCs w:val="21"/>
                    </w:rPr>
                  </w:pPr>
                  <w:r>
                    <w:rPr>
                      <w:szCs w:val="21"/>
                    </w:rPr>
                    <w:t>/</w:t>
                  </w:r>
                </w:p>
              </w:tc>
              <w:tc>
                <w:tcPr>
                  <w:tcW w:w="929" w:type="pct"/>
                  <w:vMerge w:val="continue"/>
                  <w:vAlign w:val="center"/>
                </w:tcPr>
                <w:p>
                  <w:pPr>
                    <w:pStyle w:val="169"/>
                    <w:rPr>
                      <w:szCs w:val="21"/>
                    </w:rPr>
                  </w:pPr>
                </w:p>
              </w:tc>
              <w:tc>
                <w:tcPr>
                  <w:tcW w:w="487" w:type="pct"/>
                  <w:vMerge w:val="continue"/>
                  <w:vAlign w:val="center"/>
                </w:tcPr>
                <w:p>
                  <w:pPr>
                    <w:pStyle w:val="169"/>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 w:hRule="atLeast"/>
                <w:jc w:val="center"/>
              </w:trPr>
              <w:tc>
                <w:tcPr>
                  <w:tcW w:w="1650" w:type="pct"/>
                  <w:vAlign w:val="center"/>
                </w:tcPr>
                <w:p>
                  <w:pPr>
                    <w:pStyle w:val="169"/>
                    <w:jc w:val="both"/>
                    <w:rPr>
                      <w:szCs w:val="21"/>
                    </w:rPr>
                  </w:pPr>
                  <w:r>
                    <w:rPr>
                      <w:szCs w:val="21"/>
                    </w:rPr>
                    <w:t>提升清洁生产和污染防治水平。新建、扩建“两高”项目应采取先进适用的工艺技术和装备，单位产品物耗、能耗、水耗等达到清洁生产先进水平，依法制定并严格落实防治土壤与地下水污染的措施。国家或地方已出台超低排放要求的“两高”行业假设项目应满足超低排放要求。鼓励使用清洁燃料，重点区域建设项目原则上不新建燃煤自备锅炉。鼓励重点区域高炉-转炉长流程钢铁企业转型为电炉短流程企业。大宗物料</w:t>
                  </w:r>
                  <w:r>
                    <w:rPr>
                      <w:rFonts w:hint="eastAsia"/>
                      <w:szCs w:val="21"/>
                      <w:lang w:eastAsia="zh-CN"/>
                    </w:rPr>
                    <w:t>优先采用</w:t>
                  </w:r>
                  <w:r>
                    <w:rPr>
                      <w:szCs w:val="21"/>
                    </w:rPr>
                    <w:t>铁路、管道或水路运输，短途接驳有限使用新能源</w:t>
                  </w:r>
                  <w:r>
                    <w:rPr>
                      <w:rFonts w:hint="eastAsia"/>
                      <w:szCs w:val="21"/>
                      <w:lang w:eastAsia="zh-CN"/>
                    </w:rPr>
                    <w:t>车辆</w:t>
                  </w:r>
                  <w:r>
                    <w:rPr>
                      <w:szCs w:val="21"/>
                    </w:rPr>
                    <w:t>运输。</w:t>
                  </w:r>
                </w:p>
              </w:tc>
              <w:tc>
                <w:tcPr>
                  <w:tcW w:w="1934" w:type="pct"/>
                  <w:vAlign w:val="center"/>
                </w:tcPr>
                <w:p>
                  <w:pPr>
                    <w:pStyle w:val="169"/>
                    <w:rPr>
                      <w:szCs w:val="21"/>
                    </w:rPr>
                  </w:pPr>
                </w:p>
                <w:p>
                  <w:pPr>
                    <w:pStyle w:val="169"/>
                    <w:rPr>
                      <w:szCs w:val="21"/>
                    </w:rPr>
                  </w:pPr>
                </w:p>
                <w:p>
                  <w:pPr>
                    <w:pStyle w:val="169"/>
                    <w:rPr>
                      <w:szCs w:val="21"/>
                    </w:rPr>
                  </w:pPr>
                </w:p>
                <w:p>
                  <w:pPr>
                    <w:pStyle w:val="169"/>
                    <w:rPr>
                      <w:szCs w:val="21"/>
                    </w:rPr>
                  </w:pPr>
                  <w:r>
                    <w:rPr>
                      <w:szCs w:val="21"/>
                    </w:rPr>
                    <w:t>推进“两高”行业减污降碳协同控制，新建、扩建“两高”项目应达到清洁生产先进水平，鼓励实施先进的降碳技术。要依法制定并严格落实防治土壤与地下水污染的措施。鼓励使用清洁燃料，各类建设项目原则上不新建燃煤自备锅炉。大宗物料优先采用铁路、管道或水路运输，短途接驳优先使用新能源车辆运输。</w:t>
                  </w:r>
                </w:p>
              </w:tc>
              <w:tc>
                <w:tcPr>
                  <w:tcW w:w="929" w:type="pct"/>
                  <w:vAlign w:val="center"/>
                </w:tcPr>
                <w:p>
                  <w:pPr>
                    <w:pStyle w:val="169"/>
                    <w:rPr>
                      <w:szCs w:val="21"/>
                    </w:rPr>
                  </w:pPr>
                </w:p>
                <w:p>
                  <w:pPr>
                    <w:pStyle w:val="169"/>
                    <w:rPr>
                      <w:szCs w:val="21"/>
                    </w:rPr>
                  </w:pPr>
                </w:p>
                <w:p>
                  <w:pPr>
                    <w:pStyle w:val="169"/>
                    <w:rPr>
                      <w:szCs w:val="21"/>
                    </w:rPr>
                  </w:pPr>
                </w:p>
                <w:p>
                  <w:pPr>
                    <w:pStyle w:val="169"/>
                    <w:rPr>
                      <w:szCs w:val="21"/>
                    </w:rPr>
                  </w:pPr>
                  <w:r>
                    <w:rPr>
                      <w:rFonts w:hint="eastAsia"/>
                      <w:szCs w:val="21"/>
                    </w:rPr>
                    <w:t>项目利用现有电炉对除尘灰进行回收利用，不新增能耗、水耗，现有厂区已采取了分区防渗、设置环形沟等地下水和土壤防治措施。</w:t>
                  </w:r>
                </w:p>
              </w:tc>
              <w:tc>
                <w:tcPr>
                  <w:tcW w:w="487" w:type="pct"/>
                  <w:vAlign w:val="center"/>
                </w:tcPr>
                <w:p>
                  <w:pPr>
                    <w:pStyle w:val="169"/>
                    <w:rPr>
                      <w:szCs w:val="21"/>
                    </w:rPr>
                  </w:pPr>
                </w:p>
                <w:p>
                  <w:pPr>
                    <w:pStyle w:val="169"/>
                    <w:rPr>
                      <w:szCs w:val="21"/>
                    </w:rPr>
                  </w:pPr>
                </w:p>
                <w:p>
                  <w:pPr>
                    <w:pStyle w:val="169"/>
                    <w:rPr>
                      <w:szCs w:val="21"/>
                    </w:rPr>
                  </w:pPr>
                  <w:r>
                    <w:rPr>
                      <w:szCs w:val="21"/>
                    </w:rPr>
                    <w:t>符合</w:t>
                  </w:r>
                </w:p>
              </w:tc>
            </w:tr>
          </w:tbl>
          <w:p>
            <w:pPr>
              <w:pStyle w:val="3246"/>
              <w:ind w:firstLine="480"/>
            </w:pPr>
          </w:p>
          <w:p>
            <w:pPr>
              <w:pStyle w:val="3246"/>
              <w:ind w:firstLine="480"/>
            </w:pPr>
            <w:r>
              <w:rPr>
                <w:rFonts w:hint="eastAsia"/>
              </w:rPr>
              <w:t>根据表1.2-7分析结果，项目符合《关于加强高耗能、高排放建设项目生态环境源头防控的指导意见》环环评</w:t>
            </w:r>
            <w:r>
              <w:t>[2021]45</w:t>
            </w:r>
            <w:r>
              <w:rPr>
                <w:rFonts w:hint="eastAsia"/>
              </w:rPr>
              <w:t>号、《重庆市生态环境局办公室关于贯彻落实坚决遏制高耗能、高排放项目盲目发展相关要求的通知》（渝环办〔</w:t>
            </w:r>
            <w:r>
              <w:t>2021</w:t>
            </w:r>
            <w:r>
              <w:rPr>
                <w:rFonts w:hint="eastAsia"/>
              </w:rPr>
              <w:t>〕</w:t>
            </w:r>
            <w:r>
              <w:t xml:space="preserve">168 </w:t>
            </w:r>
            <w:r>
              <w:rPr>
                <w:rFonts w:hint="eastAsia"/>
              </w:rPr>
              <w:t>号）中相关要求。</w:t>
            </w:r>
          </w:p>
          <w:p>
            <w:pPr>
              <w:pStyle w:val="5"/>
              <w:numPr>
                <w:ilvl w:val="0"/>
                <w:numId w:val="0"/>
              </w:numPr>
              <w:rPr>
                <w:sz w:val="24"/>
                <w:szCs w:val="24"/>
              </w:rPr>
            </w:pPr>
            <w:r>
              <w:rPr>
                <w:rFonts w:hint="eastAsia"/>
                <w:sz w:val="24"/>
                <w:szCs w:val="24"/>
              </w:rPr>
              <w:t>1.2.15与《重庆市环境保护条例</w:t>
            </w:r>
            <w:r>
              <w:rPr>
                <w:sz w:val="24"/>
                <w:szCs w:val="24"/>
              </w:rPr>
              <w:t>》</w:t>
            </w:r>
            <w:r>
              <w:rPr>
                <w:rFonts w:hint="eastAsia"/>
                <w:sz w:val="24"/>
                <w:szCs w:val="24"/>
              </w:rPr>
              <w:t>的符合性分析</w:t>
            </w:r>
          </w:p>
          <w:p>
            <w:r>
              <w:rPr>
                <w:rFonts w:hint="eastAsia"/>
              </w:rPr>
              <w:t>项目与《重庆市环境保护条例</w:t>
            </w:r>
            <w:r>
              <w:t>》</w:t>
            </w:r>
            <w:r>
              <w:rPr>
                <w:rFonts w:hint="eastAsia"/>
              </w:rPr>
              <w:t>的符合性分析见</w:t>
            </w:r>
            <w:r>
              <w:t>表</w:t>
            </w:r>
            <w:r>
              <w:rPr>
                <w:rFonts w:hint="eastAsia"/>
              </w:rPr>
              <w:t>1.2-8。</w:t>
            </w:r>
          </w:p>
          <w:p>
            <w:pPr>
              <w:pStyle w:val="178"/>
              <w:rPr>
                <w:rFonts w:eastAsia="宋体"/>
                <w:color w:val="auto"/>
                <w:sz w:val="24"/>
                <w:szCs w:val="24"/>
              </w:rPr>
            </w:pPr>
            <w:r>
              <w:rPr>
                <w:rFonts w:hint="eastAsia" w:eastAsia="宋体"/>
                <w:color w:val="auto"/>
                <w:sz w:val="24"/>
                <w:szCs w:val="24"/>
              </w:rPr>
              <w:t xml:space="preserve">表 1.2-8  </w:t>
            </w:r>
            <w:r>
              <w:rPr>
                <w:rFonts w:eastAsia="宋体"/>
                <w:color w:val="auto"/>
                <w:sz w:val="24"/>
                <w:szCs w:val="24"/>
              </w:rPr>
              <w:t>与《</w:t>
            </w:r>
            <w:r>
              <w:rPr>
                <w:rFonts w:hint="eastAsia" w:eastAsia="宋体"/>
                <w:color w:val="auto"/>
                <w:sz w:val="24"/>
                <w:szCs w:val="24"/>
              </w:rPr>
              <w:t>重庆市环境保护条例</w:t>
            </w:r>
            <w:r>
              <w:rPr>
                <w:rFonts w:eastAsia="宋体"/>
                <w:color w:val="auto"/>
                <w:sz w:val="24"/>
                <w:szCs w:val="24"/>
              </w:rPr>
              <w:t>》的符合性</w:t>
            </w:r>
            <w:r>
              <w:rPr>
                <w:rFonts w:hint="eastAsia" w:eastAsia="宋体"/>
                <w:color w:val="auto"/>
                <w:sz w:val="24"/>
                <w:szCs w:val="24"/>
              </w:rPr>
              <w:t>分析表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5"/>
              <w:gridCol w:w="226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85" w:type="dxa"/>
                </w:tcPr>
                <w:p>
                  <w:pPr>
                    <w:pStyle w:val="178"/>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与项目相关的要求</w:t>
                  </w:r>
                </w:p>
              </w:tc>
              <w:tc>
                <w:tcPr>
                  <w:tcW w:w="2268" w:type="dxa"/>
                </w:tcPr>
                <w:p>
                  <w:pPr>
                    <w:pStyle w:val="178"/>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w:t>
                  </w:r>
                  <w:r>
                    <w:rPr>
                      <w:rFonts w:asciiTheme="minorEastAsia" w:hAnsiTheme="minorEastAsia" w:eastAsiaTheme="minorEastAsia"/>
                      <w:color w:val="auto"/>
                      <w:szCs w:val="21"/>
                    </w:rPr>
                    <w:t>情况</w:t>
                  </w:r>
                </w:p>
              </w:tc>
              <w:tc>
                <w:tcPr>
                  <w:tcW w:w="858" w:type="dxa"/>
                </w:tcPr>
                <w:p>
                  <w:pPr>
                    <w:pStyle w:val="178"/>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85" w:type="dxa"/>
                </w:tcPr>
                <w:p>
                  <w:pPr>
                    <w:pStyle w:val="169"/>
                    <w:jc w:val="both"/>
                  </w:pPr>
                  <w:r>
                    <w:rPr>
                      <w:rFonts w:hint="eastAsia"/>
                    </w:rPr>
                    <w:t>第三十八条 除在安全或者产业布局等方面有特殊要求的项目外，新建有污染物排放的工业项目，应当进入工业园区或者工业集聚区，不得在工业园区或者工业集聚区以外区域实施单纯增加产能的技改或者扩建项目。</w:t>
                  </w:r>
                </w:p>
              </w:tc>
              <w:tc>
                <w:tcPr>
                  <w:tcW w:w="2268" w:type="dxa"/>
                  <w:vAlign w:val="center"/>
                </w:tcPr>
                <w:p>
                  <w:pPr>
                    <w:pStyle w:val="169"/>
                    <w:spacing w:before="16" w:after="16"/>
                  </w:pPr>
                  <w:r>
                    <w:rPr>
                      <w:rFonts w:hint="eastAsia"/>
                    </w:rPr>
                    <w:t>项目位于</w:t>
                  </w:r>
                  <w:r>
                    <w:rPr>
                      <w:rFonts w:hint="eastAsia"/>
                      <w:bCs/>
                    </w:rPr>
                    <w:t>大足高新区邮亭组团。</w:t>
                  </w:r>
                </w:p>
              </w:tc>
              <w:tc>
                <w:tcPr>
                  <w:tcW w:w="858" w:type="dxa"/>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85" w:type="dxa"/>
                  <w:vAlign w:val="center"/>
                </w:tcPr>
                <w:p>
                  <w:pPr>
                    <w:pStyle w:val="169"/>
                    <w:jc w:val="both"/>
                  </w:pPr>
                  <w:r>
                    <w:rPr>
                      <w:rFonts w:hint="eastAsia"/>
                    </w:rPr>
                    <w:t>第四十八条 固体废物污染防治实行减量化、资源化、无害化的原则。禁止擅自倾倒工业固体废物。生活垃圾实行分类收集和密闭运输。</w:t>
                  </w:r>
                </w:p>
                <w:p>
                  <w:pPr>
                    <w:pStyle w:val="169"/>
                    <w:jc w:val="both"/>
                  </w:pPr>
                  <w:r>
                    <w:rPr>
                      <w:rFonts w:hint="eastAsia"/>
                    </w:rPr>
                    <w:t>第五十条</w:t>
                  </w:r>
                  <w:r>
                    <w:t xml:space="preserve"> </w:t>
                  </w:r>
                  <w:r>
                    <w:rPr>
                      <w:rFonts w:hint="eastAsia"/>
                    </w:rPr>
                    <w:t>生产企业应当采取循环使用包装物、简装产品等措施，减少使用包装材料和产生包装性废物。</w:t>
                  </w:r>
                </w:p>
              </w:tc>
              <w:tc>
                <w:tcPr>
                  <w:tcW w:w="2268" w:type="dxa"/>
                  <w:vAlign w:val="center"/>
                </w:tcPr>
                <w:p>
                  <w:pPr>
                    <w:pStyle w:val="169"/>
                    <w:spacing w:before="16" w:after="16"/>
                  </w:pPr>
                  <w:r>
                    <w:rPr>
                      <w:rFonts w:hint="eastAsia"/>
                    </w:rPr>
                    <w:t>项目将炼钢产生的除尘灰回收利用，实现了减量化。</w:t>
                  </w:r>
                </w:p>
              </w:tc>
              <w:tc>
                <w:tcPr>
                  <w:tcW w:w="858" w:type="dxa"/>
                  <w:vAlign w:val="center"/>
                </w:tcPr>
                <w:p>
                  <w:pPr>
                    <w:pStyle w:val="169"/>
                    <w:spacing w:before="16" w:after="16"/>
                  </w:pPr>
                  <w:r>
                    <w:rPr>
                      <w:rFonts w:hint="eastAsia"/>
                    </w:rPr>
                    <w:t>符合</w:t>
                  </w:r>
                </w:p>
              </w:tc>
            </w:tr>
          </w:tbl>
          <w:p>
            <w:pPr>
              <w:pStyle w:val="178"/>
              <w:rPr>
                <w:rFonts w:eastAsia="宋体"/>
                <w:color w:val="auto"/>
                <w:sz w:val="24"/>
                <w:szCs w:val="24"/>
              </w:rPr>
            </w:pPr>
          </w:p>
          <w:p>
            <w:r>
              <w:rPr>
                <w:rFonts w:hint="eastAsia"/>
              </w:rPr>
              <w:t>根据表1.2-8分析结果，项目符合《重庆市环境保护条例</w:t>
            </w:r>
            <w:r>
              <w:t>》</w:t>
            </w:r>
            <w:r>
              <w:rPr>
                <w:rFonts w:hint="eastAsia"/>
              </w:rPr>
              <w:t>相关要求。</w:t>
            </w:r>
          </w:p>
          <w:p>
            <w:pPr>
              <w:pStyle w:val="5"/>
              <w:numPr>
                <w:ilvl w:val="0"/>
                <w:numId w:val="0"/>
              </w:numPr>
              <w:rPr>
                <w:sz w:val="24"/>
                <w:szCs w:val="24"/>
              </w:rPr>
            </w:pPr>
            <w:r>
              <w:rPr>
                <w:rFonts w:hint="eastAsia"/>
                <w:sz w:val="24"/>
                <w:szCs w:val="24"/>
              </w:rPr>
              <w:t>1.2.16与《重庆市大气污染防治条例》的符合性分析</w:t>
            </w:r>
          </w:p>
          <w:p>
            <w:r>
              <w:rPr>
                <w:rFonts w:hint="eastAsia"/>
              </w:rPr>
              <w:t>项目与《重庆市大气污染防治条例</w:t>
            </w:r>
            <w:r>
              <w:t>》</w:t>
            </w:r>
            <w:r>
              <w:rPr>
                <w:rFonts w:hint="eastAsia"/>
              </w:rPr>
              <w:t>的符合性分析见</w:t>
            </w:r>
            <w:r>
              <w:t>表</w:t>
            </w:r>
            <w:r>
              <w:rPr>
                <w:rFonts w:hint="eastAsia"/>
              </w:rPr>
              <w:t>1.2-9。</w:t>
            </w:r>
          </w:p>
          <w:p>
            <w:pPr>
              <w:pStyle w:val="178"/>
              <w:rPr>
                <w:rFonts w:eastAsia="宋体"/>
                <w:color w:val="auto"/>
                <w:sz w:val="24"/>
                <w:szCs w:val="24"/>
              </w:rPr>
            </w:pPr>
            <w:r>
              <w:rPr>
                <w:rFonts w:hint="eastAsia" w:eastAsia="宋体"/>
                <w:color w:val="auto"/>
                <w:sz w:val="24"/>
                <w:szCs w:val="24"/>
              </w:rPr>
              <w:t xml:space="preserve">表 1.2-9  </w:t>
            </w:r>
            <w:r>
              <w:rPr>
                <w:rFonts w:eastAsia="宋体"/>
                <w:color w:val="auto"/>
                <w:sz w:val="24"/>
                <w:szCs w:val="24"/>
              </w:rPr>
              <w:t>与《</w:t>
            </w:r>
            <w:r>
              <w:rPr>
                <w:rFonts w:hint="eastAsia" w:eastAsia="宋体"/>
                <w:color w:val="auto"/>
                <w:sz w:val="24"/>
                <w:szCs w:val="24"/>
              </w:rPr>
              <w:t>重庆市大气污染防治条例</w:t>
            </w:r>
            <w:r>
              <w:rPr>
                <w:rFonts w:eastAsia="宋体"/>
                <w:color w:val="auto"/>
                <w:sz w:val="24"/>
                <w:szCs w:val="24"/>
              </w:rPr>
              <w:t>》的符合性</w:t>
            </w:r>
            <w:r>
              <w:rPr>
                <w:rFonts w:hint="eastAsia" w:eastAsia="宋体"/>
                <w:color w:val="auto"/>
                <w:sz w:val="24"/>
                <w:szCs w:val="24"/>
              </w:rPr>
              <w:t>分析表</w:t>
            </w:r>
          </w:p>
          <w:tbl>
            <w:tblPr>
              <w:tblStyle w:val="88"/>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2337"/>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70" w:type="pct"/>
                  <w:vAlign w:val="center"/>
                </w:tcPr>
                <w:p>
                  <w:pPr>
                    <w:pStyle w:val="169"/>
                    <w:spacing w:before="16" w:after="16"/>
                  </w:pPr>
                  <w:r>
                    <w:rPr>
                      <w:rFonts w:hint="eastAsia"/>
                    </w:rPr>
                    <w:t>与项目相关的要求</w:t>
                  </w:r>
                </w:p>
              </w:tc>
              <w:tc>
                <w:tcPr>
                  <w:tcW w:w="1418" w:type="pct"/>
                  <w:vAlign w:val="center"/>
                </w:tcPr>
                <w:p>
                  <w:pPr>
                    <w:pStyle w:val="169"/>
                    <w:spacing w:before="16" w:after="16"/>
                  </w:pPr>
                  <w:r>
                    <w:rPr>
                      <w:rFonts w:hint="eastAsia"/>
                    </w:rPr>
                    <w:t>项目</w:t>
                  </w:r>
                  <w:r>
                    <w:t>情况</w:t>
                  </w:r>
                </w:p>
              </w:tc>
              <w:tc>
                <w:tcPr>
                  <w:tcW w:w="512" w:type="pct"/>
                  <w:vAlign w:val="center"/>
                </w:tcPr>
                <w:p>
                  <w:pPr>
                    <w:pStyle w:val="169"/>
                    <w:spacing w:before="16" w:after="16"/>
                  </w:pPr>
                  <w: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70" w:type="pct"/>
                  <w:vAlign w:val="center"/>
                </w:tcPr>
                <w:p>
                  <w:pPr>
                    <w:pStyle w:val="169"/>
                    <w:spacing w:before="16" w:after="16"/>
                  </w:pPr>
                  <w:r>
                    <w:rPr>
                      <w:rFonts w:hint="eastAsia"/>
                    </w:rPr>
                    <w:t>控制高污染、高耗能行业新增产能，压缩过剩产能，淘汰落后产能。新建排放大气污染物的工业项目，除必须单独布局以外，应当按照相关规定进入相应工业园区。</w:t>
                  </w:r>
                </w:p>
              </w:tc>
              <w:tc>
                <w:tcPr>
                  <w:tcW w:w="1418" w:type="pct"/>
                  <w:vAlign w:val="center"/>
                </w:tcPr>
                <w:p>
                  <w:pPr>
                    <w:pStyle w:val="169"/>
                    <w:spacing w:before="16" w:after="16"/>
                  </w:pPr>
                  <w:r>
                    <w:rPr>
                      <w:rFonts w:hint="eastAsia"/>
                    </w:rPr>
                    <w:t>项目不属于“两高”行业、过剩产能，落后产能。项目位于</w:t>
                  </w:r>
                  <w:r>
                    <w:rPr>
                      <w:rFonts w:hint="eastAsia"/>
                      <w:bCs/>
                    </w:rPr>
                    <w:t>大足高新区邮亭组团</w:t>
                  </w:r>
                </w:p>
              </w:tc>
              <w:tc>
                <w:tcPr>
                  <w:tcW w:w="512" w:type="pct"/>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70" w:type="pct"/>
                  <w:vAlign w:val="center"/>
                </w:tcPr>
                <w:p>
                  <w:pPr>
                    <w:pStyle w:val="169"/>
                    <w:spacing w:before="16" w:after="16"/>
                  </w:pPr>
                  <w:r>
                    <w:rPr>
                      <w:rFonts w:hint="eastAsia"/>
                    </w:rPr>
                    <w:t>市人民政府划定大气污染防治重点控制区域和一般控制区域。在重点控制区域内禁止新建和扩建燃煤火电、化工、水泥、采（碎）石场、烧结砖瓦窑以及燃煤锅炉等项目；在一般控制区域限制投资建设大气污染严重的项目。</w:t>
                  </w:r>
                </w:p>
              </w:tc>
              <w:tc>
                <w:tcPr>
                  <w:tcW w:w="1418" w:type="pct"/>
                  <w:vAlign w:val="center"/>
                </w:tcPr>
                <w:p>
                  <w:pPr>
                    <w:pStyle w:val="169"/>
                    <w:spacing w:before="16" w:after="16"/>
                  </w:pPr>
                  <w:r>
                    <w:rPr>
                      <w:rFonts w:hint="eastAsia"/>
                    </w:rPr>
                    <w:t>项目使用清洁能源电</w:t>
                  </w:r>
                </w:p>
              </w:tc>
              <w:tc>
                <w:tcPr>
                  <w:tcW w:w="512" w:type="pct"/>
                  <w:vAlign w:val="center"/>
                </w:tcPr>
                <w:p>
                  <w:pPr>
                    <w:pStyle w:val="169"/>
                    <w:spacing w:before="16" w:after="16"/>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70" w:type="pct"/>
                  <w:vAlign w:val="center"/>
                </w:tcPr>
                <w:p>
                  <w:pPr>
                    <w:pStyle w:val="169"/>
                    <w:spacing w:before="16" w:after="16"/>
                  </w:pPr>
                  <w:r>
                    <w:rPr>
                      <w:rFonts w:hint="eastAsia"/>
                    </w:rPr>
                    <w:t>有机化工、制药、电子设备制造、包装印刷、家具制造等产生含挥发性有机物废气的生产和服务活动，应当在密闭空间或者设备中进行，并按照规定安装、使用污染防治设施，保持正常运行；无法密闭的，应当采取措施减少污染物排放；</w:t>
                  </w:r>
                </w:p>
              </w:tc>
              <w:tc>
                <w:tcPr>
                  <w:tcW w:w="1418" w:type="pct"/>
                  <w:vAlign w:val="center"/>
                </w:tcPr>
                <w:p>
                  <w:pPr>
                    <w:pStyle w:val="169"/>
                    <w:spacing w:before="16" w:after="16"/>
                  </w:pPr>
                  <w:r>
                    <w:rPr>
                      <w:rFonts w:hint="eastAsia"/>
                    </w:rPr>
                    <w:t>/</w:t>
                  </w:r>
                </w:p>
              </w:tc>
              <w:tc>
                <w:tcPr>
                  <w:tcW w:w="512" w:type="pct"/>
                  <w:vAlign w:val="center"/>
                </w:tcPr>
                <w:p>
                  <w:pPr>
                    <w:pStyle w:val="169"/>
                    <w:spacing w:before="16" w:after="16"/>
                  </w:pPr>
                  <w:r>
                    <w:rPr>
                      <w:rFonts w:hint="eastAsia"/>
                    </w:rPr>
                    <w:t>/</w:t>
                  </w:r>
                </w:p>
              </w:tc>
            </w:tr>
          </w:tbl>
          <w:p>
            <w:pPr>
              <w:spacing w:line="240" w:lineRule="auto"/>
            </w:pPr>
          </w:p>
          <w:p>
            <w:r>
              <w:t>由表</w:t>
            </w:r>
            <w:r>
              <w:rPr>
                <w:rFonts w:hint="eastAsia"/>
              </w:rPr>
              <w:t>1.2-9</w:t>
            </w:r>
            <w:r>
              <w:t>可知，</w:t>
            </w:r>
            <w:r>
              <w:rPr>
                <w:rFonts w:hint="eastAsia"/>
              </w:rPr>
              <w:t>项目</w:t>
            </w:r>
            <w:r>
              <w:t>符合《</w:t>
            </w:r>
            <w:r>
              <w:rPr>
                <w:rFonts w:hint="eastAsia"/>
              </w:rPr>
              <w:t>重庆市大气污染防治条例</w:t>
            </w:r>
            <w:r>
              <w:t>》相关要求。</w:t>
            </w:r>
          </w:p>
          <w:p>
            <w:pPr>
              <w:pStyle w:val="5"/>
              <w:numPr>
                <w:ilvl w:val="0"/>
                <w:numId w:val="0"/>
              </w:numPr>
              <w:rPr>
                <w:sz w:val="24"/>
                <w:szCs w:val="24"/>
              </w:rPr>
            </w:pPr>
            <w:r>
              <w:rPr>
                <w:rFonts w:hint="eastAsia"/>
                <w:sz w:val="24"/>
                <w:szCs w:val="24"/>
              </w:rPr>
              <w:t>1.2.1</w:t>
            </w:r>
            <w:bookmarkStart w:id="2" w:name="_Toc60842867"/>
            <w:r>
              <w:rPr>
                <w:rFonts w:hint="eastAsia"/>
                <w:sz w:val="24"/>
                <w:szCs w:val="24"/>
              </w:rPr>
              <w:t>7与《邮亭镇总体规划（2010-2020）》的符合性分析</w:t>
            </w:r>
            <w:bookmarkEnd w:id="2"/>
          </w:p>
          <w:p>
            <w:r>
              <w:rPr>
                <w:rFonts w:hint="eastAsia"/>
              </w:rPr>
              <w:t>《邮亭镇总体规划（2010-2020）》将邮亭镇定位为“大足重要的产业基地，以发展交通、物流、商贸、旅游以及现代五金加工为主的综合型城区”。功能布局为“城镇发展用地选择在大邮路沿线东侧发展，工业用地选择大邮路西侧，逐步往北侧延伸。区间物流园区位于邮亭镇区北部，近期依托老成渝铁路站场构建大足县区间物流集散场地，远期随着成渝城际快速铁路的建设，为大足及双桥打造渝西地区千亿级工业中心带的建设提供完善的物流基础。大足工业园区（邮亭部分）位于城镇北部，沿大邮路向北发展。规划依托现有工业企业的优势，重点发展小五金加工、建材，并进一步延伸产业链。”</w:t>
            </w:r>
          </w:p>
          <w:p>
            <w:r>
              <w:rPr>
                <w:rFonts w:hint="eastAsia"/>
              </w:rPr>
              <w:t>本次对足航炼钢除尘灰回收利用，可回收其中的铁元素，促进企业生产技术水平及清洁生产水平的提高，符合邮亭镇重点发展小五金加工、建材的产业定位，符合《大足县邮亭镇总体规划（2010-2020）》要求。</w:t>
            </w:r>
          </w:p>
          <w:p>
            <w:pPr>
              <w:pStyle w:val="5"/>
              <w:numPr>
                <w:ilvl w:val="0"/>
                <w:numId w:val="0"/>
              </w:numPr>
              <w:rPr>
                <w:sz w:val="24"/>
                <w:szCs w:val="24"/>
              </w:rPr>
            </w:pPr>
            <w:r>
              <w:rPr>
                <w:rFonts w:hint="eastAsia"/>
                <w:sz w:val="24"/>
                <w:szCs w:val="24"/>
              </w:rPr>
              <w:t>1.2.</w:t>
            </w:r>
            <w:bookmarkStart w:id="3" w:name="_Toc60842868"/>
            <w:r>
              <w:rPr>
                <w:rFonts w:hint="eastAsia"/>
                <w:sz w:val="24"/>
                <w:szCs w:val="24"/>
              </w:rPr>
              <w:t>18土地利用规划符合性</w:t>
            </w:r>
            <w:bookmarkEnd w:id="3"/>
            <w:r>
              <w:rPr>
                <w:rFonts w:hint="eastAsia"/>
                <w:sz w:val="24"/>
                <w:szCs w:val="24"/>
              </w:rPr>
              <w:t>分析</w:t>
            </w:r>
          </w:p>
          <w:p>
            <w:r>
              <w:rPr>
                <w:rFonts w:hint="eastAsia"/>
              </w:rPr>
              <w:t>本次在足航现有厂区内进行除尘灰的回炉利用，</w:t>
            </w:r>
            <w:r>
              <w:t>用地性质为工业用地</w:t>
            </w:r>
            <w:r>
              <w:rPr>
                <w:rFonts w:hint="eastAsia"/>
              </w:rPr>
              <w:t>，符合区域土地利用规划。</w:t>
            </w:r>
          </w:p>
          <w:p>
            <w:pPr>
              <w:pStyle w:val="5"/>
              <w:numPr>
                <w:ilvl w:val="0"/>
                <w:numId w:val="0"/>
              </w:numPr>
              <w:rPr>
                <w:sz w:val="24"/>
                <w:szCs w:val="24"/>
              </w:rPr>
            </w:pPr>
            <w:r>
              <w:rPr>
                <w:rFonts w:hint="eastAsia"/>
                <w:sz w:val="24"/>
                <w:szCs w:val="24"/>
              </w:rPr>
              <w:t>1.2.19“三线一单”符合性分析</w:t>
            </w:r>
          </w:p>
          <w:p>
            <w:pPr>
              <w:rPr>
                <w:rFonts w:hAnsi="宋体"/>
              </w:rPr>
            </w:pPr>
            <w:r>
              <w:rPr>
                <w:rFonts w:hint="eastAsia" w:hAnsi="宋体"/>
              </w:rPr>
              <w:t>本项目位于</w:t>
            </w:r>
            <w:r>
              <w:rPr>
                <w:rFonts w:hint="eastAsia" w:hAnsi="宋体"/>
                <w:bCs/>
              </w:rPr>
              <w:t>大足高新区邮亭组团</w:t>
            </w:r>
            <w:r>
              <w:rPr>
                <w:rFonts w:hint="eastAsia" w:hAnsi="宋体"/>
              </w:rPr>
              <w:t>，属于重点管控单元，具体为</w:t>
            </w:r>
          </w:p>
          <w:p>
            <w:pPr>
              <w:ind w:firstLine="0" w:firstLineChars="0"/>
            </w:pPr>
            <w:r>
              <w:rPr>
                <w:rFonts w:hint="eastAsia" w:hAnsi="宋体"/>
              </w:rPr>
              <w:t>“大足区重点管控单元</w:t>
            </w:r>
            <w:r>
              <w:rPr>
                <w:rFonts w:hAnsi="宋体"/>
              </w:rPr>
              <w:t>-太平河漫水桥</w:t>
            </w:r>
            <w:r>
              <w:rPr>
                <w:rFonts w:hint="eastAsia" w:hAnsi="宋体"/>
              </w:rPr>
              <w:t>段”，环境管控单元编码：</w:t>
            </w:r>
            <w:r>
              <w:rPr>
                <w:rFonts w:hAnsi="宋体"/>
              </w:rPr>
              <w:t>ZH50011120002</w:t>
            </w:r>
            <w:r>
              <w:rPr>
                <w:rFonts w:hint="eastAsia" w:hAnsi="宋体"/>
              </w:rPr>
              <w:t>，不涉及优先保护单元，不涉及生态保护红线</w:t>
            </w:r>
            <w:r>
              <w:rPr>
                <w:rFonts w:hint="eastAsia"/>
              </w:rPr>
              <w:t>。</w:t>
            </w:r>
          </w:p>
          <w:p>
            <w:pPr>
              <w:rPr>
                <w:rFonts w:hAnsi="宋体"/>
              </w:rPr>
            </w:pPr>
            <w:r>
              <w:rPr>
                <w:rFonts w:hint="eastAsia" w:hAnsi="宋体"/>
              </w:rPr>
              <w:t>项目与《长江经济带战略环境评价重庆市“三线一单”》、《长江经济带战略环境评价重庆市大足区“三线一单”》符合性分析见表1.2-10。</w:t>
            </w:r>
          </w:p>
          <w:p>
            <w:r>
              <w:rPr>
                <w:rFonts w:hint="eastAsia"/>
              </w:rPr>
              <w:t>根据表1.2-10，项目符合《长江经济带战略环境评价重庆市“三线一单”》、《长江经济带战略环境评价重庆市大足区“三线一单”》相关要求。</w:t>
            </w:r>
          </w:p>
          <w:p/>
        </w:tc>
      </w:tr>
    </w:tbl>
    <w:p>
      <w:pPr>
        <w:sectPr>
          <w:footerReference r:id="rId12" w:type="default"/>
          <w:pgSz w:w="11906" w:h="16838"/>
          <w:pgMar w:top="1701" w:right="1531" w:bottom="1701" w:left="1531" w:header="851" w:footer="1077" w:gutter="0"/>
          <w:cols w:space="720" w:num="1"/>
          <w:docGrid w:linePitch="312" w:charSpace="0"/>
        </w:sect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p>
          <w:p>
            <w:pPr>
              <w:pStyle w:val="169"/>
              <w:rPr>
                <w:sz w:val="24"/>
                <w:szCs w:val="24"/>
              </w:rPr>
            </w:pPr>
            <w:r>
              <w:rPr>
                <w:rFonts w:hint="eastAsia"/>
                <w:sz w:val="24"/>
                <w:szCs w:val="24"/>
              </w:rPr>
              <w:t>其他符合性分析</w:t>
            </w:r>
          </w:p>
          <w:p>
            <w:pPr>
              <w:widowControl/>
              <w:spacing w:before="120" w:beforeLines="50"/>
              <w:ind w:firstLine="0" w:firstLineChars="0"/>
              <w:jc w:val="center"/>
              <w:rPr>
                <w:b/>
                <w:kern w:val="0"/>
              </w:rPr>
            </w:pPr>
          </w:p>
        </w:tc>
        <w:tc>
          <w:tcPr>
            <w:tcW w:w="12977" w:type="dxa"/>
          </w:tcPr>
          <w:p>
            <w:pPr>
              <w:pStyle w:val="178"/>
              <w:rPr>
                <w:rFonts w:eastAsia="宋体"/>
                <w:color w:val="auto"/>
                <w:sz w:val="24"/>
                <w:szCs w:val="24"/>
              </w:rPr>
            </w:pPr>
            <w:r>
              <w:rPr>
                <w:rFonts w:hint="eastAsia" w:eastAsia="宋体"/>
                <w:color w:val="auto"/>
                <w:sz w:val="24"/>
                <w:szCs w:val="24"/>
              </w:rPr>
              <w:t>表1.2-10   项目与“三线一单”管控要求的符合性分析表</w:t>
            </w:r>
          </w:p>
          <w:tbl>
            <w:tblPr>
              <w:tblStyle w:val="8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9"/>
              <w:gridCol w:w="1526"/>
              <w:gridCol w:w="6095"/>
              <w:gridCol w:w="3302"/>
              <w:gridCol w:w="9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36" w:type="pct"/>
                  <w:gridSpan w:val="2"/>
                  <w:vAlign w:val="center"/>
                </w:tcPr>
                <w:p>
                  <w:pPr>
                    <w:pStyle w:val="186"/>
                  </w:pPr>
                  <w:r>
                    <w:t>环境管控单元编码</w:t>
                  </w:r>
                </w:p>
              </w:tc>
              <w:tc>
                <w:tcPr>
                  <w:tcW w:w="2392" w:type="pct"/>
                  <w:vAlign w:val="center"/>
                </w:tcPr>
                <w:p>
                  <w:pPr>
                    <w:pStyle w:val="186"/>
                  </w:pPr>
                  <w:r>
                    <w:t>环境管控单元名称</w:t>
                  </w:r>
                </w:p>
              </w:tc>
              <w:tc>
                <w:tcPr>
                  <w:tcW w:w="1672" w:type="pct"/>
                  <w:gridSpan w:val="2"/>
                  <w:vAlign w:val="center"/>
                </w:tcPr>
                <w:p>
                  <w:pPr>
                    <w:pStyle w:val="186"/>
                  </w:pPr>
                  <w:r>
                    <w:t>环境管控单元类型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36" w:type="pct"/>
                  <w:gridSpan w:val="2"/>
                  <w:vAlign w:val="center"/>
                </w:tcPr>
                <w:p>
                  <w:pPr>
                    <w:pStyle w:val="186"/>
                  </w:pPr>
                  <w:r>
                    <w:t>ZH50011120002</w:t>
                  </w:r>
                </w:p>
              </w:tc>
              <w:tc>
                <w:tcPr>
                  <w:tcW w:w="2392" w:type="pct"/>
                  <w:vAlign w:val="center"/>
                </w:tcPr>
                <w:p>
                  <w:pPr>
                    <w:pStyle w:val="186"/>
                  </w:pPr>
                  <w:r>
                    <w:rPr>
                      <w:rFonts w:hint="eastAsia"/>
                    </w:rPr>
                    <w:t>大足区重点管控单元</w:t>
                  </w:r>
                  <w:r>
                    <w:t>-太平河漫水桥</w:t>
                  </w:r>
                  <w:r>
                    <w:rPr>
                      <w:rFonts w:hint="eastAsia"/>
                    </w:rPr>
                    <w:t>段</w:t>
                  </w:r>
                </w:p>
              </w:tc>
              <w:tc>
                <w:tcPr>
                  <w:tcW w:w="1672" w:type="pct"/>
                  <w:gridSpan w:val="2"/>
                  <w:vAlign w:val="center"/>
                </w:tcPr>
                <w:p>
                  <w:pPr>
                    <w:pStyle w:val="186"/>
                  </w:pPr>
                  <w:r>
                    <w:t>重点管控单元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Align w:val="center"/>
                </w:tcPr>
                <w:p>
                  <w:pPr>
                    <w:pStyle w:val="186"/>
                  </w:pPr>
                  <w:r>
                    <w:t>管控要求层级</w:t>
                  </w:r>
                </w:p>
              </w:tc>
              <w:tc>
                <w:tcPr>
                  <w:tcW w:w="599" w:type="pct"/>
                  <w:vAlign w:val="center"/>
                </w:tcPr>
                <w:p>
                  <w:pPr>
                    <w:pStyle w:val="186"/>
                  </w:pPr>
                  <w:r>
                    <w:t>管控类型</w:t>
                  </w:r>
                </w:p>
              </w:tc>
              <w:tc>
                <w:tcPr>
                  <w:tcW w:w="2392" w:type="pct"/>
                  <w:vAlign w:val="center"/>
                </w:tcPr>
                <w:p>
                  <w:pPr>
                    <w:pStyle w:val="186"/>
                  </w:pPr>
                  <w:r>
                    <w:t>管控要求</w:t>
                  </w:r>
                </w:p>
              </w:tc>
              <w:tc>
                <w:tcPr>
                  <w:tcW w:w="1296" w:type="pct"/>
                  <w:vAlign w:val="center"/>
                </w:tcPr>
                <w:p>
                  <w:pPr>
                    <w:pStyle w:val="186"/>
                  </w:pPr>
                  <w:r>
                    <w:t>建设项目</w:t>
                  </w:r>
                  <w:r>
                    <w:rPr>
                      <w:rFonts w:hint="eastAsia"/>
                    </w:rPr>
                    <w:t>相关情况</w:t>
                  </w:r>
                </w:p>
              </w:tc>
              <w:tc>
                <w:tcPr>
                  <w:tcW w:w="376" w:type="pct"/>
                  <w:vAlign w:val="center"/>
                </w:tcPr>
                <w:p>
                  <w:pPr>
                    <w:pStyle w:val="186"/>
                  </w:pPr>
                  <w:r>
                    <w:t>符合性</w:t>
                  </w:r>
                </w:p>
                <w:p>
                  <w:pPr>
                    <w:pStyle w:val="186"/>
                  </w:pPr>
                  <w:r>
                    <w:t>分析结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0" w:hRule="atLeast"/>
                <w:jc w:val="center"/>
              </w:trPr>
              <w:tc>
                <w:tcPr>
                  <w:tcW w:w="337" w:type="pct"/>
                  <w:vMerge w:val="restart"/>
                  <w:vAlign w:val="center"/>
                </w:tcPr>
                <w:p>
                  <w:pPr>
                    <w:pStyle w:val="186"/>
                  </w:pPr>
                  <w:r>
                    <w:t>全市总体管控要求</w:t>
                  </w:r>
                </w:p>
              </w:tc>
              <w:tc>
                <w:tcPr>
                  <w:tcW w:w="599" w:type="pct"/>
                  <w:vMerge w:val="restart"/>
                  <w:vAlign w:val="center"/>
                </w:tcPr>
                <w:p>
                  <w:pPr>
                    <w:pStyle w:val="186"/>
                  </w:pPr>
                  <w:r>
                    <w:t>空间布局约束</w:t>
                  </w:r>
                </w:p>
              </w:tc>
              <w:tc>
                <w:tcPr>
                  <w:tcW w:w="2392" w:type="pct"/>
                  <w:vAlign w:val="center"/>
                </w:tcPr>
                <w:p>
                  <w:pPr>
                    <w:pStyle w:val="186"/>
                    <w:jc w:val="left"/>
                  </w:pPr>
                  <w:r>
                    <w:t>1.</w:t>
                  </w:r>
                  <w:r>
                    <w:rPr>
                      <w:lang w:bidi="en-US"/>
                    </w:rPr>
                    <w:t>严格执行《产业结构调整指导目录》、《重庆市产业投资准入工作手册》、《重庆市工业项目环境准入规定》、《重庆市长江经济带发展负面清单指南实施细则（试行）》等文件要求，优化重点区域、流域、产业的空间布局。对不符合准入要求的既有项目，依法依规实施整改、退出等分类治理方案。</w:t>
                  </w:r>
                </w:p>
              </w:tc>
              <w:tc>
                <w:tcPr>
                  <w:tcW w:w="1296" w:type="pct"/>
                  <w:vAlign w:val="center"/>
                </w:tcPr>
                <w:p>
                  <w:pPr>
                    <w:pStyle w:val="186"/>
                    <w:jc w:val="left"/>
                  </w:pPr>
                  <w:r>
                    <w:rPr>
                      <w:rFonts w:hint="eastAsia"/>
                    </w:rPr>
                    <w:t>项目符合</w:t>
                  </w:r>
                  <w:r>
                    <w:rPr>
                      <w:lang w:bidi="en-US"/>
                    </w:rPr>
                    <w:t>《产业结构调整指导目录》、《重庆市产业投资准入工作手册》、《重庆市工业项目环境准入规定》、《重庆市长江经济带发展负面清单指南实施细则（试行）》等文件要求</w:t>
                  </w:r>
                  <w:r>
                    <w:rPr>
                      <w:rFonts w:hint="eastAsia"/>
                      <w:lang w:bidi="en-US"/>
                    </w:rPr>
                    <w:t>。</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3" w:hRule="atLeast"/>
                <w:jc w:val="center"/>
              </w:trPr>
              <w:tc>
                <w:tcPr>
                  <w:tcW w:w="337" w:type="pct"/>
                  <w:vMerge w:val="continue"/>
                  <w:vAlign w:val="center"/>
                </w:tcPr>
                <w:p>
                  <w:pPr>
                    <w:pStyle w:val="186"/>
                  </w:pPr>
                </w:p>
              </w:tc>
              <w:tc>
                <w:tcPr>
                  <w:tcW w:w="599" w:type="pct"/>
                  <w:vMerge w:val="continue"/>
                  <w:vAlign w:val="center"/>
                </w:tcPr>
                <w:p>
                  <w:pPr>
                    <w:pStyle w:val="186"/>
                  </w:pPr>
                </w:p>
              </w:tc>
              <w:tc>
                <w:tcPr>
                  <w:tcW w:w="2392" w:type="pct"/>
                  <w:vAlign w:val="center"/>
                </w:tcPr>
                <w:p>
                  <w:pPr>
                    <w:pStyle w:val="186"/>
                    <w:jc w:val="left"/>
                    <w:rPr>
                      <w:lang w:bidi="en-US"/>
                    </w:rPr>
                  </w:pPr>
                  <w:r>
                    <w:rPr>
                      <w:lang w:bidi="en-US"/>
                    </w:rPr>
                    <w:t xml:space="preserve">3.在长江鱼嘴以上江段及其一级支流汇入口上游20 </w:t>
                  </w:r>
                  <w:r>
                    <w:rPr>
                      <w:rFonts w:hint="eastAsia"/>
                      <w:lang w:bidi="en-US"/>
                    </w:rPr>
                    <w:t>公</w:t>
                  </w:r>
                  <w:r>
                    <w:rPr>
                      <w:lang w:bidi="en-US"/>
                    </w:rPr>
                    <w:t>里、嘉陵江及其一级支流汇入口上游20 公里、集中式饮用水水源取水口上游20 公里范围内的沿岸地区（江河50 年一遇洪水位向陆域一侧1 公里范围内），禁止新建、扩建排放重点重金属（铬、镉、汞、砷、铅等五类重金属）、剧毒</w:t>
                  </w:r>
                  <w:r>
                    <w:rPr>
                      <w:lang w:bidi="en-US"/>
                    </w:rPr>
                    <w:cr/>
                  </w:r>
                  <w:r>
                    <w:rPr>
                      <w:lang w:bidi="en-US"/>
                    </w:rPr>
                    <w:t>质和持久性有机污染物的工业项目。</w:t>
                  </w:r>
                </w:p>
              </w:tc>
              <w:tc>
                <w:tcPr>
                  <w:tcW w:w="1296" w:type="pct"/>
                  <w:vAlign w:val="center"/>
                </w:tcPr>
                <w:p>
                  <w:pPr>
                    <w:pStyle w:val="186"/>
                  </w:pPr>
                  <w:r>
                    <w:rPr>
                      <w:rFonts w:hint="eastAsia"/>
                    </w:rPr>
                    <w:t>项目不属于长江鱼嘴以上江段及其一级支流汇入口上游20 公里、嘉陵江及其一级支流汇入口上游20 公里、集中式饮用水水源取水口上游20 公里范围内的</w:t>
                  </w:r>
                  <w:r>
                    <w:t>沿岸地区</w:t>
                  </w:r>
                  <w:r>
                    <w:rPr>
                      <w:rFonts w:hint="eastAsia"/>
                      <w:lang w:bidi="en-US"/>
                    </w:rPr>
                    <w:t>。</w:t>
                  </w:r>
                </w:p>
              </w:tc>
              <w:tc>
                <w:tcPr>
                  <w:tcW w:w="376" w:type="pct"/>
                  <w:vAlign w:val="center"/>
                </w:tcPr>
                <w:p>
                  <w:pPr>
                    <w:pStyle w:val="186"/>
                  </w:pPr>
                  <w:r>
                    <w:rPr>
                      <w:rFonts w:hint="eastAsia"/>
                    </w:rPr>
                    <w:t xml:space="preserve">符合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污染物排放管控</w:t>
                  </w:r>
                </w:p>
              </w:tc>
              <w:tc>
                <w:tcPr>
                  <w:tcW w:w="2392" w:type="pct"/>
                  <w:vAlign w:val="center"/>
                </w:tcPr>
                <w:p>
                  <w:pPr>
                    <w:pStyle w:val="186"/>
                    <w:jc w:val="left"/>
                    <w:rPr>
                      <w:lang w:bidi="en-US"/>
                    </w:rPr>
                  </w:pPr>
                  <w:r>
                    <w:rPr>
                      <w:rFonts w:hint="eastAsia"/>
                      <w:lang w:bidi="en-US"/>
                    </w:rPr>
                    <w:t>9.主城区及江津区、合川区、璧山区、铜梁区二氧化硫、氮氧化物、颗粒物、挥发性有机物严格执行大气污染物特别排放限值，并逐步将执行范围扩大到重点控制区重点行业。</w:t>
                  </w:r>
                </w:p>
              </w:tc>
              <w:tc>
                <w:tcPr>
                  <w:tcW w:w="1296" w:type="pct"/>
                  <w:vAlign w:val="center"/>
                </w:tcPr>
                <w:p>
                  <w:pPr>
                    <w:pStyle w:val="186"/>
                    <w:jc w:val="left"/>
                  </w:pPr>
                  <w:r>
                    <w:rPr>
                      <w:rFonts w:hint="eastAsia"/>
                    </w:rPr>
                    <w:t>项目位于双桥经开区，不执行大气污染物特别排放限值。</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环境风险防控</w:t>
                  </w:r>
                </w:p>
              </w:tc>
              <w:tc>
                <w:tcPr>
                  <w:tcW w:w="2392" w:type="pct"/>
                  <w:vAlign w:val="center"/>
                </w:tcPr>
                <w:p>
                  <w:pPr>
                    <w:pStyle w:val="186"/>
                    <w:jc w:val="left"/>
                    <w:rPr>
                      <w:lang w:bidi="en-US"/>
                    </w:rPr>
                  </w:pPr>
                  <w:r>
                    <w:t>12.</w:t>
                  </w:r>
                  <w:r>
                    <w:rPr>
                      <w:lang w:bidi="en-US"/>
                    </w:rPr>
                    <w:t>健全风险防范体系，制定环境风险防范协调联动工作机制。开展涉及化工生产的工业园区突发环境事件风险评估。长江三峡库区干流流域、城市集中式饮用水源、涉及化工生产的化工园区等按要求开展突发环境事件风险评估。</w:t>
                  </w:r>
                </w:p>
                <w:p>
                  <w:pPr>
                    <w:pStyle w:val="186"/>
                    <w:jc w:val="left"/>
                  </w:pPr>
                  <w:r>
                    <w:rPr>
                      <w:lang w:bidi="en-US"/>
                    </w:rPr>
                    <w:t>13.禁止建设存在重大环境安全隐患的工业项目。严禁工艺技术落后、环境风险高的化工企业向我市转移。</w:t>
                  </w:r>
                </w:p>
              </w:tc>
              <w:tc>
                <w:tcPr>
                  <w:tcW w:w="1296" w:type="pct"/>
                  <w:vAlign w:val="center"/>
                </w:tcPr>
                <w:p>
                  <w:pPr>
                    <w:pStyle w:val="186"/>
                    <w:jc w:val="left"/>
                  </w:pPr>
                  <w:r>
                    <w:rPr>
                      <w:rFonts w:hint="eastAsia"/>
                    </w:rPr>
                    <w:t>项目不存在重大环境安全隐患，严格执行环境风险防范的相关法律法规和政策要求，严格落实各类环境风险防范措施。</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资源开发</w:t>
                  </w:r>
                </w:p>
                <w:p>
                  <w:pPr>
                    <w:pStyle w:val="186"/>
                  </w:pPr>
                  <w:r>
                    <w:t>利用效率</w:t>
                  </w:r>
                </w:p>
              </w:tc>
              <w:tc>
                <w:tcPr>
                  <w:tcW w:w="2392" w:type="pct"/>
                  <w:vAlign w:val="center"/>
                </w:tcPr>
                <w:p>
                  <w:pPr>
                    <w:pStyle w:val="186"/>
                    <w:jc w:val="left"/>
                  </w:pPr>
                  <w:r>
                    <w:t>14.加强资源节约集约利用。实行能源、水资源、建设用地总量和强度双控行动，推进节能、节水、节地、节材等节约自然资源行动，从源头减少污染物排放。</w:t>
                  </w:r>
                </w:p>
                <w:p>
                  <w:pPr>
                    <w:pStyle w:val="186"/>
                    <w:jc w:val="left"/>
                  </w:pPr>
                  <w:r>
                    <w:t>15.在禁燃区内，禁止销售、燃用高污染燃料，禁止新建、改建、扩建任何燃用高污染燃料的项目和设备，已建成使用高污染燃料的各类设备应当拆除或者改用管道天然气、页岩气、液化石油气、电或者其他清洁能源；在不具备使用清洁能源条件的区域，可使用配备专用锅炉和除尘装置的生物质成型燃料。</w:t>
                  </w:r>
                </w:p>
                <w:p>
                  <w:pPr>
                    <w:pStyle w:val="186"/>
                    <w:jc w:val="left"/>
                  </w:pPr>
                  <w:r>
                    <w:t>16.电力、钢铁、纺织、造纸、石油石化、化工、食品发酵等高耗水行业达到先进定额标准。</w:t>
                  </w:r>
                </w:p>
                <w:p>
                  <w:pPr>
                    <w:pStyle w:val="186"/>
                    <w:jc w:val="left"/>
                  </w:pPr>
                  <w:r>
                    <w:t>17.重点控制区域新建高耗能项目单位产品（产值）能耗要达到国际先进水平。</w:t>
                  </w:r>
                </w:p>
              </w:tc>
              <w:tc>
                <w:tcPr>
                  <w:tcW w:w="1296" w:type="pct"/>
                  <w:vAlign w:val="center"/>
                </w:tcPr>
                <w:p>
                  <w:pPr>
                    <w:pStyle w:val="186"/>
                  </w:pPr>
                  <w:r>
                    <w:rPr>
                      <w:rFonts w:hint="eastAsia"/>
                    </w:rPr>
                    <w:t>项目不新增能耗、水耗，不使用高污染燃料，加强了资源节约集约利用。</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restart"/>
                  <w:vAlign w:val="center"/>
                </w:tcPr>
                <w:p>
                  <w:pPr>
                    <w:pStyle w:val="186"/>
                  </w:pPr>
                  <w:r>
                    <w:t>区县总体管控要求</w:t>
                  </w:r>
                  <w:r>
                    <w:rPr>
                      <w:rFonts w:hint="eastAsia"/>
                    </w:rPr>
                    <w:t>（大足区）</w:t>
                  </w:r>
                </w:p>
              </w:tc>
              <w:tc>
                <w:tcPr>
                  <w:tcW w:w="599" w:type="pct"/>
                  <w:vAlign w:val="center"/>
                </w:tcPr>
                <w:p>
                  <w:pPr>
                    <w:pStyle w:val="186"/>
                  </w:pPr>
                  <w:r>
                    <w:t>空间布局约束</w:t>
                  </w:r>
                </w:p>
              </w:tc>
              <w:tc>
                <w:tcPr>
                  <w:tcW w:w="2392" w:type="pct"/>
                  <w:vAlign w:val="center"/>
                </w:tcPr>
                <w:p>
                  <w:pPr>
                    <w:pStyle w:val="186"/>
                    <w:jc w:val="left"/>
                  </w:pPr>
                  <w:r>
                    <w:rPr>
                      <w:rFonts w:hint="eastAsia"/>
                    </w:rPr>
                    <w:t>第二条 针对部分区域存在工业、居住、商业三区混杂的局面，严格产业准入，除确需单独布局的项目外，新建工业企业必须进入园区或工业集聚区，涉及VOCs、恶臭气体等产生项目应由环评确定合理的环境防护距离；园区外的锶盐精细化工企业应逐步实施搬迁进入园区</w:t>
                  </w:r>
                  <w:r>
                    <w:rPr>
                      <w:rFonts w:hint="eastAsia"/>
                      <w:lang w:bidi="en-US"/>
                    </w:rPr>
                    <w:t>。</w:t>
                  </w:r>
                </w:p>
              </w:tc>
              <w:tc>
                <w:tcPr>
                  <w:tcW w:w="1296" w:type="pct"/>
                  <w:vAlign w:val="center"/>
                </w:tcPr>
                <w:p>
                  <w:pPr>
                    <w:pStyle w:val="186"/>
                  </w:pPr>
                  <w:r>
                    <w:t>本项目位于</w:t>
                  </w:r>
                  <w:r>
                    <w:rPr>
                      <w:rFonts w:hint="eastAsia"/>
                    </w:rPr>
                    <w:t>大足高新区邮亭组团</w:t>
                  </w:r>
                  <w:r>
                    <w:t>，属于工业园区</w:t>
                  </w:r>
                  <w:r>
                    <w:rPr>
                      <w:rFonts w:hint="eastAsia"/>
                    </w:rPr>
                    <w:t>。</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污染物排放管控</w:t>
                  </w:r>
                </w:p>
              </w:tc>
              <w:tc>
                <w:tcPr>
                  <w:tcW w:w="2392" w:type="pct"/>
                  <w:vAlign w:val="center"/>
                </w:tcPr>
                <w:p>
                  <w:pPr>
                    <w:pStyle w:val="186"/>
                    <w:jc w:val="left"/>
                  </w:pPr>
                  <w:r>
                    <w:t>第三条</w:t>
                  </w:r>
                  <w:r>
                    <w:rPr>
                      <w:rFonts w:hint="eastAsia"/>
                    </w:rPr>
                    <w:t xml:space="preserve"> </w:t>
                  </w:r>
                  <w:r>
                    <w:t>太平河漫水桥管控单元对新建工业项目增加的总磷污染物排放量，须在该区域内实行等量削减；瀚溪河玉滩水库管控单元在玉滩水库水质未达标前，严格控制引入新增相应超标因子水污染物排放的工业项目</w:t>
                  </w:r>
                  <w:r>
                    <w:rPr>
                      <w:rFonts w:hint="eastAsia"/>
                      <w:lang w:bidi="en-US"/>
                    </w:rPr>
                    <w:t>。</w:t>
                  </w:r>
                </w:p>
              </w:tc>
              <w:tc>
                <w:tcPr>
                  <w:tcW w:w="1296" w:type="pct"/>
                  <w:vAlign w:val="center"/>
                </w:tcPr>
                <w:p>
                  <w:pPr>
                    <w:pStyle w:val="186"/>
                  </w:pPr>
                  <w:r>
                    <w:t>本项目不涉及。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环境风险防控</w:t>
                  </w:r>
                </w:p>
              </w:tc>
              <w:tc>
                <w:tcPr>
                  <w:tcW w:w="2392" w:type="pct"/>
                  <w:vAlign w:val="center"/>
                </w:tcPr>
                <w:p>
                  <w:pPr>
                    <w:pStyle w:val="186"/>
                    <w:jc w:val="left"/>
                  </w:pPr>
                  <w:r>
                    <w:rPr>
                      <w:rFonts w:hint="eastAsia"/>
                    </w:rPr>
                    <w:t>第八条 大足工业园（龙水园区）、龙水镇小微企业园应严禁引入排放含重金属（汞、铬、镉、铅和类金属砷）、剧毒物质的工业项目</w:t>
                  </w:r>
                  <w:r>
                    <w:rPr>
                      <w:rFonts w:hint="eastAsia"/>
                      <w:lang w:bidi="en-US"/>
                    </w:rPr>
                    <w:t>。</w:t>
                  </w:r>
                </w:p>
              </w:tc>
              <w:tc>
                <w:tcPr>
                  <w:tcW w:w="1296" w:type="pct"/>
                  <w:vAlign w:val="center"/>
                </w:tcPr>
                <w:p>
                  <w:pPr>
                    <w:pStyle w:val="186"/>
                  </w:pPr>
                  <w:r>
                    <w:t>本项目不位于龙水园区</w:t>
                  </w:r>
                  <w:r>
                    <w:rPr>
                      <w:rFonts w:hint="eastAsia"/>
                      <w:lang w:bidi="en-US"/>
                    </w:rPr>
                    <w:t>。</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restart"/>
                  <w:vAlign w:val="center"/>
                </w:tcPr>
                <w:p>
                  <w:pPr>
                    <w:pStyle w:val="186"/>
                  </w:pPr>
                  <w:r>
                    <w:t>单元管控要求</w:t>
                  </w:r>
                </w:p>
              </w:tc>
              <w:tc>
                <w:tcPr>
                  <w:tcW w:w="599" w:type="pct"/>
                  <w:vAlign w:val="center"/>
                </w:tcPr>
                <w:p>
                  <w:pPr>
                    <w:pStyle w:val="186"/>
                  </w:pPr>
                  <w:r>
                    <w:t>空间布局约束</w:t>
                  </w:r>
                </w:p>
              </w:tc>
              <w:tc>
                <w:tcPr>
                  <w:tcW w:w="2392" w:type="pct"/>
                  <w:vAlign w:val="center"/>
                </w:tcPr>
                <w:p>
                  <w:pPr>
                    <w:pStyle w:val="186"/>
                    <w:jc w:val="left"/>
                  </w:pPr>
                  <w:r>
                    <w:t>双桥工业园区工业用地与居住用地之间设置绿化隔离带；艾诺斯电池等现有企业应严格管控环境防护距离。</w:t>
                  </w:r>
                </w:p>
                <w:p>
                  <w:pPr>
                    <w:pStyle w:val="186"/>
                    <w:jc w:val="left"/>
                    <w:rPr>
                      <w:lang w:bidi="en-US"/>
                    </w:rPr>
                  </w:pPr>
                  <w:r>
                    <w:t>邮亭工业园A区再生铅企业与环境敏感点应设置不小于1公里的环境防护距离：智伦电镀园区等企业严格管控环境防护距离</w:t>
                  </w:r>
                  <w:r>
                    <w:rPr>
                      <w:lang w:bidi="en-US"/>
                    </w:rPr>
                    <w:t>。</w:t>
                  </w:r>
                </w:p>
              </w:tc>
              <w:tc>
                <w:tcPr>
                  <w:tcW w:w="1296" w:type="pct"/>
                  <w:vAlign w:val="center"/>
                </w:tcPr>
                <w:p>
                  <w:pPr>
                    <w:pStyle w:val="186"/>
                    <w:jc w:val="left"/>
                  </w:pPr>
                  <w:r>
                    <w:t>本项目位于</w:t>
                  </w:r>
                  <w:r>
                    <w:rPr>
                      <w:rFonts w:hint="eastAsia"/>
                    </w:rPr>
                    <w:t>大足高新区邮亭组团</w:t>
                  </w:r>
                  <w:r>
                    <w:t>，不属于再生铅行业</w:t>
                  </w:r>
                  <w:r>
                    <w:rPr>
                      <w:rFonts w:hint="eastAsia"/>
                    </w:rPr>
                    <w:t>。</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污染物排放管控</w:t>
                  </w:r>
                </w:p>
              </w:tc>
              <w:tc>
                <w:tcPr>
                  <w:tcW w:w="2392" w:type="pct"/>
                  <w:vAlign w:val="center"/>
                </w:tcPr>
                <w:p>
                  <w:pPr>
                    <w:pStyle w:val="186"/>
                    <w:jc w:val="left"/>
                    <w:rPr>
                      <w:lang w:bidi="en-US"/>
                    </w:rPr>
                  </w:pPr>
                  <w:r>
                    <w:rPr>
                      <w:lang w:bidi="en-US"/>
                    </w:rPr>
                    <w:t>在太平河流域水质达标前，新增总磷污染物的工业项目，须在区域内实行等量削减。</w:t>
                  </w:r>
                </w:p>
                <w:p>
                  <w:pPr>
                    <w:pStyle w:val="186"/>
                    <w:jc w:val="left"/>
                    <w:rPr>
                      <w:lang w:bidi="en-US"/>
                    </w:rPr>
                  </w:pPr>
                  <w:r>
                    <w:rPr>
                      <w:lang w:bidi="en-US"/>
                    </w:rPr>
                    <w:t>太平河流域内新建城镇污水处理设施要执行一级A排放标准。包括邮亭镇污水处理厂在内的现有集中式污水处理设施应逐步进行提标改造，排水执行一级A排放标准。</w:t>
                  </w:r>
                </w:p>
              </w:tc>
              <w:tc>
                <w:tcPr>
                  <w:tcW w:w="1296" w:type="pct"/>
                  <w:vAlign w:val="center"/>
                </w:tcPr>
                <w:p>
                  <w:pPr>
                    <w:pStyle w:val="186"/>
                  </w:pPr>
                  <w:r>
                    <w:rPr>
                      <w:rFonts w:hint="eastAsia"/>
                    </w:rPr>
                    <w:t>项目不属于涉磷企业</w:t>
                  </w:r>
                  <w:r>
                    <w:rPr>
                      <w:rFonts w:hint="eastAsia"/>
                      <w:lang w:bidi="en-US"/>
                    </w:rPr>
                    <w:t>。</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环境风险防控</w:t>
                  </w:r>
                </w:p>
              </w:tc>
              <w:tc>
                <w:tcPr>
                  <w:tcW w:w="2392" w:type="pct"/>
                  <w:vAlign w:val="center"/>
                </w:tcPr>
                <w:p>
                  <w:pPr>
                    <w:pStyle w:val="186"/>
                    <w:rPr>
                      <w:lang w:bidi="en-US"/>
                    </w:rPr>
                  </w:pPr>
                  <w:r>
                    <w:rPr>
                      <w:lang w:bidi="en-US"/>
                    </w:rPr>
                    <w:t>区域内重金属污染防控地块3块：艾诺斯（重庆）华达电源系统有限公司、重庆德能再生资源股份有限公司、重庆智伦电镀有限公司，企业应严控重金属污染物排放，严格按排污自行监测规范要求，开展土壤环境现状监测，严格管控土壤环境风险。</w:t>
                  </w:r>
                </w:p>
              </w:tc>
              <w:tc>
                <w:tcPr>
                  <w:tcW w:w="1296" w:type="pct"/>
                  <w:vAlign w:val="center"/>
                </w:tcPr>
                <w:p>
                  <w:pPr>
                    <w:pStyle w:val="186"/>
                  </w:pPr>
                  <w:r>
                    <w:rPr>
                      <w:rFonts w:hint="eastAsia"/>
                    </w:rPr>
                    <w:t>项目不涉及。</w:t>
                  </w:r>
                </w:p>
              </w:tc>
              <w:tc>
                <w:tcPr>
                  <w:tcW w:w="376" w:type="pct"/>
                  <w:vAlign w:val="center"/>
                </w:tcPr>
                <w:p>
                  <w:pPr>
                    <w:pStyle w:val="186"/>
                  </w:pPr>
                  <w:r>
                    <w:rPr>
                      <w:rFonts w:hint="eastAsia"/>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37" w:type="pct"/>
                  <w:vMerge w:val="continue"/>
                  <w:vAlign w:val="center"/>
                </w:tcPr>
                <w:p>
                  <w:pPr>
                    <w:pStyle w:val="186"/>
                  </w:pPr>
                </w:p>
              </w:tc>
              <w:tc>
                <w:tcPr>
                  <w:tcW w:w="599" w:type="pct"/>
                  <w:vAlign w:val="center"/>
                </w:tcPr>
                <w:p>
                  <w:pPr>
                    <w:pStyle w:val="186"/>
                  </w:pPr>
                  <w:r>
                    <w:t>资源开发</w:t>
                  </w:r>
                </w:p>
                <w:p>
                  <w:pPr>
                    <w:pStyle w:val="186"/>
                  </w:pPr>
                  <w:r>
                    <w:t>利用效率</w:t>
                  </w:r>
                </w:p>
              </w:tc>
              <w:tc>
                <w:tcPr>
                  <w:tcW w:w="2392" w:type="pct"/>
                  <w:vAlign w:val="center"/>
                </w:tcPr>
                <w:p>
                  <w:pPr>
                    <w:pStyle w:val="186"/>
                    <w:rPr>
                      <w:lang w:bidi="en-US"/>
                    </w:rPr>
                  </w:pPr>
                  <w:r>
                    <w:rPr>
                      <w:lang w:bidi="en-US"/>
                    </w:rPr>
                    <w:t>龙滩子、双路、通桥街道辖区禁止新建使用煤、重油等为高污染燃料的工业项目。</w:t>
                  </w:r>
                </w:p>
              </w:tc>
              <w:tc>
                <w:tcPr>
                  <w:tcW w:w="1296" w:type="pct"/>
                  <w:vAlign w:val="center"/>
                </w:tcPr>
                <w:p>
                  <w:pPr>
                    <w:pStyle w:val="186"/>
                  </w:pPr>
                  <w:r>
                    <w:t>本项目不使用煤、重油等高污染燃料</w:t>
                  </w:r>
                  <w:r>
                    <w:rPr>
                      <w:rFonts w:hint="eastAsia"/>
                    </w:rPr>
                    <w:t>。</w:t>
                  </w:r>
                </w:p>
              </w:tc>
              <w:tc>
                <w:tcPr>
                  <w:tcW w:w="376" w:type="pct"/>
                  <w:vAlign w:val="center"/>
                </w:tcPr>
                <w:p>
                  <w:pPr>
                    <w:pStyle w:val="186"/>
                  </w:pPr>
                  <w:r>
                    <w:rPr>
                      <w:rFonts w:hint="eastAsia"/>
                    </w:rPr>
                    <w:t>符合</w:t>
                  </w:r>
                </w:p>
              </w:tc>
            </w:tr>
          </w:tbl>
          <w:p>
            <w:pPr>
              <w:widowControl/>
              <w:spacing w:before="120" w:beforeLines="50"/>
              <w:ind w:firstLine="0" w:firstLineChars="0"/>
              <w:rPr>
                <w:b/>
                <w:kern w:val="0"/>
              </w:rPr>
            </w:pPr>
            <w:r>
              <w:rPr>
                <w:rFonts w:hint="eastAsia"/>
                <w:sz w:val="21"/>
                <w:szCs w:val="21"/>
              </w:rPr>
              <w:t xml:space="preserve"> </w:t>
            </w: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p>
            <w:pPr>
              <w:widowControl/>
              <w:spacing w:before="120" w:beforeLines="50"/>
              <w:ind w:firstLine="0" w:firstLineChars="0"/>
              <w:jc w:val="center"/>
              <w:rPr>
                <w:b/>
                <w:kern w:val="0"/>
              </w:rPr>
            </w:pPr>
          </w:p>
        </w:tc>
      </w:tr>
    </w:tbl>
    <w:p>
      <w:pPr>
        <w:ind w:firstLine="420"/>
        <w:rPr>
          <w:sz w:val="21"/>
          <w:szCs w:val="21"/>
        </w:rPr>
        <w:sectPr>
          <w:pgSz w:w="16838" w:h="11906" w:orient="landscape"/>
          <w:pgMar w:top="1531" w:right="1701" w:bottom="1531" w:left="1701" w:header="851" w:footer="1077" w:gutter="0"/>
          <w:cols w:space="720" w:num="1"/>
          <w:docGrid w:linePitch="326" w:charSpace="0"/>
        </w:sectPr>
      </w:pPr>
    </w:p>
    <w:p>
      <w:pPr>
        <w:pStyle w:val="3"/>
        <w:rPr>
          <w:color w:val="auto"/>
        </w:rPr>
      </w:pPr>
      <w:r>
        <w:rPr>
          <w:rFonts w:hint="eastAsia"/>
          <w:color w:val="auto"/>
        </w:rPr>
        <w:t>项目建设工程分析</w:t>
      </w:r>
    </w:p>
    <w:tbl>
      <w:tblPr>
        <w:tblStyle w:val="88"/>
        <w:tblW w:w="89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4"/>
        <w:gridCol w:w="8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4" w:hRule="atLeast"/>
          <w:jc w:val="center"/>
        </w:trPr>
        <w:tc>
          <w:tcPr>
            <w:tcW w:w="454" w:type="dxa"/>
            <w:tcMar>
              <w:top w:w="16" w:type="dxa"/>
              <w:left w:w="16" w:type="dxa"/>
              <w:right w:w="16" w:type="dxa"/>
            </w:tcMar>
            <w:vAlign w:val="center"/>
          </w:tcPr>
          <w:p>
            <w:pPr>
              <w:pStyle w:val="169"/>
              <w:rPr>
                <w:sz w:val="24"/>
                <w:szCs w:val="24"/>
              </w:rPr>
            </w:pPr>
            <w:r>
              <w:rPr>
                <w:rFonts w:hint="eastAsia"/>
                <w:sz w:val="24"/>
                <w:szCs w:val="24"/>
              </w:rPr>
              <w:t>建设内容</w:t>
            </w:r>
          </w:p>
        </w:tc>
        <w:tc>
          <w:tcPr>
            <w:tcW w:w="8446" w:type="dxa"/>
            <w:vAlign w:val="center"/>
          </w:tcPr>
          <w:p>
            <w:pPr>
              <w:pStyle w:val="5"/>
              <w:numPr>
                <w:ilvl w:val="0"/>
                <w:numId w:val="0"/>
              </w:numPr>
              <w:rPr>
                <w:szCs w:val="28"/>
              </w:rPr>
            </w:pPr>
            <w:r>
              <w:rPr>
                <w:rFonts w:hint="eastAsia"/>
                <w:szCs w:val="28"/>
              </w:rPr>
              <w:t>2.1项目由来</w:t>
            </w:r>
          </w:p>
          <w:p>
            <w:r>
              <w:t>重庆足航钢铁有限公司（以下简称“足航公司”）成立于2008年，位于</w:t>
            </w:r>
            <w:r>
              <w:rPr>
                <w:rFonts w:hint="eastAsia"/>
              </w:rPr>
              <w:t>重庆市大足高新区邮亭组团</w:t>
            </w:r>
            <w:r>
              <w:t>，是一家专业从事生产加工、销售优质合金钢、优质碳素结构钢、轴承钢、工模具钢等各种高强度机械用钢的民营股份制企业。“重庆足航钢铁有限公司年产101万吨合金钢、普钢产能置换项目”在足航现有厂区内建设，占地面积约400亩，总投资64810万元，利用原有厂房37700m</w:t>
            </w:r>
            <w:r>
              <w:rPr>
                <w:vertAlign w:val="superscript"/>
              </w:rPr>
              <w:t>2</w:t>
            </w:r>
            <w:r>
              <w:t>，新建厂房52500 m</w:t>
            </w:r>
            <w:r>
              <w:rPr>
                <w:vertAlign w:val="superscript"/>
              </w:rPr>
              <w:t>2</w:t>
            </w:r>
            <w:r>
              <w:t>，新建2条生产线，主要配置70T电弧炉2台、LF精炼炉2台、VD真空炉1台、六机六流连铸机1台、棒线材轧钢线1条等设备，形成年产101万吨合金钢和普钢的生产能力（其中合金钢73.4万吨/年、普钢年产27.6万吨/年），年产60万吨棒线材</w:t>
            </w:r>
            <w:r>
              <w:rPr>
                <w:rFonts w:hint="eastAsia"/>
              </w:rPr>
              <w:t>。</w:t>
            </w:r>
          </w:p>
          <w:p>
            <w:r>
              <w:t>根据《国家危险废物名录</w:t>
            </w:r>
            <w:r>
              <w:rPr>
                <w:rFonts w:hint="eastAsia"/>
              </w:rPr>
              <w:t>（2021年版）</w:t>
            </w:r>
            <w:r>
              <w:t>》</w:t>
            </w:r>
            <w:r>
              <w:rPr>
                <w:rFonts w:hint="eastAsia"/>
              </w:rPr>
              <w:t>和《固体废物鉴别标准  通则》（GB34330-2017），</w:t>
            </w:r>
            <w:r>
              <w:t>电炉</w:t>
            </w:r>
            <w:r>
              <w:rPr>
                <w:rFonts w:hint="eastAsia"/>
              </w:rPr>
              <w:t>炼钢</w:t>
            </w:r>
            <w:r>
              <w:t>过程中</w:t>
            </w:r>
            <w:r>
              <w:rPr>
                <w:rFonts w:hint="eastAsia"/>
              </w:rPr>
              <w:t>产生的除尘灰属于危险废物（</w:t>
            </w:r>
            <w:r>
              <w:t>含锌废物</w:t>
            </w:r>
            <w:r>
              <w:rPr>
                <w:rFonts w:hint="eastAsia"/>
              </w:rPr>
              <w:t xml:space="preserve"> </w:t>
            </w:r>
            <w:r>
              <w:t>HW23 312-001-23</w:t>
            </w:r>
            <w:r>
              <w:rPr>
                <w:rFonts w:hint="eastAsia"/>
              </w:rPr>
              <w:t>），</w:t>
            </w:r>
            <w:r>
              <w:t>需定期交有危废处理资质的单位清运及处置</w:t>
            </w:r>
            <w:r>
              <w:rPr>
                <w:rFonts w:hint="eastAsia"/>
              </w:rPr>
              <w:t>，精炼炉</w:t>
            </w:r>
            <w:r>
              <w:t>炼钢</w:t>
            </w:r>
            <w:r>
              <w:rPr>
                <w:rFonts w:hint="eastAsia"/>
              </w:rPr>
              <w:t>过程中产生的除尘灰不属于危险废物。企业在实际生产过程中</w:t>
            </w:r>
            <w:r>
              <w:t>炼钢除尘灰产生量较大（实际除尘灰产生量约</w:t>
            </w:r>
            <w:r>
              <w:rPr>
                <w:rFonts w:hint="eastAsia"/>
              </w:rPr>
              <w:t>5730</w:t>
            </w:r>
            <w:r>
              <w:t>t/a</w:t>
            </w:r>
            <w:r>
              <w:rPr>
                <w:rFonts w:hint="eastAsia"/>
              </w:rPr>
              <w:t>，其中电炉除尘灰4980t，精炼炉除尘灰750t</w:t>
            </w:r>
            <w:r>
              <w:t>），</w:t>
            </w:r>
            <w:r>
              <w:rPr>
                <w:rFonts w:hint="eastAsia"/>
              </w:rPr>
              <w:t>电炉除尘灰</w:t>
            </w:r>
            <w:r>
              <w:t>作为危险废物处置</w:t>
            </w:r>
            <w:r>
              <w:rPr>
                <w:rFonts w:hint="eastAsia"/>
              </w:rPr>
              <w:t>对</w:t>
            </w:r>
            <w:r>
              <w:t>企业</w:t>
            </w:r>
            <w:r>
              <w:rPr>
                <w:rFonts w:hint="eastAsia"/>
              </w:rPr>
              <w:t>有</w:t>
            </w:r>
            <w:r>
              <w:t>较大</w:t>
            </w:r>
            <w:r>
              <w:rPr>
                <w:rFonts w:hint="eastAsia"/>
              </w:rPr>
              <w:t>的</w:t>
            </w:r>
            <w:r>
              <w:t>经济压力</w:t>
            </w:r>
            <w:r>
              <w:rPr>
                <w:rFonts w:hint="eastAsia"/>
              </w:rPr>
              <w:t>，因此</w:t>
            </w:r>
            <w:r>
              <w:t>企业拟将</w:t>
            </w:r>
            <w:r>
              <w:rPr>
                <w:rFonts w:hint="eastAsia"/>
              </w:rPr>
              <w:t>电炉</w:t>
            </w:r>
            <w:r>
              <w:t>除尘灰就地回收利用，用于炼钢环节，以实现除尘灰减量化，并降低危废运输及处置风险。</w:t>
            </w:r>
          </w:p>
          <w:p>
            <w:r>
              <w:t>根据《中华人民共和国固体废物污染环境防治法》（2020年修订，2020年9月1日起施行），第七十八条：产生危险废物的单位，应当按照国家有关规定制定危险废物管理计划。管理计划应当包括减少危险废物产生量和降低危险废物危害性的措施以及危险废物贮存、利用、处置措施。危险废物管理计划应当报产生危险废物的单位所在地生态环境主管部门备案。故足航钢铁有限公司在厂内对除尘灰进行回收利用不需要办理相关危废经营许可。</w:t>
            </w:r>
          </w:p>
          <w:p>
            <w:r>
              <w:rPr>
                <w:rFonts w:hint="eastAsia"/>
              </w:rPr>
              <w:t>2020年12月，企业委托编制了《重庆足航钢铁有限公司炼钢除尘灰回收利用环境可行性论证报告》，对除尘灰回收利用可行性方案进行了论证，于2021年1月邀请了双桥经开区生态环境局固废科、行业专家和环保专家对可行性论证报告进行了评审并取得评审意见（见附件），评审意见认为：“炼钢除尘灰回收利用方案技术可行，回炉可充分利用流失的铁元素且对钢水产品质量无影响，从环境保护角度可行”。2021年3月企业将修改后的可行性论证报告交双桥经开区生态环境局固废科存档备案。</w:t>
            </w:r>
          </w:p>
          <w:p>
            <w:r>
              <w:rPr>
                <w:rFonts w:hint="eastAsia"/>
              </w:rPr>
              <w:t>根据《中华人民共和国环境保护法》、《中华人民共和国环境影响评价法》、《建设项目环境保护管理条例》（国务院令第682号）的有关规定，拟建项目需进行环境影响评价。对照《国民经济行业分类》，项目属于“危险废物治理”，对照《建设项目环境影响评价分类管理名录》（2021年版），项目属于“四十七、生态保护和环境治理业”中“101 危险废物（不含医疗废物）利用及处置” 类项目，需编制环境影响报告表。</w:t>
            </w:r>
          </w:p>
          <w:p>
            <w:r>
              <w:rPr>
                <w:rFonts w:hint="eastAsia"/>
              </w:rPr>
              <w:t>受</w:t>
            </w:r>
            <w:r>
              <w:t>重庆足航钢铁有限公司</w:t>
            </w:r>
            <w:r>
              <w:rPr>
                <w:rFonts w:hint="eastAsia"/>
              </w:rPr>
              <w:t>委托，重庆后科环保有限责任公司承接项目的环境影响报告表编制工作。我单位在接受任务，派相关技术人员进行了现场踏勘和资料收集，后按环境影响评价技术导则规范和要求，编制完成了《炼钢除尘灰资源化利用项目环境影响报告表》。</w:t>
            </w:r>
          </w:p>
          <w:p>
            <w:pPr>
              <w:pStyle w:val="5"/>
              <w:numPr>
                <w:ilvl w:val="0"/>
                <w:numId w:val="0"/>
              </w:numPr>
              <w:rPr>
                <w:szCs w:val="28"/>
              </w:rPr>
            </w:pPr>
            <w:r>
              <w:rPr>
                <w:rFonts w:hint="eastAsia"/>
                <w:szCs w:val="28"/>
              </w:rPr>
              <w:t>2.2建设内容</w:t>
            </w:r>
          </w:p>
          <w:p>
            <w:pPr>
              <w:pStyle w:val="6"/>
              <w:numPr>
                <w:ilvl w:val="0"/>
                <w:numId w:val="0"/>
              </w:numPr>
            </w:pPr>
            <w:r>
              <w:rPr>
                <w:rFonts w:hint="eastAsia"/>
              </w:rPr>
              <w:t>2.2.1基本情况</w:t>
            </w:r>
          </w:p>
          <w:p>
            <w:r>
              <w:rPr>
                <w:rFonts w:hint="eastAsia"/>
              </w:rPr>
              <w:t>（1）项目名称：炼钢除尘灰资源化利用项目；</w:t>
            </w:r>
          </w:p>
          <w:p>
            <w:r>
              <w:rPr>
                <w:rFonts w:hint="eastAsia"/>
              </w:rPr>
              <w:t>（2）建设单位：</w:t>
            </w:r>
            <w:r>
              <w:t>重庆足航钢铁有限公司</w:t>
            </w:r>
            <w:r>
              <w:rPr>
                <w:rFonts w:hint="eastAsia"/>
              </w:rPr>
              <w:t>；</w:t>
            </w:r>
          </w:p>
          <w:p>
            <w:r>
              <w:rPr>
                <w:rFonts w:hint="eastAsia"/>
              </w:rPr>
              <w:t>（3）建设性质：新建；</w:t>
            </w:r>
          </w:p>
          <w:p>
            <w:r>
              <w:rPr>
                <w:rFonts w:hint="eastAsia"/>
              </w:rPr>
              <w:t>（4）建设地点：</w:t>
            </w:r>
            <w:r>
              <w:t>重庆市</w:t>
            </w:r>
            <w:r>
              <w:rPr>
                <w:rFonts w:hint="eastAsia"/>
              </w:rPr>
              <w:t>大足高新区邮亭组团；</w:t>
            </w:r>
          </w:p>
          <w:p>
            <w:r>
              <w:rPr>
                <w:rFonts w:hint="eastAsia"/>
              </w:rPr>
              <w:t>（5）占地面积：项目利用现有厂区，不新增占地；</w:t>
            </w:r>
          </w:p>
          <w:p>
            <w:r>
              <w:rPr>
                <w:rFonts w:hint="eastAsia"/>
              </w:rPr>
              <w:t>（6）项目投资：总投资85万元；</w:t>
            </w:r>
          </w:p>
          <w:p>
            <w:r>
              <w:rPr>
                <w:rFonts w:hint="eastAsia"/>
              </w:rPr>
              <w:t>（7）劳动定员：项目不新增工作人员，在现有工作人员中调配；</w:t>
            </w:r>
          </w:p>
          <w:p>
            <w:r>
              <w:rPr>
                <w:rFonts w:hint="eastAsia"/>
              </w:rPr>
              <w:t>（8）工作制度：年工作天数333天，执行四班三运转；</w:t>
            </w:r>
          </w:p>
          <w:p>
            <w:r>
              <w:rPr>
                <w:rFonts w:hint="eastAsia"/>
              </w:rPr>
              <w:t>（9）回用规模：年回收利用电炉除尘灰4980t，最终有1759t电炉除尘灰作为危险废物交有资质单位处置。</w:t>
            </w:r>
          </w:p>
          <w:p>
            <w:pPr>
              <w:pStyle w:val="6"/>
              <w:numPr>
                <w:ilvl w:val="0"/>
                <w:numId w:val="0"/>
              </w:numPr>
            </w:pPr>
            <w:r>
              <w:rPr>
                <w:rFonts w:hint="eastAsia"/>
              </w:rPr>
              <w:t>2.2.2项目组成</w:t>
            </w:r>
          </w:p>
          <w:p>
            <w:r>
              <w:rPr>
                <w:rFonts w:hint="eastAsia"/>
              </w:rPr>
              <w:t>项目基本组成内容见表2.2-1。</w:t>
            </w:r>
          </w:p>
          <w:p>
            <w:pPr>
              <w:pStyle w:val="178"/>
              <w:ind w:firstLine="420"/>
              <w:rPr>
                <w:rFonts w:eastAsiaTheme="minorEastAsia"/>
                <w:color w:val="auto"/>
                <w:szCs w:val="21"/>
              </w:rPr>
            </w:pPr>
            <w:r>
              <w:rPr>
                <w:rFonts w:eastAsiaTheme="minorEastAsia"/>
                <w:color w:val="auto"/>
                <w:szCs w:val="21"/>
              </w:rPr>
              <w:t>表2.2-1     项目基本组成内容</w:t>
            </w:r>
          </w:p>
          <w:tbl>
            <w:tblPr>
              <w:tblStyle w:val="88"/>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6"/>
              <w:gridCol w:w="784"/>
              <w:gridCol w:w="522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59" w:type="dxa"/>
                  <w:gridSpan w:val="3"/>
                </w:tcPr>
                <w:p>
                  <w:pPr>
                    <w:pStyle w:val="186"/>
                  </w:pPr>
                  <w:r>
                    <w:rPr>
                      <w:rFonts w:hint="eastAsia"/>
                    </w:rPr>
                    <w:t>项目组成</w:t>
                  </w:r>
                </w:p>
              </w:tc>
              <w:tc>
                <w:tcPr>
                  <w:tcW w:w="5229" w:type="dxa"/>
                </w:tcPr>
                <w:p>
                  <w:pPr>
                    <w:pStyle w:val="186"/>
                  </w:pPr>
                  <w:r>
                    <w:rPr>
                      <w:rFonts w:hint="eastAsia"/>
                    </w:rPr>
                    <w:t>建设内容及规模</w:t>
                  </w:r>
                </w:p>
              </w:tc>
              <w:tc>
                <w:tcPr>
                  <w:tcW w:w="1003" w:type="dxa"/>
                </w:tcPr>
                <w:p>
                  <w:pPr>
                    <w:pStyle w:val="186"/>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09" w:type="dxa"/>
                  <w:vAlign w:val="center"/>
                </w:tcPr>
                <w:p>
                  <w:pPr>
                    <w:pStyle w:val="186"/>
                  </w:pPr>
                  <w:r>
                    <w:rPr>
                      <w:rFonts w:hint="eastAsia"/>
                    </w:rPr>
                    <w:t>主体工程</w:t>
                  </w:r>
                </w:p>
              </w:tc>
              <w:tc>
                <w:tcPr>
                  <w:tcW w:w="1350" w:type="dxa"/>
                  <w:gridSpan w:val="2"/>
                  <w:vAlign w:val="center"/>
                </w:tcPr>
                <w:p>
                  <w:pPr>
                    <w:pStyle w:val="186"/>
                  </w:pPr>
                  <w:r>
                    <w:rPr>
                      <w:rFonts w:hint="eastAsia"/>
                    </w:rPr>
                    <w:t>炼钢车间</w:t>
                  </w:r>
                </w:p>
              </w:tc>
              <w:tc>
                <w:tcPr>
                  <w:tcW w:w="5229" w:type="dxa"/>
                  <w:vAlign w:val="center"/>
                </w:tcPr>
                <w:p>
                  <w:pPr>
                    <w:pStyle w:val="186"/>
                  </w:pPr>
                  <w:r>
                    <w:rPr>
                      <w:rFonts w:hint="eastAsia"/>
                    </w:rPr>
                    <w:t>炼钢除尘灰（袋装）经破袋机、喷粉罐投入厂区现有电炉回收利用，年回收利用电炉除尘灰4980t。</w:t>
                  </w:r>
                </w:p>
              </w:tc>
              <w:tc>
                <w:tcPr>
                  <w:tcW w:w="1003" w:type="dxa"/>
                  <w:vAlign w:val="center"/>
                </w:tcPr>
                <w:p>
                  <w:pPr>
                    <w:pStyle w:val="186"/>
                  </w:pPr>
                  <w:r>
                    <w:rPr>
                      <w:rFonts w:hint="eastAsi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09" w:type="dxa"/>
                  <w:vMerge w:val="restart"/>
                  <w:vAlign w:val="center"/>
                </w:tcPr>
                <w:p>
                  <w:pPr>
                    <w:pStyle w:val="186"/>
                  </w:pPr>
                  <w:r>
                    <w:rPr>
                      <w:rFonts w:hint="eastAsia"/>
                    </w:rPr>
                    <w:t>辅助工程</w:t>
                  </w:r>
                </w:p>
              </w:tc>
              <w:tc>
                <w:tcPr>
                  <w:tcW w:w="1350" w:type="dxa"/>
                  <w:gridSpan w:val="2"/>
                  <w:vAlign w:val="center"/>
                </w:tcPr>
                <w:p>
                  <w:pPr>
                    <w:pStyle w:val="186"/>
                  </w:pPr>
                  <w:r>
                    <w:rPr>
                      <w:rFonts w:hint="eastAsia"/>
                    </w:rPr>
                    <w:t>办公生活</w:t>
                  </w:r>
                </w:p>
              </w:tc>
              <w:tc>
                <w:tcPr>
                  <w:tcW w:w="5229" w:type="dxa"/>
                  <w:vAlign w:val="center"/>
                </w:tcPr>
                <w:p>
                  <w:pPr>
                    <w:pStyle w:val="186"/>
                  </w:pPr>
                  <w:r>
                    <w:rPr>
                      <w:rFonts w:hint="eastAsia"/>
                    </w:rPr>
                    <w:t>依托厂区现有的办公楼、宿舍楼、食堂等，不新建办公、生活相关设施。</w:t>
                  </w:r>
                </w:p>
              </w:tc>
              <w:tc>
                <w:tcPr>
                  <w:tcW w:w="1003" w:type="dxa"/>
                  <w:vAlign w:val="center"/>
                </w:tcPr>
                <w:p>
                  <w:pPr>
                    <w:pStyle w:val="186"/>
                  </w:pPr>
                  <w:r>
                    <w:rPr>
                      <w:rFonts w:hint="eastAsi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09" w:type="dxa"/>
                  <w:vMerge w:val="continue"/>
                  <w:vAlign w:val="center"/>
                </w:tcPr>
                <w:p>
                  <w:pPr>
                    <w:pStyle w:val="186"/>
                  </w:pPr>
                </w:p>
              </w:tc>
              <w:tc>
                <w:tcPr>
                  <w:tcW w:w="1350" w:type="dxa"/>
                  <w:gridSpan w:val="2"/>
                  <w:vAlign w:val="center"/>
                </w:tcPr>
                <w:p>
                  <w:pPr>
                    <w:pStyle w:val="186"/>
                  </w:pPr>
                  <w:r>
                    <w:rPr>
                      <w:rFonts w:hint="eastAsia"/>
                    </w:rPr>
                    <w:t>化验室</w:t>
                  </w:r>
                </w:p>
              </w:tc>
              <w:tc>
                <w:tcPr>
                  <w:tcW w:w="5229" w:type="dxa"/>
                  <w:vAlign w:val="center"/>
                </w:tcPr>
                <w:p>
                  <w:pPr>
                    <w:pStyle w:val="186"/>
                  </w:pPr>
                  <w:r>
                    <w:rPr>
                      <w:rFonts w:hint="eastAsia"/>
                    </w:rPr>
                    <w:t>依托厂区现有的化验室对除尘灰含锌量进行检测</w:t>
                  </w:r>
                </w:p>
              </w:tc>
              <w:tc>
                <w:tcPr>
                  <w:tcW w:w="1003" w:type="dxa"/>
                  <w:vAlign w:val="center"/>
                </w:tcPr>
                <w:p>
                  <w:pPr>
                    <w:pStyle w:val="186"/>
                  </w:pPr>
                  <w:r>
                    <w:rPr>
                      <w:rFonts w:hint="eastAsi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9" w:type="dxa"/>
                  <w:vMerge w:val="restart"/>
                  <w:tcBorders>
                    <w:top w:val="single" w:color="auto" w:sz="4" w:space="0"/>
                    <w:left w:val="single" w:color="auto" w:sz="4" w:space="0"/>
                    <w:right w:val="single" w:color="auto" w:sz="4" w:space="0"/>
                  </w:tcBorders>
                  <w:vAlign w:val="center"/>
                </w:tcPr>
                <w:p>
                  <w:pPr>
                    <w:pStyle w:val="186"/>
                  </w:pPr>
                  <w:r>
                    <w:rPr>
                      <w:rFonts w:hint="eastAsia"/>
                    </w:rPr>
                    <w:t>公用工程</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供水</w:t>
                  </w:r>
                </w:p>
              </w:tc>
              <w:tc>
                <w:tcPr>
                  <w:tcW w:w="5229"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由园区供应，依托厂区现有供水管网。</w:t>
                  </w:r>
                </w:p>
              </w:tc>
              <w:tc>
                <w:tcPr>
                  <w:tcW w:w="1003"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09" w:type="dxa"/>
                  <w:vMerge w:val="continue"/>
                  <w:tcBorders>
                    <w:left w:val="single" w:color="auto" w:sz="4" w:space="0"/>
                    <w:right w:val="single" w:color="auto" w:sz="4" w:space="0"/>
                  </w:tcBorders>
                  <w:vAlign w:val="center"/>
                </w:tcPr>
                <w:p>
                  <w:pPr>
                    <w:pStyle w:val="186"/>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排水</w:t>
                  </w:r>
                </w:p>
              </w:tc>
              <w:tc>
                <w:tcPr>
                  <w:tcW w:w="5229"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 xml:space="preserve">雨污分流。雨水经厂区雨水管网收集后排入室外雨水管网。项目无生产废水，生活污水经生化池处理后排入园区污水管网。 </w:t>
                  </w:r>
                </w:p>
              </w:tc>
              <w:tc>
                <w:tcPr>
                  <w:tcW w:w="1003"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09" w:type="dxa"/>
                  <w:vMerge w:val="continue"/>
                  <w:tcBorders>
                    <w:left w:val="single" w:color="auto" w:sz="4" w:space="0"/>
                    <w:right w:val="single" w:color="auto" w:sz="4" w:space="0"/>
                  </w:tcBorders>
                  <w:vAlign w:val="center"/>
                </w:tcPr>
                <w:p>
                  <w:pPr>
                    <w:pStyle w:val="186"/>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供电</w:t>
                  </w:r>
                </w:p>
              </w:tc>
              <w:tc>
                <w:tcPr>
                  <w:tcW w:w="5229"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由园区供电线路进行供电，可满足本项目用电需求</w:t>
                  </w:r>
                </w:p>
              </w:tc>
              <w:tc>
                <w:tcPr>
                  <w:tcW w:w="1003"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09" w:type="dxa"/>
                  <w:vMerge w:val="restart"/>
                  <w:tcBorders>
                    <w:top w:val="single" w:color="auto" w:sz="4" w:space="0"/>
                    <w:left w:val="single" w:color="auto" w:sz="4" w:space="0"/>
                    <w:right w:val="single" w:color="auto" w:sz="4" w:space="0"/>
                  </w:tcBorders>
                  <w:vAlign w:val="center"/>
                </w:tcPr>
                <w:p>
                  <w:pPr>
                    <w:pStyle w:val="186"/>
                  </w:pPr>
                  <w:r>
                    <w:rPr>
                      <w:rFonts w:hint="eastAsia"/>
                    </w:rPr>
                    <w:t>环保工程</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废气</w:t>
                  </w:r>
                </w:p>
              </w:tc>
              <w:tc>
                <w:tcPr>
                  <w:tcW w:w="5229"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除尘灰回炉利用废气</w:t>
                  </w:r>
                  <w:r>
                    <w:t>采用“第四孔排烟+上料隧道+</w:t>
                  </w:r>
                  <w:r>
                    <w:rPr>
                      <w:rFonts w:hint="eastAsia"/>
                    </w:rPr>
                    <w:t>密闭罩+</w:t>
                  </w:r>
                  <w:r>
                    <w:t>屋顶罩+布袋除尘器”的方式处理达标后</w:t>
                  </w:r>
                  <w:r>
                    <w:rPr>
                      <w:rFonts w:hint="eastAsia"/>
                    </w:rPr>
                    <w:t>高空排放。</w:t>
                  </w:r>
                </w:p>
              </w:tc>
              <w:tc>
                <w:tcPr>
                  <w:tcW w:w="1003"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09" w:type="dxa"/>
                  <w:vMerge w:val="continue"/>
                  <w:tcBorders>
                    <w:left w:val="single" w:color="auto" w:sz="4" w:space="0"/>
                    <w:right w:val="single" w:color="auto" w:sz="4" w:space="0"/>
                  </w:tcBorders>
                  <w:vAlign w:val="center"/>
                </w:tcPr>
                <w:p>
                  <w:pPr>
                    <w:pStyle w:val="186"/>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废水</w:t>
                  </w:r>
                </w:p>
              </w:tc>
              <w:tc>
                <w:tcPr>
                  <w:tcW w:w="5229"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项目无生产废水，项目生活污水经厂区现有污水管道排入现有生化池处理达到《污水综合排放标准》（GB8978-1996）三级排放标准后接入市政管网。</w:t>
                  </w:r>
                </w:p>
              </w:tc>
              <w:tc>
                <w:tcPr>
                  <w:tcW w:w="1003"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09" w:type="dxa"/>
                  <w:vMerge w:val="continue"/>
                  <w:tcBorders>
                    <w:left w:val="single" w:color="auto" w:sz="4" w:space="0"/>
                    <w:right w:val="single" w:color="auto" w:sz="4" w:space="0"/>
                  </w:tcBorders>
                  <w:vAlign w:val="center"/>
                </w:tcPr>
                <w:p>
                  <w:pPr>
                    <w:pStyle w:val="186"/>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噪声</w:t>
                  </w:r>
                </w:p>
              </w:tc>
              <w:tc>
                <w:tcPr>
                  <w:tcW w:w="5229"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 xml:space="preserve">项目选用低噪声设备，设备置于厂房内，合理布局；设备安装时进行基础减振； </w:t>
                  </w:r>
                </w:p>
              </w:tc>
              <w:tc>
                <w:tcPr>
                  <w:tcW w:w="1003"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9" w:type="dxa"/>
                  <w:vMerge w:val="continue"/>
                  <w:tcBorders>
                    <w:left w:val="single" w:color="auto" w:sz="4" w:space="0"/>
                    <w:right w:val="single" w:color="auto" w:sz="4" w:space="0"/>
                  </w:tcBorders>
                  <w:vAlign w:val="center"/>
                </w:tcPr>
                <w:p>
                  <w:pPr>
                    <w:pStyle w:val="186"/>
                  </w:pPr>
                </w:p>
              </w:tc>
              <w:tc>
                <w:tcPr>
                  <w:tcW w:w="566" w:type="dxa"/>
                  <w:vMerge w:val="restart"/>
                  <w:tcBorders>
                    <w:left w:val="single" w:color="auto" w:sz="4" w:space="0"/>
                    <w:right w:val="single" w:color="auto" w:sz="4" w:space="0"/>
                  </w:tcBorders>
                  <w:vAlign w:val="center"/>
                </w:tcPr>
                <w:p>
                  <w:pPr>
                    <w:pStyle w:val="186"/>
                  </w:pPr>
                  <w:r>
                    <w:rPr>
                      <w:rFonts w:hint="eastAsia"/>
                    </w:rPr>
                    <w:t>固废</w:t>
                  </w:r>
                </w:p>
              </w:tc>
              <w:tc>
                <w:tcPr>
                  <w:tcW w:w="784" w:type="dxa"/>
                  <w:tcBorders>
                    <w:left w:val="single" w:color="auto" w:sz="4" w:space="0"/>
                    <w:right w:val="single" w:color="auto" w:sz="4" w:space="0"/>
                  </w:tcBorders>
                  <w:vAlign w:val="center"/>
                </w:tcPr>
                <w:p>
                  <w:pPr>
                    <w:pStyle w:val="186"/>
                  </w:pPr>
                  <w:r>
                    <w:rPr>
                      <w:rFonts w:hint="eastAsia"/>
                    </w:rPr>
                    <w:t>一般固废</w:t>
                  </w:r>
                </w:p>
              </w:tc>
              <w:tc>
                <w:tcPr>
                  <w:tcW w:w="5229"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依托厂区现有一般固废暂存区（100m</w:t>
                  </w:r>
                  <w:r>
                    <w:rPr>
                      <w:rFonts w:hint="eastAsia"/>
                      <w:vertAlign w:val="superscript"/>
                    </w:rPr>
                    <w:t>2</w:t>
                  </w:r>
                  <w:r>
                    <w:rPr>
                      <w:rFonts w:hint="eastAsia"/>
                    </w:rPr>
                    <w:t>）暂存，综合利用</w:t>
                  </w:r>
                </w:p>
              </w:tc>
              <w:tc>
                <w:tcPr>
                  <w:tcW w:w="1003"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9" w:type="dxa"/>
                  <w:vMerge w:val="continue"/>
                  <w:tcBorders>
                    <w:left w:val="single" w:color="auto" w:sz="4" w:space="0"/>
                    <w:right w:val="single" w:color="auto" w:sz="4" w:space="0"/>
                  </w:tcBorders>
                  <w:vAlign w:val="center"/>
                </w:tcPr>
                <w:p>
                  <w:pPr>
                    <w:pStyle w:val="186"/>
                  </w:pPr>
                </w:p>
              </w:tc>
              <w:tc>
                <w:tcPr>
                  <w:tcW w:w="566" w:type="dxa"/>
                  <w:vMerge w:val="continue"/>
                  <w:tcBorders>
                    <w:left w:val="single" w:color="auto" w:sz="4" w:space="0"/>
                    <w:right w:val="single" w:color="auto" w:sz="4" w:space="0"/>
                  </w:tcBorders>
                  <w:vAlign w:val="center"/>
                </w:tcPr>
                <w:p>
                  <w:pPr>
                    <w:pStyle w:val="186"/>
                  </w:pPr>
                </w:p>
              </w:tc>
              <w:tc>
                <w:tcPr>
                  <w:tcW w:w="784" w:type="dxa"/>
                  <w:tcBorders>
                    <w:left w:val="single" w:color="auto" w:sz="4" w:space="0"/>
                    <w:right w:val="single" w:color="auto" w:sz="4" w:space="0"/>
                  </w:tcBorders>
                  <w:vAlign w:val="center"/>
                </w:tcPr>
                <w:p>
                  <w:pPr>
                    <w:pStyle w:val="186"/>
                  </w:pPr>
                  <w:r>
                    <w:rPr>
                      <w:rFonts w:hint="eastAsia"/>
                    </w:rPr>
                    <w:t>危险废物</w:t>
                  </w:r>
                </w:p>
              </w:tc>
              <w:tc>
                <w:tcPr>
                  <w:tcW w:w="5229"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项目危险废物主要是不能回收利用的电炉除尘灰和废包装袋，依托现有危废暂存间（50m</w:t>
                  </w:r>
                  <w:r>
                    <w:rPr>
                      <w:rFonts w:hint="eastAsia"/>
                      <w:vertAlign w:val="superscript"/>
                    </w:rPr>
                    <w:t>2</w:t>
                  </w:r>
                  <w:r>
                    <w:rPr>
                      <w:rFonts w:hint="eastAsia"/>
                    </w:rPr>
                    <w:t>）储存，定期交有资质单位处理。</w:t>
                  </w:r>
                </w:p>
              </w:tc>
              <w:tc>
                <w:tcPr>
                  <w:tcW w:w="1003"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vMerge w:val="continue"/>
                  <w:tcBorders>
                    <w:left w:val="single" w:color="auto" w:sz="4" w:space="0"/>
                    <w:bottom w:val="single" w:color="auto" w:sz="4" w:space="0"/>
                    <w:right w:val="single" w:color="auto" w:sz="4" w:space="0"/>
                  </w:tcBorders>
                  <w:vAlign w:val="center"/>
                </w:tcPr>
                <w:p>
                  <w:pPr>
                    <w:pStyle w:val="186"/>
                  </w:pPr>
                </w:p>
              </w:tc>
              <w:tc>
                <w:tcPr>
                  <w:tcW w:w="566" w:type="dxa"/>
                  <w:vMerge w:val="continue"/>
                  <w:tcBorders>
                    <w:left w:val="single" w:color="auto" w:sz="4" w:space="0"/>
                    <w:bottom w:val="single" w:color="auto" w:sz="4" w:space="0"/>
                    <w:right w:val="single" w:color="auto" w:sz="4" w:space="0"/>
                  </w:tcBorders>
                  <w:vAlign w:val="center"/>
                </w:tcPr>
                <w:p>
                  <w:pPr>
                    <w:pStyle w:val="186"/>
                  </w:pPr>
                </w:p>
              </w:tc>
              <w:tc>
                <w:tcPr>
                  <w:tcW w:w="784" w:type="dxa"/>
                  <w:tcBorders>
                    <w:left w:val="single" w:color="auto" w:sz="4" w:space="0"/>
                    <w:bottom w:val="single" w:color="auto" w:sz="4" w:space="0"/>
                    <w:right w:val="single" w:color="auto" w:sz="4" w:space="0"/>
                  </w:tcBorders>
                  <w:vAlign w:val="center"/>
                </w:tcPr>
                <w:p>
                  <w:pPr>
                    <w:pStyle w:val="186"/>
                  </w:pPr>
                  <w:r>
                    <w:rPr>
                      <w:rFonts w:hint="eastAsia"/>
                    </w:rPr>
                    <w:t>生活垃圾</w:t>
                  </w:r>
                </w:p>
              </w:tc>
              <w:tc>
                <w:tcPr>
                  <w:tcW w:w="5229"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生活垃圾依托厂区现有垃圾桶，由环卫部门定期清运处理。</w:t>
                  </w:r>
                </w:p>
              </w:tc>
              <w:tc>
                <w:tcPr>
                  <w:tcW w:w="1003" w:type="dxa"/>
                  <w:tcBorders>
                    <w:top w:val="single" w:color="auto" w:sz="4" w:space="0"/>
                    <w:left w:val="single" w:color="auto" w:sz="4" w:space="0"/>
                    <w:bottom w:val="single" w:color="auto" w:sz="4" w:space="0"/>
                    <w:right w:val="single" w:color="auto" w:sz="4" w:space="0"/>
                  </w:tcBorders>
                  <w:vAlign w:val="center"/>
                </w:tcPr>
                <w:p>
                  <w:pPr>
                    <w:pStyle w:val="186"/>
                  </w:pPr>
                  <w:r>
                    <w:rPr>
                      <w:rFonts w:hint="eastAsia"/>
                    </w:rPr>
                    <w:t>依托</w:t>
                  </w:r>
                </w:p>
              </w:tc>
            </w:tr>
          </w:tbl>
          <w:p/>
          <w:p>
            <w:pPr>
              <w:pStyle w:val="6"/>
              <w:numPr>
                <w:ilvl w:val="0"/>
                <w:numId w:val="0"/>
              </w:numPr>
            </w:pPr>
            <w:r>
              <w:rPr>
                <w:rFonts w:hint="eastAsia"/>
              </w:rPr>
              <w:t>2.2.</w:t>
            </w:r>
            <w:bookmarkStart w:id="4" w:name="_Toc60842834"/>
            <w:bookmarkStart w:id="5" w:name="_Toc60842922"/>
            <w:r>
              <w:rPr>
                <w:rFonts w:hint="eastAsia"/>
              </w:rPr>
              <w:t>3电炉除尘灰性质</w:t>
            </w:r>
            <w:bookmarkEnd w:id="4"/>
            <w:bookmarkEnd w:id="5"/>
          </w:p>
          <w:p>
            <w:pPr>
              <w:ind w:firstLine="0" w:firstLineChars="0"/>
              <w:rPr>
                <w:b/>
              </w:rPr>
            </w:pPr>
            <w:r>
              <w:rPr>
                <w:rFonts w:hint="eastAsia"/>
                <w:b/>
              </w:rPr>
              <w:t>2.2.3.1</w:t>
            </w:r>
            <w:bookmarkStart w:id="6" w:name="_Toc60842835"/>
            <w:r>
              <w:rPr>
                <w:rFonts w:hint="eastAsia"/>
                <w:b/>
              </w:rPr>
              <w:t>电炉除尘灰危险废物类别</w:t>
            </w:r>
            <w:bookmarkEnd w:id="6"/>
          </w:p>
          <w:p>
            <w:r>
              <w:t>“重庆足航钢铁有限公司年产101万吨合金钢、普钢产能置换项目”环境影响评价报告</w:t>
            </w:r>
            <w:r>
              <w:rPr>
                <w:rFonts w:hint="eastAsia"/>
              </w:rPr>
              <w:t>依</w:t>
            </w:r>
            <w:r>
              <w:t>据《国家危险废物名录》（环保部令[2016]第39 号），</w:t>
            </w:r>
            <w:r>
              <w:rPr>
                <w:rFonts w:hint="eastAsia"/>
              </w:rPr>
              <w:t>判定</w:t>
            </w:r>
            <w:r>
              <w:t>电炉炼钢除尘灰属于含铅危险废物（HW31 312-001-31）。</w:t>
            </w:r>
          </w:p>
          <w:p>
            <w:r>
              <w:t>根据《国家危险废物名录》（2021年1月1日起施行），炼钢除尘灰废物类别发生变化，更改为含锌废物（HW23 312-001-23），且名录明确其来源为废钢电炉炼钢过程中集（除）尘装置收集的粉尘和废水处理污泥。根据名录规定，废钢电炉炼钢过程除尘灰属于含锌废物，其主要有害成分为锌；足航精炼炉炼钢不属于电炉炼钢范畴，</w:t>
            </w:r>
            <w:r>
              <w:rPr>
                <w:rFonts w:hint="eastAsia"/>
              </w:rPr>
              <w:t>且精炼炉除尘灰含锌量远远小于废钢电炉除尘灰（成分检测见附件），</w:t>
            </w:r>
            <w:r>
              <w:t>故精炼炉除尘灰不属于危险废物</w:t>
            </w:r>
            <w:r>
              <w:rPr>
                <w:rFonts w:hint="eastAsia"/>
              </w:rPr>
              <w:t>。本项目电炉和精炼炉中除尘灰的主要成分见表2</w:t>
            </w:r>
            <w:r>
              <w:t>.</w:t>
            </w:r>
            <w:r>
              <w:rPr>
                <w:rFonts w:hint="eastAsia"/>
              </w:rPr>
              <w:t>2.2~2.2.3。</w:t>
            </w:r>
          </w:p>
          <w:p>
            <w:pPr>
              <w:ind w:firstLine="0" w:firstLineChars="0"/>
              <w:jc w:val="center"/>
            </w:pPr>
            <w:r>
              <w:rPr>
                <w:rFonts w:hint="eastAsia"/>
              </w:rPr>
              <w:t>略</w:t>
            </w:r>
          </w:p>
          <w:p>
            <w:pPr>
              <w:ind w:firstLine="0" w:firstLineChars="0"/>
            </w:pPr>
            <w:r>
              <w:rPr>
                <w:rFonts w:hint="eastAsia"/>
                <w:b/>
              </w:rPr>
              <w:t>2.2.3.2电炉除尘灰国内回用现状及主要成分</w:t>
            </w:r>
          </w:p>
          <w:p>
            <w:r>
              <w:t>电弧炉炼钢一般有熔化、氧化和还原三个冶炼期。各冶炼期产生的炉气量和污染物量是不同的，以氧化期为最大。烟尘是炼钢电炉排放的主要大气污染物，生产lt钢</w:t>
            </w:r>
            <w:r>
              <w:rPr>
                <w:rFonts w:hint="eastAsia"/>
              </w:rPr>
              <w:t>可能</w:t>
            </w:r>
            <w:r>
              <w:t>产生</w:t>
            </w:r>
            <w:r>
              <w:rPr>
                <w:rFonts w:hint="eastAsia"/>
              </w:rPr>
              <w:t>10</w:t>
            </w:r>
            <w:r>
              <w:t>～1</w:t>
            </w:r>
            <w:r>
              <w:rPr>
                <w:rFonts w:hint="eastAsia"/>
              </w:rPr>
              <w:t>2</w:t>
            </w:r>
            <w:r>
              <w:t>kg烟尘。在电炉内高温下，金属升华到熔池表面之上，经氧化、冷却后形成的小于0.01μm的氧化铁粒子，同时也有粉尘和铁锈随烟气一起排出。烟尘的化学成分主要是氧化铁，其他成分与冶炼的钢种和原料有关，如原料中有镀锌废钢时，冶炼初期锌挥发并氧化成氧化锌。电炉烟气的气体组分有CO</w:t>
            </w:r>
            <w:r>
              <w:rPr>
                <w:vertAlign w:val="subscript"/>
              </w:rPr>
              <w:t>2</w:t>
            </w:r>
            <w:r>
              <w:t>、CO、NO</w:t>
            </w:r>
            <w:r>
              <w:rPr>
                <w:vertAlign w:val="subscript"/>
              </w:rPr>
              <w:t>X</w:t>
            </w:r>
            <w:r>
              <w:t>、SO</w:t>
            </w:r>
            <w:r>
              <w:rPr>
                <w:vertAlign w:val="subscript"/>
              </w:rPr>
              <w:t>2</w:t>
            </w:r>
            <w:r>
              <w:t>等，其含量与电极消耗、废钢中油脂和水分的蒸发、分解以及废钢熔化和脱碳作用等有关。</w:t>
            </w:r>
          </w:p>
          <w:p>
            <w:r>
              <w:rPr>
                <w:rFonts w:hint="eastAsia"/>
              </w:rPr>
              <w:t>（1）</w:t>
            </w:r>
            <w:r>
              <w:t xml:space="preserve"> 宝钢集团八钢公司</w:t>
            </w:r>
            <w:r>
              <w:rPr>
                <w:rFonts w:hint="eastAsia"/>
              </w:rPr>
              <w:t>电炉除尘灰</w:t>
            </w:r>
          </w:p>
          <w:p>
            <w:r>
              <w:t>除尘灰回用于炼钢电炉目前国内已有应用先例，根据《八钢电炉除尘灰造球循环利用研究》（</w:t>
            </w:r>
            <w:r>
              <w:rPr>
                <w:rFonts w:hint="eastAsia"/>
              </w:rPr>
              <w:t>新疆钢铁</w:t>
            </w:r>
            <w:r>
              <w:t>，</w:t>
            </w:r>
            <w:r>
              <w:rPr>
                <w:rFonts w:hint="eastAsia"/>
              </w:rPr>
              <w:t>2008年</w:t>
            </w:r>
            <w:r>
              <w:t>），八钢70t与110t电炉每年产生约3万t电炉灰，经测定，电炉除尘灰堆比重为0.74t/m</w:t>
            </w:r>
            <w:r>
              <w:rPr>
                <w:vertAlign w:val="superscript"/>
              </w:rPr>
              <w:t>3</w:t>
            </w:r>
            <w:r>
              <w:t>，电炉除尘灰中小于300目达90%，小于200目达95%。</w:t>
            </w:r>
            <w:r>
              <w:rPr>
                <w:rFonts w:hint="eastAsia"/>
              </w:rPr>
              <w:t>八钢除尘灰化学成分见图2.2-1。</w:t>
            </w:r>
          </w:p>
          <w:p>
            <w:r>
              <w:drawing>
                <wp:anchor distT="0" distB="0" distL="114300" distR="114300" simplePos="0" relativeHeight="251659264" behindDoc="0" locked="0" layoutInCell="1" allowOverlap="1">
                  <wp:simplePos x="0" y="0"/>
                  <wp:positionH relativeFrom="column">
                    <wp:posOffset>94615</wp:posOffset>
                  </wp:positionH>
                  <wp:positionV relativeFrom="paragraph">
                    <wp:posOffset>21590</wp:posOffset>
                  </wp:positionV>
                  <wp:extent cx="5210175" cy="1111250"/>
                  <wp:effectExtent l="0" t="0" r="9525"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l="-482" t="13869" r="1"/>
                          <a:stretch>
                            <a:fillRect/>
                          </a:stretch>
                        </pic:blipFill>
                        <pic:spPr>
                          <a:xfrm>
                            <a:off x="0" y="0"/>
                            <a:ext cx="5210175" cy="1111250"/>
                          </a:xfrm>
                          <a:prstGeom prst="rect">
                            <a:avLst/>
                          </a:prstGeom>
                          <a:noFill/>
                          <a:ln>
                            <a:noFill/>
                          </a:ln>
                        </pic:spPr>
                      </pic:pic>
                    </a:graphicData>
                  </a:graphic>
                </wp:anchor>
              </w:drawing>
            </w:r>
          </w:p>
          <w:p/>
          <w:p/>
          <w:p/>
          <w:p>
            <w:pPr>
              <w:spacing w:line="240" w:lineRule="auto"/>
              <w:jc w:val="center"/>
            </w:pPr>
          </w:p>
          <w:p>
            <w:pPr>
              <w:spacing w:line="240" w:lineRule="auto"/>
              <w:jc w:val="center"/>
            </w:pPr>
            <w:r>
              <w:rPr>
                <w:rFonts w:hint="eastAsia"/>
              </w:rPr>
              <w:t xml:space="preserve">图2.2-1 </w:t>
            </w:r>
            <w:r>
              <w:t xml:space="preserve">  </w:t>
            </w:r>
            <w:r>
              <w:rPr>
                <w:rFonts w:hint="eastAsia"/>
              </w:rPr>
              <w:t>八钢电炉除尘灰化学成分</w:t>
            </w:r>
          </w:p>
          <w:p/>
          <w:p>
            <w:r>
              <w:rPr>
                <w:rFonts w:hint="eastAsia"/>
              </w:rPr>
              <w:t>报告指出，电炉除尘灰可添加进入电炉而不会影响电炉生产及产品质量。当除尘灰中的锌含量富集到一定程度后，将除尘灰从灰仓旁路取出，进行提锌处理。提锌工艺中，除尘灰中的锌含量越高越好，锌的最大允许富集浓度须结合除尘灰循环量、炼钢生产等方面综合考虑。</w:t>
            </w:r>
          </w:p>
          <w:p>
            <w:r>
              <w:rPr>
                <w:rFonts w:hint="eastAsia"/>
              </w:rPr>
              <w:t>（2）广东省韶关钢铁集团有限公司电炉除尘灰</w:t>
            </w:r>
          </w:p>
          <w:p>
            <w:r>
              <w:rPr>
                <w:rFonts w:hint="eastAsia"/>
              </w:rPr>
              <w:t>根据《电炉炼钢烟尘的综合利用》（南方金属，</w:t>
            </w:r>
            <w:r>
              <w:t>2005年</w:t>
            </w:r>
            <w:r>
              <w:rPr>
                <w:rFonts w:hint="eastAsia"/>
              </w:rPr>
              <w:t>），韶钢C</w:t>
            </w:r>
            <w:r>
              <w:t>onsteel</w:t>
            </w:r>
            <w:r>
              <w:rPr>
                <w:rFonts w:hint="eastAsia"/>
              </w:rPr>
              <w:t>电炉年产钢约70万</w:t>
            </w:r>
            <w:r>
              <w:t>t</w:t>
            </w:r>
            <w:r>
              <w:rPr>
                <w:rFonts w:hint="eastAsia"/>
              </w:rPr>
              <w:t>，电炉烟尘中锌、铅、锰含量较高，三者和占总灰量30%以上，铁含量在23%以上。电炉灰中的铁主要以F</w:t>
            </w:r>
            <w:r>
              <w:t>eO</w:t>
            </w:r>
            <w:r>
              <w:rPr>
                <w:rFonts w:hint="eastAsia"/>
              </w:rPr>
              <w:t>、F</w:t>
            </w:r>
            <w:r>
              <w:t>e</w:t>
            </w:r>
            <w:r>
              <w:rPr>
                <w:vertAlign w:val="subscript"/>
              </w:rPr>
              <w:t>2</w:t>
            </w:r>
            <w:r>
              <w:t>O</w:t>
            </w:r>
            <w:r>
              <w:rPr>
                <w:vertAlign w:val="subscript"/>
              </w:rPr>
              <w:t>3</w:t>
            </w:r>
            <w:r>
              <w:rPr>
                <w:rFonts w:hint="eastAsia"/>
              </w:rPr>
              <w:t>形态存在，锌主要以铁酸锌（</w:t>
            </w:r>
            <w:r>
              <w:t>ZnFe</w:t>
            </w:r>
            <w:r>
              <w:rPr>
                <w:vertAlign w:val="subscript"/>
              </w:rPr>
              <w:t>2</w:t>
            </w:r>
            <w:r>
              <w:t>O</w:t>
            </w:r>
            <w:r>
              <w:rPr>
                <w:vertAlign w:val="subscript"/>
              </w:rPr>
              <w:t>3</w:t>
            </w:r>
            <w:r>
              <w:rPr>
                <w:rFonts w:hint="eastAsia"/>
              </w:rPr>
              <w:t>）和氧化锌的形态存在，灰中其它成分以氧化物的形态存在。</w:t>
            </w:r>
          </w:p>
          <w:p>
            <w:r>
              <w:drawing>
                <wp:anchor distT="0" distB="0" distL="114300" distR="114300" simplePos="0" relativeHeight="251660288" behindDoc="0" locked="0" layoutInCell="1" allowOverlap="1">
                  <wp:simplePos x="0" y="0"/>
                  <wp:positionH relativeFrom="column">
                    <wp:posOffset>139065</wp:posOffset>
                  </wp:positionH>
                  <wp:positionV relativeFrom="paragraph">
                    <wp:posOffset>7620</wp:posOffset>
                  </wp:positionV>
                  <wp:extent cx="5091430" cy="1228725"/>
                  <wp:effectExtent l="0" t="0" r="0" b="9525"/>
                  <wp:wrapNone/>
                  <wp:docPr id="28" name="图片 28"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Desktop\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091430" cy="1228725"/>
                          </a:xfrm>
                          <a:prstGeom prst="rect">
                            <a:avLst/>
                          </a:prstGeom>
                          <a:noFill/>
                          <a:ln>
                            <a:noFill/>
                          </a:ln>
                        </pic:spPr>
                      </pic:pic>
                    </a:graphicData>
                  </a:graphic>
                </wp:anchor>
              </w:drawing>
            </w:r>
          </w:p>
          <w:p/>
          <w:p/>
          <w:p/>
          <w:p/>
          <w:p>
            <w:pPr>
              <w:spacing w:line="240" w:lineRule="auto"/>
              <w:jc w:val="center"/>
            </w:pPr>
            <w:r>
              <w:rPr>
                <w:rFonts w:hint="eastAsia"/>
              </w:rPr>
              <w:t xml:space="preserve">图2.2-2  </w:t>
            </w:r>
            <w:r>
              <w:t xml:space="preserve">  </w:t>
            </w:r>
            <w:r>
              <w:rPr>
                <w:rFonts w:hint="eastAsia"/>
              </w:rPr>
              <w:t>韶钢电炉除尘灰及烟尘化学成分</w:t>
            </w:r>
          </w:p>
          <w:p/>
          <w:p>
            <w:pPr>
              <w:pStyle w:val="6"/>
              <w:numPr>
                <w:ilvl w:val="0"/>
                <w:numId w:val="0"/>
              </w:numPr>
              <w:ind w:firstLine="470" w:firstLineChars="196"/>
              <w:rPr>
                <w:b w:val="0"/>
              </w:rPr>
            </w:pPr>
            <w:r>
              <w:rPr>
                <w:rFonts w:hint="eastAsia"/>
                <w:b w:val="0"/>
              </w:rPr>
              <w:t>报告指出，国外对电炉除尘灰的回用方法研究得较早，包括火法、湿法、火法和湿法相结合等，国内对电炉除尘灰的综合利用研究不多，但国内对含锌的高炉瓦斯尘的研究应用技术较成熟，对比两种烟尘的化学分析结果，不难发现，它们的化学成分是非常相似的，由此可以认为，处理瓦斯尘的方法也可以用于处理电炉除尘灰，换句话说，电炉除尘灰的综合利用是完全可行的。</w:t>
            </w:r>
          </w:p>
          <w:p>
            <w:r>
              <w:rPr>
                <w:rFonts w:hint="eastAsia"/>
              </w:rPr>
              <w:t>（3）中国电炉炼钢粉尘处理现状</w:t>
            </w:r>
          </w:p>
          <w:p>
            <w:r>
              <w:t>《中国电炉炼钢粉尘处理现状》（河南冶金，2011年）中指出，我国大部分企业电炉粉尘中</w:t>
            </w:r>
            <w:r>
              <w:rPr>
                <w:rFonts w:hint="eastAsia"/>
              </w:rPr>
              <w:t>Fe</w:t>
            </w:r>
            <w:r>
              <w:t>含量为</w:t>
            </w:r>
            <w:r>
              <w:rPr>
                <w:rFonts w:hint="eastAsia"/>
              </w:rPr>
              <w:t>30%~50%</w:t>
            </w:r>
            <w:r>
              <w:t>，Zn含量为</w:t>
            </w:r>
            <w:r>
              <w:rPr>
                <w:rFonts w:hint="eastAsia"/>
              </w:rPr>
              <w:t>10%~</w:t>
            </w:r>
            <w:r>
              <w:t>15</w:t>
            </w:r>
            <w:r>
              <w:rPr>
                <w:rFonts w:hint="eastAsia"/>
              </w:rPr>
              <w:t>%</w:t>
            </w:r>
            <w:r>
              <w:t>，</w:t>
            </w:r>
            <w:r>
              <w:rPr>
                <w:rFonts w:hint="eastAsia"/>
              </w:rPr>
              <w:t>电炉粉尘中Fe和</w:t>
            </w:r>
            <w:r>
              <w:t>Zn</w:t>
            </w:r>
            <w:r>
              <w:rPr>
                <w:rFonts w:hint="eastAsia"/>
              </w:rPr>
              <w:t>的回收具有重大的经济意义。</w:t>
            </w:r>
          </w:p>
          <w:p>
            <w:r>
              <w:drawing>
                <wp:anchor distT="0" distB="0" distL="114300" distR="114300" simplePos="0" relativeHeight="251661312" behindDoc="0" locked="0" layoutInCell="1" allowOverlap="1">
                  <wp:simplePos x="0" y="0"/>
                  <wp:positionH relativeFrom="column">
                    <wp:posOffset>160655</wp:posOffset>
                  </wp:positionH>
                  <wp:positionV relativeFrom="paragraph">
                    <wp:posOffset>-12700</wp:posOffset>
                  </wp:positionV>
                  <wp:extent cx="5076825" cy="1811655"/>
                  <wp:effectExtent l="0" t="0" r="952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076825" cy="1811655"/>
                          </a:xfrm>
                          <a:prstGeom prst="rect">
                            <a:avLst/>
                          </a:prstGeom>
                        </pic:spPr>
                      </pic:pic>
                    </a:graphicData>
                  </a:graphic>
                </wp:anchor>
              </w:drawing>
            </w:r>
          </w:p>
          <w:p/>
          <w:p/>
          <w:p/>
          <w:p/>
          <w:p/>
          <w:p/>
          <w:p>
            <w:pPr>
              <w:ind w:firstLine="1920" w:firstLineChars="800"/>
            </w:pPr>
            <w:r>
              <w:rPr>
                <w:rFonts w:hint="eastAsia"/>
              </w:rPr>
              <w:t xml:space="preserve">图2.2-3  </w:t>
            </w:r>
            <w:r>
              <w:t xml:space="preserve">  </w:t>
            </w:r>
            <w:r>
              <w:rPr>
                <w:rFonts w:hint="eastAsia"/>
              </w:rPr>
              <w:t>中国主要企业与外国电炉粉尘化学成分</w:t>
            </w:r>
          </w:p>
          <w:p/>
          <w:p>
            <w:r>
              <w:rPr>
                <w:rFonts w:hint="eastAsia"/>
              </w:rPr>
              <w:t>报告中还指出，目前我国电炉粉尘的处理方法主要有填埋法、固化和稳定技术法、返回烧结法、湿法提取法、火法工艺。其中火法工艺相对其他工艺较为成熟，更适合我国电炉粉尘的处理。火法工艺主要有转底炉、Waelz回转窑、熔融回转窑、电炉和竖炉等。该法的特点是生产效率高、Zn等金属回收率高、伴生的铁碳资源可以得到充分回收、工艺稳定，对钢铁企业而言具有较好的综合效益。</w:t>
            </w:r>
          </w:p>
          <w:p>
            <w:pPr>
              <w:pStyle w:val="6"/>
              <w:numPr>
                <w:ilvl w:val="0"/>
                <w:numId w:val="0"/>
              </w:numPr>
            </w:pPr>
            <w:r>
              <w:rPr>
                <w:rFonts w:hint="eastAsia"/>
              </w:rPr>
              <w:t>2.2.4除尘灰产生情况</w:t>
            </w:r>
          </w:p>
          <w:p>
            <w:r>
              <w:t>“重庆足航钢铁有限公司年产101万吨合金钢、普钢产能置换项目”环境影响评价报告预估电炉除尘灰产生量为15853.12t/a</w:t>
            </w:r>
            <w:r>
              <w:rPr>
                <w:rFonts w:hint="eastAsia"/>
              </w:rPr>
              <w:t>，预估依据主要是《第一次全国污染源普查工业污染源产排污系数手册》（2010版），该排污系数手册只统计了全国部分电炉炼钢企业除尘灰的产排污系数，对于电炉炼钢企业除尘灰产生量的估算有参考价值，但与电炉炼钢企业除尘灰的实际产生量有一定出入。</w:t>
            </w:r>
          </w:p>
          <w:p>
            <w:r>
              <w:rPr>
                <w:rFonts w:hint="eastAsia"/>
              </w:rPr>
              <w:t>根据</w:t>
            </w:r>
            <w:r>
              <w:t>重庆足航钢铁有限公司</w:t>
            </w:r>
            <w:r>
              <w:rPr>
                <w:rFonts w:hint="eastAsia"/>
              </w:rPr>
              <w:t>2022年实际产能（93万吨）和电炉除尘灰台账记录表（见附件），企业最大产能时（101万吨）炼钢除尘灰实际产生量约5730t/a，除尘灰实际产生量较环评阶段有所减少，主要有以下两方面的原因：</w:t>
            </w:r>
          </w:p>
          <w:p>
            <w:r>
              <w:rPr>
                <w:rFonts w:hint="eastAsia"/>
              </w:rPr>
              <w:t>一、足航公司在实际建设过程中将废钢铁剪切破碎生产线相关设施租赁给重庆佳航废旧金属回收有限公司，由重庆佳航废旧金属回收公司实施废钢铁预处理，足航公司直接外购合格的入炉废钢。足航公司对入炉废钢进行了严格的筛选，废钢的品质和清洁度有所提高，后续炼钢工序每吨废钢实际灰渣的产生量小于环评阶段的预估量；</w:t>
            </w:r>
          </w:p>
          <w:p>
            <w:r>
              <w:rPr>
                <w:rFonts w:hint="eastAsia"/>
              </w:rPr>
              <w:t>二、足航公司</w:t>
            </w:r>
            <w:r>
              <w:t>在实际生产过程中，电炉烟气从炉内抽出后进入上料隧道，对废钢进行预热，上料隧道长约60m，烟气在上料隧道的流速较慢，其中大粒径的粉尘沉降后返回电炉，因此进入除尘器的颗粒物浓度降低，相应的除尘灰量较环评有所减少</w:t>
            </w:r>
            <w:r>
              <w:rPr>
                <w:rFonts w:hint="eastAsia"/>
              </w:rPr>
              <w:t>。</w:t>
            </w:r>
          </w:p>
          <w:p>
            <w:r>
              <w:rPr>
                <w:rFonts w:hint="eastAsia"/>
              </w:rPr>
              <w:t>2020年3月，足航公司完成电炉、精炼炉除尘系统改造工程，改造后炼钢车间废气收集系统主要分为3个独立的收集、处理系统。根据企业提供的生产情况，炼钢车间除尘灰产生量合计约5730t/a，其中作为危险废物的电炉除尘灰产生量约4980t/a，作为一般工业固废的精炼炉除尘灰产生量约750t/a。企业各废气处理系统的除尘灰产生情况见表2.2-4。</w:t>
            </w:r>
          </w:p>
          <w:p>
            <w:pPr>
              <w:spacing w:line="240" w:lineRule="auto"/>
              <w:ind w:firstLine="420"/>
              <w:jc w:val="center"/>
              <w:rPr>
                <w:sz w:val="21"/>
                <w:szCs w:val="21"/>
              </w:rPr>
            </w:pPr>
            <w:r>
              <w:rPr>
                <w:rFonts w:hint="eastAsia"/>
                <w:sz w:val="21"/>
                <w:szCs w:val="21"/>
              </w:rPr>
              <w:t>表2.2-4   项目除尘灰产生情况表</w:t>
            </w:r>
          </w:p>
          <w:tbl>
            <w:tblPr>
              <w:tblStyle w:val="89"/>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92"/>
              <w:gridCol w:w="962"/>
              <w:gridCol w:w="2724"/>
              <w:gridCol w:w="1559"/>
              <w:gridCol w:w="1276"/>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1" w:hRule="atLeast"/>
                <w:jc w:val="center"/>
              </w:trPr>
              <w:tc>
                <w:tcPr>
                  <w:tcW w:w="792" w:type="dxa"/>
                  <w:vAlign w:val="center"/>
                </w:tcPr>
                <w:p>
                  <w:pPr>
                    <w:pStyle w:val="186"/>
                    <w:ind w:firstLine="105" w:firstLineChars="50"/>
                  </w:pPr>
                  <w:r>
                    <w:t>序号</w:t>
                  </w:r>
                </w:p>
              </w:tc>
              <w:tc>
                <w:tcPr>
                  <w:tcW w:w="962" w:type="dxa"/>
                  <w:vAlign w:val="center"/>
                </w:tcPr>
                <w:p>
                  <w:pPr>
                    <w:pStyle w:val="186"/>
                  </w:pPr>
                  <w:r>
                    <w:t>炼钢除尘系统</w:t>
                  </w:r>
                </w:p>
              </w:tc>
              <w:tc>
                <w:tcPr>
                  <w:tcW w:w="2724" w:type="dxa"/>
                  <w:vAlign w:val="center"/>
                </w:tcPr>
                <w:p>
                  <w:pPr>
                    <w:pStyle w:val="186"/>
                    <w:ind w:firstLine="630" w:firstLineChars="300"/>
                    <w:jc w:val="left"/>
                  </w:pPr>
                  <w:r>
                    <w:t>废气收集范围</w:t>
                  </w:r>
                </w:p>
              </w:tc>
              <w:tc>
                <w:tcPr>
                  <w:tcW w:w="1559" w:type="dxa"/>
                  <w:vAlign w:val="center"/>
                </w:tcPr>
                <w:p>
                  <w:pPr>
                    <w:pStyle w:val="186"/>
                  </w:pPr>
                  <w:r>
                    <w:rPr>
                      <w:rFonts w:hint="eastAsia"/>
                    </w:rPr>
                    <w:t>环评</w:t>
                  </w:r>
                  <w:r>
                    <w:t>估算除尘灰产生量（t/a）</w:t>
                  </w:r>
                </w:p>
              </w:tc>
              <w:tc>
                <w:tcPr>
                  <w:tcW w:w="1276" w:type="dxa"/>
                  <w:vAlign w:val="center"/>
                </w:tcPr>
                <w:p>
                  <w:pPr>
                    <w:pStyle w:val="186"/>
                  </w:pPr>
                  <w:r>
                    <w:t>实际除尘灰产生量（</w:t>
                  </w:r>
                  <w:r>
                    <w:cr/>
                  </w:r>
                  <w:r>
                    <w:t>/a）</w:t>
                  </w:r>
                </w:p>
              </w:tc>
              <w:tc>
                <w:tcPr>
                  <w:tcW w:w="1002" w:type="dxa"/>
                  <w:vAlign w:val="center"/>
                </w:tcPr>
                <w:p>
                  <w:pPr>
                    <w:pStyle w:val="186"/>
                  </w:pPr>
                  <w:bookmarkStart w:id="7" w:name="OLE_LINK18"/>
                  <w:r>
                    <w:t>是否为</w:t>
                  </w:r>
                </w:p>
                <w:p>
                  <w:pPr>
                    <w:pStyle w:val="186"/>
                  </w:pPr>
                  <w:r>
                    <w:t>危废</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2" w:hRule="atLeast"/>
                <w:jc w:val="center"/>
              </w:trPr>
              <w:tc>
                <w:tcPr>
                  <w:tcW w:w="792" w:type="dxa"/>
                  <w:vAlign w:val="center"/>
                </w:tcPr>
                <w:p>
                  <w:pPr>
                    <w:pStyle w:val="186"/>
                    <w:ind w:firstLine="105" w:firstLineChars="50"/>
                  </w:pPr>
                  <w:r>
                    <w:t>1</w:t>
                  </w:r>
                </w:p>
              </w:tc>
              <w:tc>
                <w:tcPr>
                  <w:tcW w:w="962" w:type="dxa"/>
                  <w:vAlign w:val="center"/>
                </w:tcPr>
                <w:p>
                  <w:pPr>
                    <w:pStyle w:val="186"/>
                  </w:pPr>
                  <w:r>
                    <w:t>CC-1</w:t>
                  </w:r>
                </w:p>
              </w:tc>
              <w:tc>
                <w:tcPr>
                  <w:tcW w:w="2724" w:type="dxa"/>
                  <w:vAlign w:val="center"/>
                </w:tcPr>
                <w:p>
                  <w:pPr>
                    <w:pStyle w:val="186"/>
                    <w:ind w:firstLine="735" w:firstLineChars="350"/>
                    <w:jc w:val="left"/>
                  </w:pPr>
                  <w:r>
                    <w:t>1#电炉冶炼烟气</w:t>
                  </w:r>
                </w:p>
                <w:p>
                  <w:pPr>
                    <w:pStyle w:val="186"/>
                    <w:ind w:firstLine="735" w:firstLineChars="350"/>
                    <w:jc w:val="left"/>
                  </w:pPr>
                  <w:r>
                    <w:t>1#电炉上料粉尘</w:t>
                  </w:r>
                </w:p>
                <w:p>
                  <w:pPr>
                    <w:pStyle w:val="186"/>
                    <w:ind w:firstLine="735" w:firstLineChars="350"/>
                    <w:jc w:val="left"/>
                  </w:pPr>
                  <w:r>
                    <w:t>2#精炼炉冶炼烟气</w:t>
                  </w:r>
                </w:p>
                <w:p>
                  <w:pPr>
                    <w:pStyle w:val="186"/>
                    <w:ind w:firstLine="630" w:firstLineChars="300"/>
                  </w:pPr>
                  <w:r>
                    <w:t>连铸大包开浇烟气</w:t>
                  </w:r>
                </w:p>
                <w:p>
                  <w:pPr>
                    <w:pStyle w:val="186"/>
                    <w:ind w:firstLine="630" w:firstLineChars="300"/>
                  </w:pPr>
                  <w:r>
                    <w:t>火焰切割废气</w:t>
                  </w:r>
                </w:p>
              </w:tc>
              <w:tc>
                <w:tcPr>
                  <w:tcW w:w="1559" w:type="dxa"/>
                  <w:vAlign w:val="center"/>
                </w:tcPr>
                <w:p>
                  <w:pPr>
                    <w:pStyle w:val="186"/>
                    <w:ind w:firstLine="420" w:firstLineChars="200"/>
                    <w:jc w:val="left"/>
                  </w:pPr>
                  <w:r>
                    <w:t>7948.91</w:t>
                  </w:r>
                </w:p>
              </w:tc>
              <w:tc>
                <w:tcPr>
                  <w:tcW w:w="1276" w:type="dxa"/>
                  <w:vAlign w:val="center"/>
                </w:tcPr>
                <w:p>
                  <w:pPr>
                    <w:pStyle w:val="186"/>
                    <w:ind w:firstLine="420" w:firstLineChars="200"/>
                    <w:jc w:val="left"/>
                  </w:pPr>
                  <w:r>
                    <w:rPr>
                      <w:rFonts w:hint="eastAsia"/>
                    </w:rPr>
                    <w:t>2578</w:t>
                  </w:r>
                </w:p>
              </w:tc>
              <w:tc>
                <w:tcPr>
                  <w:tcW w:w="1002" w:type="dxa"/>
                  <w:vAlign w:val="center"/>
                </w:tcPr>
                <w:p>
                  <w:pPr>
                    <w:pStyle w:val="186"/>
                    <w:ind w:firstLine="420" w:firstLineChars="200"/>
                    <w:jc w:val="left"/>
                  </w:pPr>
                  <w: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1" w:hRule="atLeast"/>
                <w:jc w:val="center"/>
              </w:trPr>
              <w:tc>
                <w:tcPr>
                  <w:tcW w:w="792" w:type="dxa"/>
                  <w:vAlign w:val="center"/>
                </w:tcPr>
                <w:p>
                  <w:pPr>
                    <w:pStyle w:val="186"/>
                    <w:ind w:firstLine="105" w:firstLineChars="50"/>
                  </w:pPr>
                  <w:r>
                    <w:t>2</w:t>
                  </w:r>
                </w:p>
              </w:tc>
              <w:tc>
                <w:tcPr>
                  <w:tcW w:w="962" w:type="dxa"/>
                  <w:vAlign w:val="center"/>
                </w:tcPr>
                <w:p>
                  <w:pPr>
                    <w:pStyle w:val="186"/>
                  </w:pPr>
                  <w:r>
                    <w:t>CC-2</w:t>
                  </w:r>
                </w:p>
              </w:tc>
              <w:tc>
                <w:tcPr>
                  <w:tcW w:w="2724" w:type="dxa"/>
                  <w:vAlign w:val="center"/>
                </w:tcPr>
                <w:p>
                  <w:pPr>
                    <w:pStyle w:val="186"/>
                    <w:ind w:firstLine="735" w:firstLineChars="350"/>
                    <w:jc w:val="left"/>
                  </w:pPr>
                  <w:r>
                    <w:t>2#电炉冶炼烟气</w:t>
                  </w:r>
                </w:p>
                <w:p>
                  <w:pPr>
                    <w:pStyle w:val="186"/>
                    <w:ind w:firstLine="735" w:firstLineChars="350"/>
                    <w:jc w:val="left"/>
                  </w:pPr>
                  <w:r>
                    <w:t>2#电炉上料粉尘</w:t>
                  </w:r>
                </w:p>
                <w:p>
                  <w:pPr>
                    <w:pStyle w:val="186"/>
                    <w:ind w:firstLine="735" w:firstLineChars="350"/>
                    <w:jc w:val="left"/>
                  </w:pPr>
                  <w:r>
                    <w:t>中间包倾翻废气</w:t>
                  </w:r>
                </w:p>
              </w:tc>
              <w:tc>
                <w:tcPr>
                  <w:tcW w:w="1559" w:type="dxa"/>
                  <w:vAlign w:val="center"/>
                </w:tcPr>
                <w:p>
                  <w:pPr>
                    <w:pStyle w:val="186"/>
                    <w:ind w:firstLine="420" w:firstLineChars="200"/>
                    <w:jc w:val="left"/>
                  </w:pPr>
                  <w:r>
                    <w:t>5984.4</w:t>
                  </w:r>
                </w:p>
              </w:tc>
              <w:tc>
                <w:tcPr>
                  <w:tcW w:w="1276" w:type="dxa"/>
                  <w:vAlign w:val="center"/>
                </w:tcPr>
                <w:p>
                  <w:pPr>
                    <w:pStyle w:val="186"/>
                    <w:ind w:firstLine="420" w:firstLineChars="200"/>
                    <w:jc w:val="left"/>
                  </w:pPr>
                  <w:r>
                    <w:rPr>
                      <w:rFonts w:hint="eastAsia"/>
                    </w:rPr>
                    <w:t>2402</w:t>
                  </w:r>
                </w:p>
              </w:tc>
              <w:tc>
                <w:tcPr>
                  <w:tcW w:w="1002" w:type="dxa"/>
                  <w:vAlign w:val="center"/>
                </w:tcPr>
                <w:p>
                  <w:pPr>
                    <w:pStyle w:val="186"/>
                    <w:ind w:firstLine="420" w:firstLineChars="200"/>
                    <w:jc w:val="left"/>
                  </w:pPr>
                  <w: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jc w:val="center"/>
              </w:trPr>
              <w:tc>
                <w:tcPr>
                  <w:tcW w:w="792" w:type="dxa"/>
                  <w:vAlign w:val="center"/>
                </w:tcPr>
                <w:p>
                  <w:pPr>
                    <w:pStyle w:val="186"/>
                    <w:ind w:firstLine="105" w:firstLineChars="50"/>
                  </w:pPr>
                  <w:r>
                    <w:t>3</w:t>
                  </w:r>
                </w:p>
              </w:tc>
              <w:tc>
                <w:tcPr>
                  <w:tcW w:w="962" w:type="dxa"/>
                  <w:vAlign w:val="center"/>
                </w:tcPr>
                <w:p>
                  <w:pPr>
                    <w:pStyle w:val="186"/>
                  </w:pPr>
                  <w:r>
                    <w:t>CC-3</w:t>
                  </w:r>
                </w:p>
              </w:tc>
              <w:tc>
                <w:tcPr>
                  <w:tcW w:w="2724" w:type="dxa"/>
                  <w:vAlign w:val="center"/>
                </w:tcPr>
                <w:p>
                  <w:pPr>
                    <w:pStyle w:val="186"/>
                    <w:ind w:firstLine="735" w:firstLineChars="350"/>
                    <w:jc w:val="left"/>
                  </w:pPr>
                  <w:r>
                    <w:t>1#精炼炉冶炼烟气</w:t>
                  </w:r>
                </w:p>
              </w:tc>
              <w:tc>
                <w:tcPr>
                  <w:tcW w:w="1559" w:type="dxa"/>
                  <w:vAlign w:val="center"/>
                </w:tcPr>
                <w:p>
                  <w:pPr>
                    <w:pStyle w:val="186"/>
                    <w:ind w:firstLine="420" w:firstLineChars="200"/>
                    <w:jc w:val="left"/>
                  </w:pPr>
                  <w:r>
                    <w:t>1919.81</w:t>
                  </w:r>
                </w:p>
              </w:tc>
              <w:tc>
                <w:tcPr>
                  <w:tcW w:w="1276" w:type="dxa"/>
                  <w:vAlign w:val="center"/>
                </w:tcPr>
                <w:p>
                  <w:pPr>
                    <w:pStyle w:val="186"/>
                    <w:ind w:firstLine="420" w:firstLineChars="200"/>
                    <w:jc w:val="left"/>
                  </w:pPr>
                  <w:r>
                    <w:rPr>
                      <w:rFonts w:hint="eastAsia"/>
                    </w:rPr>
                    <w:t>750</w:t>
                  </w:r>
                </w:p>
              </w:tc>
              <w:tc>
                <w:tcPr>
                  <w:tcW w:w="1002" w:type="dxa"/>
                  <w:vAlign w:val="center"/>
                </w:tcPr>
                <w:p>
                  <w:pPr>
                    <w:pStyle w:val="186"/>
                    <w:ind w:firstLine="420" w:firstLineChars="200"/>
                    <w:jc w:val="left"/>
                  </w:pP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792" w:type="dxa"/>
                  <w:vAlign w:val="center"/>
                </w:tcPr>
                <w:p>
                  <w:pPr>
                    <w:pStyle w:val="186"/>
                    <w:ind w:firstLine="105" w:firstLineChars="50"/>
                  </w:pPr>
                  <w:r>
                    <w:t>合计</w:t>
                  </w:r>
                </w:p>
              </w:tc>
              <w:tc>
                <w:tcPr>
                  <w:tcW w:w="962" w:type="dxa"/>
                  <w:vAlign w:val="center"/>
                </w:tcPr>
                <w:p>
                  <w:pPr>
                    <w:pStyle w:val="186"/>
                    <w:ind w:firstLine="630" w:firstLineChars="300"/>
                  </w:pPr>
                  <w:r>
                    <w:t>/</w:t>
                  </w:r>
                </w:p>
              </w:tc>
              <w:tc>
                <w:tcPr>
                  <w:tcW w:w="2724" w:type="dxa"/>
                  <w:vAlign w:val="center"/>
                </w:tcPr>
                <w:p>
                  <w:pPr>
                    <w:pStyle w:val="186"/>
                    <w:ind w:firstLine="630" w:firstLineChars="300"/>
                  </w:pPr>
                  <w:r>
                    <w:t>/</w:t>
                  </w:r>
                </w:p>
              </w:tc>
              <w:tc>
                <w:tcPr>
                  <w:tcW w:w="1559" w:type="dxa"/>
                  <w:vAlign w:val="center"/>
                </w:tcPr>
                <w:p>
                  <w:pPr>
                    <w:pStyle w:val="186"/>
                    <w:ind w:firstLine="420" w:firstLineChars="200"/>
                    <w:jc w:val="left"/>
                  </w:pPr>
                  <w:r>
                    <w:t>15853.12</w:t>
                  </w:r>
                </w:p>
              </w:tc>
              <w:tc>
                <w:tcPr>
                  <w:tcW w:w="1276" w:type="dxa"/>
                  <w:vAlign w:val="center"/>
                </w:tcPr>
                <w:p>
                  <w:pPr>
                    <w:pStyle w:val="186"/>
                    <w:ind w:firstLine="420" w:firstLineChars="200"/>
                    <w:jc w:val="left"/>
                  </w:pPr>
                  <w:r>
                    <w:rPr>
                      <w:rFonts w:hint="eastAsia"/>
                    </w:rPr>
                    <w:t>5730</w:t>
                  </w:r>
                </w:p>
              </w:tc>
              <w:tc>
                <w:tcPr>
                  <w:tcW w:w="1002" w:type="dxa"/>
                  <w:vAlign w:val="center"/>
                </w:tcPr>
                <w:p>
                  <w:pPr>
                    <w:pStyle w:val="186"/>
                    <w:ind w:firstLine="420" w:firstLineChars="200"/>
                    <w:jc w:val="left"/>
                  </w:pPr>
                  <w:r>
                    <w:t>/</w:t>
                  </w:r>
                </w:p>
              </w:tc>
            </w:tr>
          </w:tbl>
          <w:p>
            <w:pPr>
              <w:rPr>
                <w:szCs w:val="28"/>
              </w:rPr>
            </w:pPr>
          </w:p>
          <w:p>
            <w:pPr>
              <w:ind w:firstLine="0" w:firstLineChars="0"/>
              <w:rPr>
                <w:b/>
              </w:rPr>
            </w:pPr>
            <w:r>
              <w:rPr>
                <w:rFonts w:hint="eastAsia"/>
                <w:b/>
              </w:rPr>
              <w:t>2.2.5主要设备</w:t>
            </w:r>
          </w:p>
          <w:p>
            <w:pPr>
              <w:ind w:firstLineChars="0"/>
            </w:pPr>
            <w:r>
              <w:rPr>
                <w:rFonts w:hint="eastAsia"/>
              </w:rPr>
              <w:t>本项目新增1台破袋机和1台喷粉罐，电弧炉依托现有，主要设备见表2.2-5。</w:t>
            </w:r>
          </w:p>
          <w:p>
            <w:pPr>
              <w:spacing w:line="240" w:lineRule="auto"/>
              <w:ind w:firstLine="420"/>
              <w:jc w:val="center"/>
              <w:rPr>
                <w:sz w:val="21"/>
                <w:szCs w:val="21"/>
              </w:rPr>
            </w:pPr>
          </w:p>
          <w:p>
            <w:pPr>
              <w:spacing w:line="240" w:lineRule="auto"/>
              <w:ind w:firstLine="420"/>
              <w:jc w:val="center"/>
              <w:rPr>
                <w:sz w:val="21"/>
                <w:szCs w:val="21"/>
              </w:rPr>
            </w:pPr>
          </w:p>
          <w:p>
            <w:pPr>
              <w:spacing w:line="240" w:lineRule="auto"/>
              <w:ind w:firstLine="420"/>
              <w:jc w:val="center"/>
              <w:rPr>
                <w:sz w:val="21"/>
                <w:szCs w:val="21"/>
              </w:rPr>
            </w:pPr>
            <w:r>
              <w:rPr>
                <w:rFonts w:hint="eastAsia"/>
                <w:sz w:val="21"/>
                <w:szCs w:val="21"/>
              </w:rPr>
              <w:t>表2.2-5   项目主要设备一览表</w:t>
            </w:r>
          </w:p>
          <w:tbl>
            <w:tblPr>
              <w:tblStyle w:val="88"/>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48"/>
              <w:gridCol w:w="3043"/>
              <w:gridCol w:w="1780"/>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628" w:type="pct"/>
                  <w:noWrap/>
                  <w:vAlign w:val="center"/>
                </w:tcPr>
                <w:p>
                  <w:pPr>
                    <w:pStyle w:val="3238"/>
                    <w:rPr>
                      <w:sz w:val="21"/>
                      <w:szCs w:val="21"/>
                    </w:rPr>
                  </w:pPr>
                  <w:r>
                    <w:rPr>
                      <w:sz w:val="21"/>
                      <w:szCs w:val="21"/>
                    </w:rPr>
                    <w:t>序号</w:t>
                  </w:r>
                </w:p>
              </w:tc>
              <w:tc>
                <w:tcPr>
                  <w:tcW w:w="1823" w:type="pct"/>
                  <w:noWrap/>
                  <w:vAlign w:val="center"/>
                </w:tcPr>
                <w:p>
                  <w:pPr>
                    <w:pStyle w:val="3238"/>
                    <w:rPr>
                      <w:sz w:val="21"/>
                      <w:szCs w:val="21"/>
                    </w:rPr>
                  </w:pPr>
                  <w:r>
                    <w:rPr>
                      <w:sz w:val="21"/>
                      <w:szCs w:val="21"/>
                    </w:rPr>
                    <w:t>设备名称</w:t>
                  </w:r>
                </w:p>
              </w:tc>
              <w:tc>
                <w:tcPr>
                  <w:tcW w:w="1066" w:type="pct"/>
                  <w:vAlign w:val="center"/>
                </w:tcPr>
                <w:p>
                  <w:pPr>
                    <w:pStyle w:val="3238"/>
                    <w:rPr>
                      <w:sz w:val="21"/>
                      <w:szCs w:val="21"/>
                    </w:rPr>
                  </w:pPr>
                  <w:r>
                    <w:rPr>
                      <w:rFonts w:hint="eastAsia"/>
                      <w:sz w:val="21"/>
                      <w:szCs w:val="21"/>
                    </w:rPr>
                    <w:t>数量</w:t>
                  </w:r>
                  <w:r>
                    <w:rPr>
                      <w:sz w:val="21"/>
                      <w:szCs w:val="21"/>
                    </w:rPr>
                    <w:t>（台/套）</w:t>
                  </w:r>
                </w:p>
              </w:tc>
              <w:tc>
                <w:tcPr>
                  <w:tcW w:w="1484" w:type="pct"/>
                  <w:vAlign w:val="center"/>
                </w:tcPr>
                <w:p>
                  <w:pPr>
                    <w:pStyle w:val="3238"/>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 w:hRule="atLeast"/>
                <w:jc w:val="center"/>
              </w:trPr>
              <w:tc>
                <w:tcPr>
                  <w:tcW w:w="628" w:type="pct"/>
                  <w:noWrap/>
                  <w:vAlign w:val="center"/>
                </w:tcPr>
                <w:p>
                  <w:pPr>
                    <w:pStyle w:val="3238"/>
                    <w:rPr>
                      <w:sz w:val="21"/>
                      <w:szCs w:val="21"/>
                    </w:rPr>
                  </w:pPr>
                  <w:r>
                    <w:rPr>
                      <w:rFonts w:hint="eastAsia"/>
                      <w:sz w:val="21"/>
                      <w:szCs w:val="21"/>
                    </w:rPr>
                    <w:t>1</w:t>
                  </w:r>
                </w:p>
              </w:tc>
              <w:tc>
                <w:tcPr>
                  <w:tcW w:w="1823" w:type="pct"/>
                  <w:noWrap/>
                  <w:vAlign w:val="center"/>
                </w:tcPr>
                <w:p>
                  <w:pPr>
                    <w:pStyle w:val="3238"/>
                    <w:rPr>
                      <w:sz w:val="21"/>
                      <w:szCs w:val="21"/>
                    </w:rPr>
                  </w:pPr>
                  <w:r>
                    <w:rPr>
                      <w:rFonts w:hint="eastAsia"/>
                      <w:sz w:val="21"/>
                      <w:szCs w:val="21"/>
                    </w:rPr>
                    <w:t>电弧炉</w:t>
                  </w:r>
                </w:p>
              </w:tc>
              <w:tc>
                <w:tcPr>
                  <w:tcW w:w="1066" w:type="pct"/>
                  <w:vAlign w:val="center"/>
                </w:tcPr>
                <w:p>
                  <w:pPr>
                    <w:pStyle w:val="3238"/>
                    <w:rPr>
                      <w:sz w:val="21"/>
                      <w:szCs w:val="21"/>
                    </w:rPr>
                  </w:pPr>
                  <w:r>
                    <w:rPr>
                      <w:rFonts w:hint="eastAsia"/>
                      <w:sz w:val="21"/>
                      <w:szCs w:val="21"/>
                    </w:rPr>
                    <w:t>2</w:t>
                  </w:r>
                </w:p>
              </w:tc>
              <w:tc>
                <w:tcPr>
                  <w:tcW w:w="1484" w:type="pct"/>
                  <w:vAlign w:val="center"/>
                </w:tcPr>
                <w:p>
                  <w:pPr>
                    <w:pStyle w:val="3238"/>
                    <w:rPr>
                      <w:sz w:val="21"/>
                      <w:szCs w:val="21"/>
                    </w:rPr>
                  </w:pPr>
                  <w:r>
                    <w:rPr>
                      <w:rFonts w:hint="eastAsia"/>
                      <w:sz w:val="21"/>
                      <w:szCs w:val="21"/>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 w:hRule="atLeast"/>
                <w:jc w:val="center"/>
              </w:trPr>
              <w:tc>
                <w:tcPr>
                  <w:tcW w:w="628" w:type="pct"/>
                  <w:noWrap/>
                  <w:vAlign w:val="center"/>
                </w:tcPr>
                <w:p>
                  <w:pPr>
                    <w:pStyle w:val="3238"/>
                    <w:rPr>
                      <w:sz w:val="21"/>
                      <w:szCs w:val="21"/>
                    </w:rPr>
                  </w:pPr>
                  <w:r>
                    <w:rPr>
                      <w:rFonts w:hint="eastAsia"/>
                      <w:sz w:val="21"/>
                      <w:szCs w:val="21"/>
                    </w:rPr>
                    <w:t>2</w:t>
                  </w:r>
                </w:p>
              </w:tc>
              <w:tc>
                <w:tcPr>
                  <w:tcW w:w="1823" w:type="pct"/>
                  <w:noWrap/>
                  <w:vAlign w:val="center"/>
                </w:tcPr>
                <w:p>
                  <w:pPr>
                    <w:pStyle w:val="3238"/>
                    <w:rPr>
                      <w:sz w:val="21"/>
                      <w:szCs w:val="21"/>
                    </w:rPr>
                  </w:pPr>
                  <w:r>
                    <w:rPr>
                      <w:rFonts w:hint="eastAsia"/>
                      <w:sz w:val="21"/>
                      <w:szCs w:val="21"/>
                    </w:rPr>
                    <w:t>破袋机</w:t>
                  </w:r>
                </w:p>
              </w:tc>
              <w:tc>
                <w:tcPr>
                  <w:tcW w:w="1066" w:type="pct"/>
                  <w:vAlign w:val="center"/>
                </w:tcPr>
                <w:p>
                  <w:pPr>
                    <w:pStyle w:val="3238"/>
                    <w:rPr>
                      <w:sz w:val="21"/>
                      <w:szCs w:val="21"/>
                    </w:rPr>
                  </w:pPr>
                  <w:r>
                    <w:rPr>
                      <w:rFonts w:hint="eastAsia"/>
                      <w:sz w:val="21"/>
                      <w:szCs w:val="21"/>
                    </w:rPr>
                    <w:t>1</w:t>
                  </w:r>
                </w:p>
              </w:tc>
              <w:tc>
                <w:tcPr>
                  <w:tcW w:w="1484" w:type="pct"/>
                  <w:vAlign w:val="center"/>
                </w:tcPr>
                <w:p>
                  <w:pPr>
                    <w:pStyle w:val="3238"/>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 w:hRule="atLeast"/>
                <w:jc w:val="center"/>
              </w:trPr>
              <w:tc>
                <w:tcPr>
                  <w:tcW w:w="628" w:type="pct"/>
                  <w:noWrap/>
                  <w:vAlign w:val="center"/>
                </w:tcPr>
                <w:p>
                  <w:pPr>
                    <w:pStyle w:val="3238"/>
                    <w:rPr>
                      <w:sz w:val="21"/>
                      <w:szCs w:val="21"/>
                    </w:rPr>
                  </w:pPr>
                  <w:r>
                    <w:rPr>
                      <w:rFonts w:hint="eastAsia"/>
                      <w:sz w:val="21"/>
                      <w:szCs w:val="21"/>
                    </w:rPr>
                    <w:t>3</w:t>
                  </w:r>
                </w:p>
              </w:tc>
              <w:tc>
                <w:tcPr>
                  <w:tcW w:w="1823" w:type="pct"/>
                  <w:noWrap/>
                  <w:vAlign w:val="center"/>
                </w:tcPr>
                <w:p>
                  <w:pPr>
                    <w:pStyle w:val="3238"/>
                    <w:rPr>
                      <w:sz w:val="21"/>
                      <w:szCs w:val="21"/>
                    </w:rPr>
                  </w:pPr>
                  <w:r>
                    <w:rPr>
                      <w:rFonts w:hint="eastAsia"/>
                      <w:sz w:val="21"/>
                      <w:szCs w:val="21"/>
                    </w:rPr>
                    <w:t>喷粉罐</w:t>
                  </w:r>
                </w:p>
              </w:tc>
              <w:tc>
                <w:tcPr>
                  <w:tcW w:w="1066" w:type="pct"/>
                  <w:vAlign w:val="center"/>
                </w:tcPr>
                <w:p>
                  <w:pPr>
                    <w:pStyle w:val="3238"/>
                    <w:rPr>
                      <w:sz w:val="21"/>
                      <w:szCs w:val="21"/>
                    </w:rPr>
                  </w:pPr>
                  <w:r>
                    <w:rPr>
                      <w:rFonts w:hint="eastAsia"/>
                      <w:sz w:val="21"/>
                      <w:szCs w:val="21"/>
                    </w:rPr>
                    <w:t>1</w:t>
                  </w:r>
                </w:p>
              </w:tc>
              <w:tc>
                <w:tcPr>
                  <w:tcW w:w="1484" w:type="pct"/>
                  <w:vAlign w:val="center"/>
                </w:tcPr>
                <w:p>
                  <w:pPr>
                    <w:pStyle w:val="3238"/>
                    <w:rPr>
                      <w:sz w:val="21"/>
                      <w:szCs w:val="21"/>
                    </w:rPr>
                  </w:pPr>
                  <w:r>
                    <w:rPr>
                      <w:rFonts w:hint="eastAsia"/>
                      <w:sz w:val="21"/>
                      <w:szCs w:val="21"/>
                    </w:rPr>
                    <w:t>新建</w:t>
                  </w:r>
                </w:p>
              </w:tc>
            </w:tr>
          </w:tbl>
          <w:p>
            <w:pPr>
              <w:ind w:firstLineChars="0"/>
              <w:rPr>
                <w:b/>
              </w:rPr>
            </w:pPr>
          </w:p>
          <w:p>
            <w:pPr>
              <w:ind w:firstLine="0" w:firstLineChars="0"/>
              <w:rPr>
                <w:b/>
              </w:rPr>
            </w:pPr>
            <w:r>
              <w:rPr>
                <w:rFonts w:hint="eastAsia"/>
                <w:b/>
              </w:rPr>
              <w:t>2.2.6依托情况</w:t>
            </w:r>
          </w:p>
          <w:p>
            <w:pPr>
              <w:pStyle w:val="3241"/>
              <w:ind w:firstLine="470"/>
            </w:pPr>
            <w:bookmarkStart w:id="8" w:name="_Toc119155445"/>
            <w:r>
              <w:rPr>
                <w:rFonts w:hint="eastAsia"/>
              </w:rPr>
              <w:t>项目炼钢车间、设备、给水、排水、供电及环保工程均依托厂区现有，依托设施建设情况见表2.2-6。</w:t>
            </w:r>
            <w:bookmarkEnd w:id="8"/>
          </w:p>
          <w:p>
            <w:pPr>
              <w:spacing w:line="240" w:lineRule="auto"/>
              <w:ind w:firstLine="420"/>
              <w:jc w:val="center"/>
              <w:rPr>
                <w:sz w:val="21"/>
                <w:szCs w:val="21"/>
              </w:rPr>
            </w:pPr>
            <w:r>
              <w:rPr>
                <w:sz w:val="21"/>
                <w:szCs w:val="21"/>
              </w:rPr>
              <w:t>表</w:t>
            </w:r>
            <w:r>
              <w:rPr>
                <w:rFonts w:hint="eastAsia"/>
                <w:sz w:val="21"/>
                <w:szCs w:val="21"/>
              </w:rPr>
              <w:t xml:space="preserve">2.2-6 </w:t>
            </w:r>
            <w:r>
              <w:rPr>
                <w:sz w:val="21"/>
                <w:szCs w:val="21"/>
              </w:rPr>
              <w:t xml:space="preserve">  </w:t>
            </w:r>
            <w:r>
              <w:rPr>
                <w:rFonts w:hint="eastAsia"/>
                <w:sz w:val="21"/>
                <w:szCs w:val="21"/>
              </w:rPr>
              <w:t>项目</w:t>
            </w:r>
            <w:r>
              <w:rPr>
                <w:sz w:val="21"/>
                <w:szCs w:val="21"/>
              </w:rPr>
              <w:t>依托</w:t>
            </w:r>
            <w:r>
              <w:rPr>
                <w:rFonts w:hint="eastAsia"/>
                <w:sz w:val="21"/>
                <w:szCs w:val="21"/>
              </w:rPr>
              <w:t>情况</w:t>
            </w:r>
            <w:r>
              <w:rPr>
                <w:sz w:val="21"/>
                <w:szCs w:val="21"/>
              </w:rPr>
              <w:t>一览表</w:t>
            </w:r>
          </w:p>
          <w:tbl>
            <w:tblPr>
              <w:tblStyle w:val="88"/>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44"/>
              <w:gridCol w:w="1188"/>
              <w:gridCol w:w="5420"/>
              <w:gridCol w:w="11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83" w:type="pct"/>
                  <w:shd w:val="clear" w:color="auto" w:fill="auto"/>
                  <w:vAlign w:val="center"/>
                </w:tcPr>
                <w:p>
                  <w:pPr>
                    <w:pStyle w:val="186"/>
                  </w:pPr>
                  <w:r>
                    <w:t>序号</w:t>
                  </w:r>
                </w:p>
              </w:tc>
              <w:tc>
                <w:tcPr>
                  <w:tcW w:w="706" w:type="pct"/>
                  <w:shd w:val="clear" w:color="auto" w:fill="auto"/>
                  <w:vAlign w:val="center"/>
                </w:tcPr>
                <w:p>
                  <w:pPr>
                    <w:pStyle w:val="186"/>
                  </w:pPr>
                  <w:r>
                    <w:rPr>
                      <w:rFonts w:hint="eastAsia"/>
                    </w:rPr>
                    <w:t>依托</w:t>
                  </w:r>
                  <w:r>
                    <w:t>项目</w:t>
                  </w:r>
                </w:p>
              </w:tc>
              <w:tc>
                <w:tcPr>
                  <w:tcW w:w="3222" w:type="pct"/>
                  <w:shd w:val="clear" w:color="auto" w:fill="auto"/>
                  <w:vAlign w:val="center"/>
                </w:tcPr>
                <w:p>
                  <w:pPr>
                    <w:pStyle w:val="186"/>
                    <w:rPr>
                      <w:snapToGrid w:val="0"/>
                    </w:rPr>
                  </w:pPr>
                  <w:r>
                    <w:rPr>
                      <w:rFonts w:hint="eastAsia"/>
                    </w:rPr>
                    <w:t>建设情况</w:t>
                  </w:r>
                </w:p>
              </w:tc>
              <w:tc>
                <w:tcPr>
                  <w:tcW w:w="689" w:type="pct"/>
                  <w:shd w:val="clear" w:color="auto" w:fill="auto"/>
                  <w:vAlign w:val="center"/>
                </w:tcPr>
                <w:p>
                  <w:pPr>
                    <w:pStyle w:val="186"/>
                    <w:rPr>
                      <w:snapToGrid w:val="0"/>
                    </w:rPr>
                  </w:pPr>
                  <w:r>
                    <w:rPr>
                      <w:rFonts w:hint="eastAsia"/>
                      <w:snapToGrid w:val="0"/>
                    </w:rPr>
                    <w:t>依托情况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83" w:type="pct"/>
                  <w:shd w:val="clear" w:color="auto" w:fill="auto"/>
                  <w:vAlign w:val="center"/>
                </w:tcPr>
                <w:p>
                  <w:pPr>
                    <w:pStyle w:val="186"/>
                  </w:pPr>
                  <w:r>
                    <w:rPr>
                      <w:rFonts w:hint="eastAsia"/>
                    </w:rPr>
                    <w:t>1</w:t>
                  </w:r>
                </w:p>
              </w:tc>
              <w:tc>
                <w:tcPr>
                  <w:tcW w:w="706" w:type="pct"/>
                  <w:shd w:val="clear" w:color="auto" w:fill="auto"/>
                  <w:vAlign w:val="center"/>
                </w:tcPr>
                <w:p>
                  <w:pPr>
                    <w:pStyle w:val="186"/>
                  </w:pPr>
                  <w:r>
                    <w:rPr>
                      <w:rFonts w:hint="eastAsia"/>
                    </w:rPr>
                    <w:t>炼钢车间</w:t>
                  </w:r>
                </w:p>
              </w:tc>
              <w:tc>
                <w:tcPr>
                  <w:tcW w:w="3222" w:type="pct"/>
                  <w:shd w:val="clear" w:color="auto" w:fill="auto"/>
                  <w:vAlign w:val="center"/>
                </w:tcPr>
                <w:p>
                  <w:pPr>
                    <w:pStyle w:val="186"/>
                  </w:pPr>
                  <w:r>
                    <w:rPr>
                      <w:rFonts w:hint="eastAsia"/>
                    </w:rPr>
                    <w:t>厂区现有炼钢车间1座，车间内设置有电弧炉，电弧炉用于废钢冶炼，可满足本项目除尘灰回收利用使用需求。</w:t>
                  </w:r>
                </w:p>
              </w:tc>
              <w:tc>
                <w:tcPr>
                  <w:tcW w:w="689" w:type="pct"/>
                  <w:shd w:val="clear" w:color="auto" w:fill="auto"/>
                  <w:vAlign w:val="center"/>
                </w:tcPr>
                <w:p>
                  <w:pPr>
                    <w:pStyle w:val="186"/>
                  </w:pPr>
                  <w:r>
                    <w:rPr>
                      <w:rFonts w:hint="eastAsia"/>
                    </w:rPr>
                    <w:t>依托可行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83" w:type="pct"/>
                  <w:shd w:val="clear" w:color="auto" w:fill="auto"/>
                  <w:vAlign w:val="center"/>
                </w:tcPr>
                <w:p>
                  <w:pPr>
                    <w:pStyle w:val="186"/>
                  </w:pPr>
                  <w:r>
                    <w:rPr>
                      <w:rFonts w:hint="eastAsia"/>
                    </w:rPr>
                    <w:t>2</w:t>
                  </w:r>
                </w:p>
              </w:tc>
              <w:tc>
                <w:tcPr>
                  <w:tcW w:w="706" w:type="pct"/>
                  <w:shd w:val="clear" w:color="auto" w:fill="auto"/>
                  <w:vAlign w:val="center"/>
                </w:tcPr>
                <w:p>
                  <w:pPr>
                    <w:pStyle w:val="186"/>
                  </w:pPr>
                  <w:r>
                    <w:rPr>
                      <w:rFonts w:hint="eastAsia"/>
                    </w:rPr>
                    <w:t>办公生活</w:t>
                  </w:r>
                </w:p>
              </w:tc>
              <w:tc>
                <w:tcPr>
                  <w:tcW w:w="3222" w:type="pct"/>
                  <w:shd w:val="clear" w:color="auto" w:fill="auto"/>
                  <w:vAlign w:val="center"/>
                </w:tcPr>
                <w:p>
                  <w:pPr>
                    <w:pStyle w:val="186"/>
                  </w:pPr>
                  <w:r>
                    <w:rPr>
                      <w:rFonts w:hint="eastAsia"/>
                    </w:rPr>
                    <w:t>现有厂区已建有办公楼、宿舍楼、食堂等，可以满足项目需求。</w:t>
                  </w:r>
                </w:p>
              </w:tc>
              <w:tc>
                <w:tcPr>
                  <w:tcW w:w="689" w:type="pct"/>
                  <w:shd w:val="clear" w:color="auto" w:fill="auto"/>
                  <w:vAlign w:val="center"/>
                </w:tcPr>
                <w:p>
                  <w:pPr>
                    <w:pStyle w:val="186"/>
                  </w:pPr>
                  <w:r>
                    <w:rPr>
                      <w:rFonts w:hint="eastAsia"/>
                    </w:rPr>
                    <w:t>依托可行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83" w:type="pct"/>
                  <w:shd w:val="clear" w:color="auto" w:fill="auto"/>
                  <w:vAlign w:val="center"/>
                </w:tcPr>
                <w:p>
                  <w:pPr>
                    <w:pStyle w:val="186"/>
                  </w:pPr>
                  <w:r>
                    <w:rPr>
                      <w:rFonts w:hint="eastAsia"/>
                    </w:rPr>
                    <w:t>3</w:t>
                  </w:r>
                </w:p>
              </w:tc>
              <w:tc>
                <w:tcPr>
                  <w:tcW w:w="706" w:type="pct"/>
                  <w:shd w:val="clear" w:color="auto" w:fill="auto"/>
                  <w:vAlign w:val="center"/>
                </w:tcPr>
                <w:p>
                  <w:pPr>
                    <w:pStyle w:val="186"/>
                  </w:pPr>
                  <w:r>
                    <w:rPr>
                      <w:rFonts w:hint="eastAsia"/>
                    </w:rPr>
                    <w:t>化验室</w:t>
                  </w:r>
                </w:p>
              </w:tc>
              <w:tc>
                <w:tcPr>
                  <w:tcW w:w="3222" w:type="pct"/>
                  <w:shd w:val="clear" w:color="auto" w:fill="auto"/>
                  <w:vAlign w:val="center"/>
                </w:tcPr>
                <w:p>
                  <w:pPr>
                    <w:pStyle w:val="186"/>
                  </w:pPr>
                  <w:r>
                    <w:rPr>
                      <w:rFonts w:hint="eastAsia"/>
                    </w:rPr>
                    <w:t>现有厂区已建有化验室，主要对钢铁成分进行化验，可以满足项目除尘灰含锌量检测需求。</w:t>
                  </w:r>
                </w:p>
              </w:tc>
              <w:tc>
                <w:tcPr>
                  <w:tcW w:w="689" w:type="pct"/>
                  <w:shd w:val="clear" w:color="auto" w:fill="auto"/>
                  <w:vAlign w:val="center"/>
                </w:tcPr>
                <w:p>
                  <w:pPr>
                    <w:pStyle w:val="186"/>
                  </w:pPr>
                  <w:r>
                    <w:rPr>
                      <w:rFonts w:hint="eastAsia"/>
                    </w:rPr>
                    <w:t>依托可行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83" w:type="pct"/>
                  <w:shd w:val="clear" w:color="auto" w:fill="auto"/>
                  <w:vAlign w:val="center"/>
                </w:tcPr>
                <w:p>
                  <w:pPr>
                    <w:pStyle w:val="186"/>
                  </w:pPr>
                  <w:r>
                    <w:rPr>
                      <w:rFonts w:hint="eastAsia"/>
                    </w:rPr>
                    <w:t>4</w:t>
                  </w:r>
                </w:p>
              </w:tc>
              <w:tc>
                <w:tcPr>
                  <w:tcW w:w="706" w:type="pct"/>
                  <w:shd w:val="clear" w:color="auto" w:fill="auto"/>
                  <w:vAlign w:val="center"/>
                </w:tcPr>
                <w:p>
                  <w:pPr>
                    <w:pStyle w:val="186"/>
                  </w:pPr>
                  <w:r>
                    <w:rPr>
                      <w:rFonts w:hint="eastAsia"/>
                    </w:rPr>
                    <w:t>供水</w:t>
                  </w:r>
                </w:p>
              </w:tc>
              <w:tc>
                <w:tcPr>
                  <w:tcW w:w="3222" w:type="pct"/>
                  <w:shd w:val="clear" w:color="auto" w:fill="auto"/>
                  <w:vAlign w:val="center"/>
                </w:tcPr>
                <w:p>
                  <w:pPr>
                    <w:pStyle w:val="186"/>
                  </w:pPr>
                  <w:r>
                    <w:rPr>
                      <w:rFonts w:hint="eastAsia"/>
                    </w:rPr>
                    <w:t>厂区已建供水管网，可满足供给</w:t>
                  </w:r>
                  <w:r>
                    <w:t>。</w:t>
                  </w:r>
                </w:p>
              </w:tc>
              <w:tc>
                <w:tcPr>
                  <w:tcW w:w="689" w:type="pct"/>
                  <w:shd w:val="clear" w:color="auto" w:fill="auto"/>
                  <w:vAlign w:val="center"/>
                </w:tcPr>
                <w:p>
                  <w:pPr>
                    <w:pStyle w:val="186"/>
                  </w:pPr>
                  <w:r>
                    <w:rPr>
                      <w:rFonts w:hint="eastAsia"/>
                    </w:rPr>
                    <w:t>依托可行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83" w:type="pct"/>
                  <w:shd w:val="clear" w:color="auto" w:fill="auto"/>
                  <w:vAlign w:val="center"/>
                </w:tcPr>
                <w:p>
                  <w:pPr>
                    <w:pStyle w:val="186"/>
                  </w:pPr>
                  <w:r>
                    <w:rPr>
                      <w:rFonts w:hint="eastAsia"/>
                    </w:rPr>
                    <w:t>5</w:t>
                  </w:r>
                </w:p>
              </w:tc>
              <w:tc>
                <w:tcPr>
                  <w:tcW w:w="706" w:type="pct"/>
                  <w:shd w:val="clear" w:color="auto" w:fill="auto"/>
                  <w:vAlign w:val="center"/>
                </w:tcPr>
                <w:p>
                  <w:pPr>
                    <w:pStyle w:val="186"/>
                  </w:pPr>
                  <w:r>
                    <w:rPr>
                      <w:rFonts w:hint="eastAsia"/>
                    </w:rPr>
                    <w:t>排水</w:t>
                  </w:r>
                </w:p>
              </w:tc>
              <w:tc>
                <w:tcPr>
                  <w:tcW w:w="3222" w:type="pct"/>
                  <w:shd w:val="clear" w:color="auto" w:fill="auto"/>
                  <w:vAlign w:val="center"/>
                </w:tcPr>
                <w:p>
                  <w:pPr>
                    <w:pStyle w:val="186"/>
                  </w:pPr>
                  <w:r>
                    <w:rPr>
                      <w:rFonts w:hint="eastAsia"/>
                    </w:rPr>
                    <w:t>厂区</w:t>
                  </w:r>
                  <w:r>
                    <w:t>排水采用雨污分流制</w:t>
                  </w:r>
                  <w:r>
                    <w:rPr>
                      <w:rFonts w:hint="eastAsia"/>
                    </w:rPr>
                    <w:t>，雨水经厂区雨水管网收集后排入室外雨水管网。项目无生产废水，不新增工作人员，生活污水产生量无变化，经生化池处理后排入园区污水管网。</w:t>
                  </w:r>
                </w:p>
              </w:tc>
              <w:tc>
                <w:tcPr>
                  <w:tcW w:w="689" w:type="pct"/>
                  <w:shd w:val="clear" w:color="auto" w:fill="auto"/>
                  <w:vAlign w:val="center"/>
                </w:tcPr>
                <w:p>
                  <w:pPr>
                    <w:pStyle w:val="186"/>
                  </w:pPr>
                  <w:r>
                    <w:rPr>
                      <w:rFonts w:hint="eastAsia"/>
                    </w:rPr>
                    <w:t>依托可行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83" w:type="pct"/>
                  <w:shd w:val="clear" w:color="auto" w:fill="auto"/>
                  <w:vAlign w:val="center"/>
                </w:tcPr>
                <w:p>
                  <w:pPr>
                    <w:pStyle w:val="186"/>
                  </w:pPr>
                  <w:r>
                    <w:rPr>
                      <w:rFonts w:hint="eastAsia"/>
                    </w:rPr>
                    <w:t>6</w:t>
                  </w:r>
                </w:p>
              </w:tc>
              <w:tc>
                <w:tcPr>
                  <w:tcW w:w="706" w:type="pct"/>
                  <w:shd w:val="clear" w:color="auto" w:fill="auto"/>
                  <w:vAlign w:val="center"/>
                </w:tcPr>
                <w:p>
                  <w:pPr>
                    <w:pStyle w:val="186"/>
                  </w:pPr>
                  <w:r>
                    <w:t>供电</w:t>
                  </w:r>
                </w:p>
              </w:tc>
              <w:tc>
                <w:tcPr>
                  <w:tcW w:w="3222" w:type="pct"/>
                  <w:shd w:val="clear" w:color="auto" w:fill="auto"/>
                  <w:vAlign w:val="center"/>
                </w:tcPr>
                <w:p>
                  <w:pPr>
                    <w:pStyle w:val="186"/>
                  </w:pPr>
                  <w:r>
                    <w:t>由园区供给，厂区已</w:t>
                  </w:r>
                  <w:r>
                    <w:rPr>
                      <w:rFonts w:hint="eastAsia"/>
                    </w:rPr>
                    <w:t>与</w:t>
                  </w:r>
                  <w:r>
                    <w:t>园区电网连接</w:t>
                  </w:r>
                  <w:r>
                    <w:rPr>
                      <w:rFonts w:hint="eastAsia"/>
                    </w:rPr>
                    <w:t>。</w:t>
                  </w:r>
                </w:p>
              </w:tc>
              <w:tc>
                <w:tcPr>
                  <w:tcW w:w="689" w:type="pct"/>
                  <w:shd w:val="clear" w:color="auto" w:fill="auto"/>
                  <w:vAlign w:val="center"/>
                </w:tcPr>
                <w:p>
                  <w:pPr>
                    <w:pStyle w:val="186"/>
                  </w:pPr>
                  <w:r>
                    <w:t>依托可行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83" w:type="pct"/>
                  <w:shd w:val="clear" w:color="auto" w:fill="auto"/>
                  <w:vAlign w:val="center"/>
                </w:tcPr>
                <w:p>
                  <w:pPr>
                    <w:pStyle w:val="186"/>
                  </w:pPr>
                  <w:r>
                    <w:rPr>
                      <w:rFonts w:hint="eastAsia"/>
                    </w:rPr>
                    <w:t>7</w:t>
                  </w:r>
                </w:p>
              </w:tc>
              <w:tc>
                <w:tcPr>
                  <w:tcW w:w="706" w:type="pct"/>
                  <w:shd w:val="clear" w:color="auto" w:fill="auto"/>
                  <w:vAlign w:val="center"/>
                </w:tcPr>
                <w:p>
                  <w:pPr>
                    <w:pStyle w:val="186"/>
                  </w:pPr>
                  <w:r>
                    <w:rPr>
                      <w:rFonts w:hint="eastAsia"/>
                    </w:rPr>
                    <w:t>废气</w:t>
                  </w:r>
                </w:p>
              </w:tc>
              <w:tc>
                <w:tcPr>
                  <w:tcW w:w="3222" w:type="pct"/>
                  <w:shd w:val="clear" w:color="auto" w:fill="auto"/>
                  <w:vAlign w:val="center"/>
                </w:tcPr>
                <w:p>
                  <w:pPr>
                    <w:pStyle w:val="186"/>
                  </w:pPr>
                  <w:r>
                    <w:rPr>
                      <w:rFonts w:hint="eastAsia"/>
                    </w:rPr>
                    <w:t>项目实施后现</w:t>
                  </w:r>
                  <w:r>
                    <w:t>有炼钢工艺和生产规模不变</w:t>
                  </w:r>
                  <w:r>
                    <w:rPr>
                      <w:rFonts w:hint="eastAsia"/>
                    </w:rPr>
                    <w:t>，除尘灰回炉利用废气</w:t>
                  </w:r>
                  <w:r>
                    <w:t>采用“第四孔排烟+上料隧道+</w:t>
                  </w:r>
                  <w:r>
                    <w:rPr>
                      <w:rFonts w:hint="eastAsia"/>
                    </w:rPr>
                    <w:t>密闭罩+</w:t>
                  </w:r>
                  <w:r>
                    <w:t>屋顶罩+布袋除尘器”的方式处理达标后</w:t>
                  </w:r>
                  <w:r>
                    <w:rPr>
                      <w:rFonts w:hint="eastAsia"/>
                    </w:rPr>
                    <w:t>高空排放。</w:t>
                  </w:r>
                </w:p>
              </w:tc>
              <w:tc>
                <w:tcPr>
                  <w:tcW w:w="689" w:type="pct"/>
                  <w:shd w:val="clear" w:color="auto" w:fill="auto"/>
                  <w:vAlign w:val="center"/>
                </w:tcPr>
                <w:p>
                  <w:pPr>
                    <w:pStyle w:val="186"/>
                  </w:pPr>
                  <w:r>
                    <w:t>依托可行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83" w:type="pct"/>
                  <w:shd w:val="clear" w:color="auto" w:fill="auto"/>
                  <w:vAlign w:val="center"/>
                </w:tcPr>
                <w:p>
                  <w:pPr>
                    <w:pStyle w:val="186"/>
                  </w:pPr>
                  <w:r>
                    <w:rPr>
                      <w:rFonts w:hint="eastAsia"/>
                    </w:rPr>
                    <w:t>8</w:t>
                  </w:r>
                </w:p>
              </w:tc>
              <w:tc>
                <w:tcPr>
                  <w:tcW w:w="706" w:type="pct"/>
                  <w:shd w:val="clear" w:color="auto" w:fill="auto"/>
                  <w:vAlign w:val="center"/>
                </w:tcPr>
                <w:p>
                  <w:pPr>
                    <w:pStyle w:val="186"/>
                  </w:pPr>
                  <w:r>
                    <w:rPr>
                      <w:rFonts w:hint="eastAsia"/>
                    </w:rPr>
                    <w:t>固废</w:t>
                  </w:r>
                </w:p>
              </w:tc>
              <w:tc>
                <w:tcPr>
                  <w:tcW w:w="3222" w:type="pct"/>
                  <w:shd w:val="clear" w:color="auto" w:fill="auto"/>
                  <w:vAlign w:val="center"/>
                </w:tcPr>
                <w:p>
                  <w:pPr>
                    <w:pStyle w:val="186"/>
                  </w:pPr>
                  <w:r>
                    <w:rPr>
                      <w:rFonts w:hint="eastAsia"/>
                    </w:rPr>
                    <w:t>现有厂区一般工业固废暂存间和危废暂存间已建成正常运行，可以满足项目固废处理需求。</w:t>
                  </w:r>
                </w:p>
              </w:tc>
              <w:tc>
                <w:tcPr>
                  <w:tcW w:w="689" w:type="pct"/>
                  <w:shd w:val="clear" w:color="auto" w:fill="auto"/>
                  <w:vAlign w:val="center"/>
                </w:tcPr>
                <w:p>
                  <w:pPr>
                    <w:pStyle w:val="186"/>
                  </w:pPr>
                  <w:r>
                    <w:rPr>
                      <w:rFonts w:hint="eastAsia"/>
                    </w:rPr>
                    <w:t>依托可行</w:t>
                  </w:r>
                </w:p>
              </w:tc>
            </w:tr>
          </w:tbl>
          <w:p>
            <w:pPr>
              <w:ind w:firstLineChars="0"/>
              <w:rPr>
                <w:b/>
              </w:rPr>
            </w:pPr>
          </w:p>
          <w:p>
            <w:pPr>
              <w:ind w:firstLine="0" w:firstLineChars="0"/>
              <w:rPr>
                <w:b/>
              </w:rPr>
            </w:pPr>
            <w:r>
              <w:rPr>
                <w:rFonts w:hint="eastAsia"/>
                <w:b/>
              </w:rPr>
              <w:t>2.2.7劳动定员及工作制度</w:t>
            </w:r>
          </w:p>
          <w:p>
            <w:pPr>
              <w:ind w:firstLineChars="0"/>
            </w:pPr>
            <w:r>
              <w:rPr>
                <w:rFonts w:hint="eastAsia"/>
              </w:rPr>
              <w:t>（1）劳动定员</w:t>
            </w:r>
          </w:p>
          <w:p>
            <w:pPr>
              <w:ind w:firstLineChars="0"/>
            </w:pPr>
            <w:r>
              <w:rPr>
                <w:rFonts w:hint="eastAsia"/>
              </w:rPr>
              <w:t>项目不新增工作人员，在现有工作人员中调配。</w:t>
            </w:r>
          </w:p>
          <w:p>
            <w:pPr>
              <w:ind w:firstLineChars="0"/>
            </w:pPr>
            <w:r>
              <w:rPr>
                <w:rFonts w:hint="eastAsia"/>
              </w:rPr>
              <w:t>（2）工作制度</w:t>
            </w:r>
          </w:p>
          <w:p>
            <w:pPr>
              <w:ind w:firstLineChars="0"/>
            </w:pPr>
            <w:r>
              <w:rPr>
                <w:rFonts w:hint="eastAsia"/>
              </w:rPr>
              <w:t>年工作天数333天，执行四班三运转。</w:t>
            </w:r>
          </w:p>
          <w:p>
            <w:pPr>
              <w:ind w:firstLineChars="0"/>
              <w:rPr>
                <w:b/>
              </w:rPr>
            </w:pPr>
          </w:p>
          <w:p>
            <w:pPr>
              <w:ind w:firstLineChars="0"/>
              <w:rPr>
                <w:rFonts w:hint="eastAsia"/>
                <w:b/>
              </w:rPr>
            </w:pPr>
          </w:p>
          <w:p>
            <w:pPr>
              <w:ind w:firstLineChars="0"/>
              <w:rPr>
                <w:rFonts w:hint="eastAsia"/>
                <w:b/>
              </w:rPr>
            </w:pPr>
          </w:p>
          <w:p>
            <w:pPr>
              <w:ind w:firstLineChars="0"/>
              <w:rPr>
                <w:rFonts w:hint="eastAsia"/>
                <w:b/>
              </w:rPr>
            </w:pPr>
          </w:p>
          <w:p>
            <w:pPr>
              <w:ind w:firstLineChars="0"/>
              <w:rPr>
                <w:rFonts w:hint="eastAsia"/>
                <w:b/>
              </w:rPr>
            </w:pPr>
          </w:p>
          <w:p>
            <w:pPr>
              <w:ind w:firstLineChars="0"/>
              <w:rPr>
                <w:rFonts w:hint="eastAsia"/>
                <w:b/>
              </w:rPr>
            </w:pPr>
          </w:p>
          <w:p>
            <w:pPr>
              <w:ind w:firstLineChars="0"/>
              <w:rPr>
                <w:rFonts w:hint="eastAsia"/>
                <w:b/>
              </w:rPr>
            </w:pPr>
          </w:p>
          <w:p>
            <w:pPr>
              <w:ind w:firstLineChars="0"/>
              <w:rPr>
                <w:rFonts w:hint="eastAsia"/>
                <w:b/>
              </w:rPr>
            </w:pPr>
          </w:p>
          <w:p>
            <w:pPr>
              <w:ind w:firstLineChars="0"/>
              <w:rPr>
                <w:rFonts w:hint="eastAsia"/>
                <w:b/>
              </w:rPr>
            </w:pPr>
          </w:p>
          <w:p>
            <w:pPr>
              <w:ind w:firstLineChars="0"/>
              <w:rPr>
                <w:rFonts w:hint="eastAsia"/>
                <w:b/>
              </w:rPr>
            </w:pPr>
          </w:p>
          <w:p>
            <w:pPr>
              <w:ind w:firstLineChars="0"/>
              <w:rPr>
                <w:rFonts w:hint="eastAsia"/>
                <w:b/>
              </w:rPr>
            </w:pPr>
          </w:p>
          <w:p>
            <w:pPr>
              <w:ind w:firstLineChars="0"/>
              <w:rPr>
                <w:rFonts w:hint="eastAsia"/>
                <w:b/>
              </w:rPr>
            </w:pPr>
          </w:p>
          <w:p>
            <w:pPr>
              <w:ind w:firstLineChars="0"/>
              <w:rPr>
                <w:rFonts w:hint="eastAsia"/>
                <w:b/>
              </w:rPr>
            </w:pPr>
          </w:p>
          <w:p>
            <w:pPr>
              <w:ind w:firstLineChars="0"/>
              <w:rPr>
                <w:rFonts w:hint="eastAsia"/>
                <w:b/>
              </w:rPr>
            </w:pPr>
          </w:p>
          <w:p>
            <w:pPr>
              <w:ind w:firstLineChars="0"/>
              <w:rPr>
                <w:rFonts w:hint="eastAsia"/>
                <w:b/>
              </w:rPr>
            </w:pPr>
          </w:p>
          <w:p>
            <w:pPr>
              <w:ind w:firstLineChars="0"/>
              <w:rPr>
                <w:rFonts w:hint="eastAsia"/>
                <w:b/>
              </w:rPr>
            </w:pPr>
          </w:p>
          <w:p>
            <w:pPr>
              <w:ind w:firstLineChars="0"/>
              <w:rPr>
                <w:rFonts w:hint="eastAsia"/>
                <w:b/>
              </w:rPr>
            </w:pPr>
          </w:p>
          <w:p>
            <w:pPr>
              <w:ind w:firstLineChars="0"/>
              <w:rPr>
                <w:rFonts w:hint="eastAsia"/>
                <w:b/>
              </w:rPr>
            </w:pPr>
          </w:p>
          <w:p>
            <w:pPr>
              <w:ind w:firstLineChars="0"/>
              <w:rPr>
                <w:b/>
              </w:rPr>
            </w:pPr>
          </w:p>
          <w:p>
            <w:pPr>
              <w:ind w:firstLineChars="0"/>
              <w:rPr>
                <w:b/>
              </w:rPr>
            </w:pPr>
          </w:p>
          <w:p>
            <w:pPr>
              <w:ind w:firstLineChars="0"/>
              <w:rPr>
                <w:b/>
              </w:rPr>
            </w:pPr>
          </w:p>
          <w:p>
            <w:pPr>
              <w:pStyle w:val="5"/>
              <w:numPr>
                <w:ilvl w:val="0"/>
                <w:numId w:val="0"/>
              </w:numPr>
              <w:rPr>
                <w:szCs w:val="28"/>
              </w:rPr>
            </w:pPr>
            <w:r>
              <w:rPr>
                <w:rFonts w:hint="eastAsia"/>
                <w:szCs w:val="28"/>
              </w:rPr>
              <w:t>2.3工艺流程</w:t>
            </w:r>
          </w:p>
          <w:p>
            <w:pPr>
              <w:ind w:firstLine="0" w:firstLineChars="0"/>
              <w:rPr>
                <w:b/>
                <w:bCs/>
                <w:szCs w:val="32"/>
              </w:rPr>
            </w:pPr>
            <w:r>
              <w:rPr>
                <w:rFonts w:hint="eastAsia"/>
                <w:b/>
              </w:rPr>
              <w:t>2</w:t>
            </w:r>
            <w:r>
              <w:rPr>
                <w:rFonts w:hint="eastAsia"/>
                <w:b/>
                <w:bCs/>
                <w:szCs w:val="32"/>
              </w:rPr>
              <w:t>.3.1除尘灰回收利用工艺流程</w:t>
            </w:r>
          </w:p>
          <w:p>
            <w:pPr>
              <w:ind w:firstLine="3480" w:firstLineChars="1450"/>
            </w:pPr>
            <w:r>
              <w:rPr>
                <w:rFonts w:hint="eastAsia"/>
              </w:rPr>
              <w:t>略。</w:t>
            </w:r>
          </w:p>
          <w:p>
            <w:pPr>
              <w:ind w:firstLine="0" w:firstLineChars="0"/>
              <w:rPr>
                <w:b/>
              </w:rPr>
            </w:pPr>
            <w:r>
              <w:rPr>
                <w:rFonts w:hint="eastAsia"/>
                <w:b/>
              </w:rPr>
              <w:t>2.3.2除尘灰回收利用可行性分析</w:t>
            </w:r>
          </w:p>
          <w:p>
            <w:r>
              <w:rPr>
                <w:rFonts w:hint="eastAsia"/>
              </w:rPr>
              <w:t xml:space="preserve">                         略。</w:t>
            </w:r>
          </w:p>
          <w:p>
            <w:pPr>
              <w:ind w:firstLine="0" w:firstLineChars="0"/>
              <w:rPr>
                <w:rFonts w:hint="eastAsia"/>
                <w:b/>
              </w:rPr>
            </w:pPr>
            <w:r>
              <w:rPr>
                <w:rFonts w:hint="eastAsia"/>
                <w:b/>
              </w:rPr>
              <w:t>2.3.3除尘灰回用平衡分析</w:t>
            </w:r>
          </w:p>
          <w:p>
            <w:pPr>
              <w:ind w:firstLine="0" w:firstLineChars="0"/>
              <w:rPr>
                <w:b/>
              </w:rPr>
            </w:pPr>
            <w:r>
              <w:rPr>
                <w:rFonts w:hint="eastAsia"/>
                <w:b/>
              </w:rPr>
              <w:t xml:space="preserve">                              </w:t>
            </w:r>
            <w:r>
              <w:rPr>
                <w:rFonts w:hint="eastAsia"/>
              </w:rPr>
              <w:t>略。</w:t>
            </w:r>
          </w:p>
          <w:p/>
          <w:p/>
          <w:p/>
          <w:p/>
          <w:p/>
          <w:p>
            <w:pPr>
              <w:pStyle w:val="169"/>
              <w:jc w:val="left"/>
              <w:rPr>
                <w:sz w:val="24"/>
                <w:szCs w:val="24"/>
              </w:rPr>
            </w:pPr>
          </w:p>
        </w:tc>
      </w:tr>
    </w:tbl>
    <w:p>
      <w:pPr>
        <w:pStyle w:val="3"/>
        <w:numPr>
          <w:ilvl w:val="0"/>
          <w:numId w:val="0"/>
        </w:numPr>
        <w:jc w:val="left"/>
        <w:rPr>
          <w:color w:val="auto"/>
        </w:rPr>
        <w:sectPr>
          <w:pgSz w:w="11906" w:h="16838"/>
          <w:pgMar w:top="1701" w:right="1531" w:bottom="1701" w:left="1531" w:header="851" w:footer="851" w:gutter="0"/>
          <w:cols w:space="720" w:num="1"/>
          <w:docGrid w:linePitch="312" w:charSpace="0"/>
        </w:sectPr>
      </w:pPr>
    </w:p>
    <w:p>
      <w:pPr>
        <w:pStyle w:val="3"/>
        <w:numPr>
          <w:ilvl w:val="0"/>
          <w:numId w:val="0"/>
        </w:numPr>
        <w:ind w:firstLine="894" w:firstLineChars="297"/>
        <w:jc w:val="left"/>
        <w:rPr>
          <w:color w:val="auto"/>
        </w:rPr>
      </w:pPr>
      <w:r>
        <w:rPr>
          <w:rFonts w:hint="eastAsia"/>
          <w:color w:val="auto"/>
        </w:rPr>
        <w:t>三、区域环境质量现状、环境保护目标及评价标准</w:t>
      </w:r>
    </w:p>
    <w:tbl>
      <w:tblPr>
        <w:tblStyle w:val="88"/>
        <w:tblW w:w="89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4"/>
        <w:gridCol w:w="8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4" w:hRule="atLeast"/>
          <w:jc w:val="center"/>
        </w:trPr>
        <w:tc>
          <w:tcPr>
            <w:tcW w:w="454" w:type="dxa"/>
            <w:tcMar>
              <w:top w:w="16" w:type="dxa"/>
              <w:left w:w="16" w:type="dxa"/>
              <w:right w:w="16" w:type="dxa"/>
            </w:tcMar>
            <w:vAlign w:val="center"/>
          </w:tcPr>
          <w:p>
            <w:pPr>
              <w:pStyle w:val="169"/>
              <w:rPr>
                <w:sz w:val="24"/>
                <w:szCs w:val="24"/>
              </w:rPr>
            </w:pPr>
            <w:r>
              <w:rPr>
                <w:rFonts w:hint="eastAsia"/>
                <w:sz w:val="24"/>
                <w:szCs w:val="24"/>
              </w:rPr>
              <w:t>区域环境质量现状</w:t>
            </w:r>
          </w:p>
        </w:tc>
        <w:tc>
          <w:tcPr>
            <w:tcW w:w="8446" w:type="dxa"/>
            <w:vAlign w:val="center"/>
          </w:tcPr>
          <w:p>
            <w:pPr>
              <w:pStyle w:val="5"/>
              <w:numPr>
                <w:ilvl w:val="0"/>
                <w:numId w:val="0"/>
              </w:numPr>
            </w:pPr>
            <w:r>
              <w:rPr>
                <w:rFonts w:hint="eastAsia"/>
              </w:rPr>
              <w:t>3.1环境空气质量现状</w:t>
            </w:r>
          </w:p>
          <w:p>
            <w:r>
              <w:rPr>
                <w:rFonts w:hint="eastAsia"/>
              </w:rPr>
              <w:t>根据《重庆市环境空气质量功能区划分规定》（渝府发</w:t>
            </w:r>
            <w:r>
              <w:rPr>
                <w:rFonts w:hint="eastAsia"/>
                <w:lang w:eastAsia="zh-CN"/>
              </w:rPr>
              <w:t>〔</w:t>
            </w:r>
            <w:r>
              <w:t>2016</w:t>
            </w:r>
            <w:r>
              <w:rPr>
                <w:rFonts w:hint="eastAsia"/>
                <w:lang w:eastAsia="zh-CN"/>
              </w:rPr>
              <w:t>〕</w:t>
            </w:r>
            <w:r>
              <w:t>19</w:t>
            </w:r>
            <w:r>
              <w:rPr>
                <w:rFonts w:hint="eastAsia"/>
              </w:rPr>
              <w:t>号）规定，本项目所在地环境空气功能区划为二类区，环境空气质量执行《环境空气质量标准》（</w:t>
            </w:r>
            <w:r>
              <w:t>GB3095-2012</w:t>
            </w:r>
            <w:r>
              <w:rPr>
                <w:rFonts w:hint="eastAsia"/>
              </w:rPr>
              <w:t>）中二级标准。</w:t>
            </w:r>
          </w:p>
          <w:p>
            <w:pPr>
              <w:pStyle w:val="6"/>
              <w:numPr>
                <w:ilvl w:val="0"/>
                <w:numId w:val="0"/>
              </w:numPr>
            </w:pPr>
            <w:r>
              <w:rPr>
                <w:rFonts w:hint="eastAsia"/>
              </w:rPr>
              <w:t>3.1.1项目所在区域空气质量达标情况</w:t>
            </w:r>
          </w:p>
          <w:p>
            <w:r>
              <w:rPr>
                <w:rFonts w:hint="eastAsia"/>
              </w:rPr>
              <w:t>本项目所在区域空气质量现状数据引用重庆市生态环境局公布的</w:t>
            </w:r>
            <w:r>
              <w:t>20</w:t>
            </w:r>
            <w:r>
              <w:rPr>
                <w:rFonts w:hint="eastAsia"/>
              </w:rPr>
              <w:t>22年重庆市生态环境状况公报中大足区环境空气质量现状数据，区域空气质量现状评价见表3.1-1。</w:t>
            </w:r>
          </w:p>
          <w:p>
            <w:pPr>
              <w:pStyle w:val="178"/>
              <w:ind w:firstLine="420"/>
              <w:rPr>
                <w:rFonts w:eastAsia="宋体"/>
                <w:color w:val="auto"/>
                <w:szCs w:val="21"/>
              </w:rPr>
            </w:pPr>
            <w:bookmarkStart w:id="9" w:name="_Ref71474513"/>
            <w:r>
              <w:rPr>
                <w:rFonts w:eastAsia="宋体"/>
                <w:color w:val="auto"/>
                <w:szCs w:val="21"/>
              </w:rPr>
              <w:t>表</w:t>
            </w:r>
            <w:bookmarkEnd w:id="9"/>
            <w:r>
              <w:rPr>
                <w:rFonts w:hint="eastAsia" w:eastAsia="宋体"/>
                <w:color w:val="auto"/>
                <w:szCs w:val="21"/>
              </w:rPr>
              <w:t xml:space="preserve">3.1-1  </w:t>
            </w:r>
            <w:r>
              <w:rPr>
                <w:rFonts w:eastAsia="宋体"/>
                <w:color w:val="auto"/>
                <w:szCs w:val="21"/>
              </w:rPr>
              <w:t>区域空气质量现状评价表</w:t>
            </w:r>
          </w:p>
          <w:tbl>
            <w:tblPr>
              <w:tblStyle w:val="88"/>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75"/>
              <w:gridCol w:w="2340"/>
              <w:gridCol w:w="1351"/>
              <w:gridCol w:w="1229"/>
              <w:gridCol w:w="1082"/>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exact"/>
                <w:jc w:val="center"/>
              </w:trPr>
              <w:tc>
                <w:tcPr>
                  <w:tcW w:w="1325" w:type="dxa"/>
                  <w:vAlign w:val="center"/>
                </w:tcPr>
                <w:p>
                  <w:pPr>
                    <w:pStyle w:val="169"/>
                  </w:pPr>
                  <w:r>
                    <w:rPr>
                      <w:rFonts w:hint="eastAsia"/>
                    </w:rPr>
                    <w:t>监测项目</w:t>
                  </w:r>
                </w:p>
              </w:tc>
              <w:tc>
                <w:tcPr>
                  <w:tcW w:w="2699" w:type="dxa"/>
                  <w:vAlign w:val="center"/>
                </w:tcPr>
                <w:p>
                  <w:pPr>
                    <w:pStyle w:val="169"/>
                  </w:pPr>
                  <w:r>
                    <w:rPr>
                      <w:rFonts w:hint="eastAsia"/>
                    </w:rPr>
                    <w:t>年评价指标</w:t>
                  </w:r>
                </w:p>
              </w:tc>
              <w:tc>
                <w:tcPr>
                  <w:tcW w:w="1421" w:type="dxa"/>
                  <w:vAlign w:val="center"/>
                </w:tcPr>
                <w:p>
                  <w:pPr>
                    <w:pStyle w:val="169"/>
                  </w:pPr>
                  <w:r>
                    <w:rPr>
                      <w:rFonts w:hint="eastAsia"/>
                    </w:rPr>
                    <w:t>现状浓度</w:t>
                  </w:r>
                </w:p>
                <w:p>
                  <w:pPr>
                    <w:pStyle w:val="169"/>
                  </w:pPr>
                  <w:r>
                    <w:rPr>
                      <w:rFonts w:hint="eastAsia"/>
                    </w:rPr>
                    <w:t>（</w:t>
                  </w:r>
                  <w:r>
                    <w:t>μg/m</w:t>
                  </w:r>
                  <w:r>
                    <w:rPr>
                      <w:vertAlign w:val="superscript"/>
                    </w:rPr>
                    <w:t>3</w:t>
                  </w:r>
                  <w:r>
                    <w:rPr>
                      <w:rFonts w:hint="eastAsia"/>
                    </w:rPr>
                    <w:t>）</w:t>
                  </w:r>
                </w:p>
              </w:tc>
              <w:tc>
                <w:tcPr>
                  <w:tcW w:w="1278" w:type="dxa"/>
                  <w:vAlign w:val="center"/>
                </w:tcPr>
                <w:p>
                  <w:pPr>
                    <w:pStyle w:val="169"/>
                  </w:pPr>
                  <w:r>
                    <w:rPr>
                      <w:rFonts w:hint="eastAsia"/>
                    </w:rPr>
                    <w:t>标准值</w:t>
                  </w:r>
                </w:p>
                <w:p>
                  <w:pPr>
                    <w:pStyle w:val="169"/>
                  </w:pPr>
                  <w:r>
                    <w:rPr>
                      <w:rFonts w:hint="eastAsia"/>
                    </w:rPr>
                    <w:t>（</w:t>
                  </w:r>
                  <w:r>
                    <w:t>μg/m</w:t>
                  </w:r>
                  <w:r>
                    <w:rPr>
                      <w:vertAlign w:val="superscript"/>
                    </w:rPr>
                    <w:t>3</w:t>
                  </w:r>
                  <w:r>
                    <w:rPr>
                      <w:rFonts w:hint="eastAsia"/>
                    </w:rPr>
                    <w:t>）</w:t>
                  </w:r>
                </w:p>
                <w:p>
                  <w:pPr>
                    <w:pStyle w:val="169"/>
                  </w:pPr>
                </w:p>
              </w:tc>
              <w:tc>
                <w:tcPr>
                  <w:tcW w:w="1183" w:type="dxa"/>
                  <w:vAlign w:val="center"/>
                </w:tcPr>
                <w:p>
                  <w:pPr>
                    <w:pStyle w:val="169"/>
                  </w:pPr>
                  <w:r>
                    <w:rPr>
                      <w:rFonts w:hint="eastAsia"/>
                    </w:rPr>
                    <w:t>最大浓度</w:t>
                  </w:r>
                </w:p>
                <w:p>
                  <w:pPr>
                    <w:pStyle w:val="169"/>
                  </w:pPr>
                  <w:r>
                    <w:rPr>
                      <w:rFonts w:hint="eastAsia"/>
                    </w:rPr>
                    <w:t>占标率</w:t>
                  </w:r>
                  <w:r>
                    <w:t>%</w:t>
                  </w:r>
                </w:p>
              </w:tc>
              <w:tc>
                <w:tcPr>
                  <w:tcW w:w="1104" w:type="dxa"/>
                  <w:vAlign w:val="center"/>
                </w:tcPr>
                <w:p>
                  <w:pPr>
                    <w:pStyle w:val="169"/>
                  </w:pPr>
                  <w:r>
                    <w:rPr>
                      <w:rFonts w:hint="eastAsia"/>
                    </w:rPr>
                    <w:t>达标</w:t>
                  </w:r>
                </w:p>
                <w:p>
                  <w:pPr>
                    <w:pStyle w:val="169"/>
                  </w:pPr>
                  <w:r>
                    <w:rPr>
                      <w:rFonts w:hint="eastAsi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1325" w:type="dxa"/>
                  <w:vAlign w:val="center"/>
                </w:tcPr>
                <w:p>
                  <w:pPr>
                    <w:pStyle w:val="169"/>
                  </w:pPr>
                  <w:r>
                    <w:t>SO</w:t>
                  </w:r>
                  <w:r>
                    <w:rPr>
                      <w:vertAlign w:val="subscript"/>
                    </w:rPr>
                    <w:t>2</w:t>
                  </w:r>
                </w:p>
              </w:tc>
              <w:tc>
                <w:tcPr>
                  <w:tcW w:w="2699" w:type="dxa"/>
                  <w:vMerge w:val="restart"/>
                  <w:vAlign w:val="center"/>
                </w:tcPr>
                <w:p>
                  <w:pPr>
                    <w:pStyle w:val="169"/>
                  </w:pPr>
                  <w:r>
                    <w:rPr>
                      <w:rFonts w:hint="eastAsia"/>
                    </w:rPr>
                    <w:t>年平均质量浓度</w:t>
                  </w:r>
                </w:p>
              </w:tc>
              <w:tc>
                <w:tcPr>
                  <w:tcW w:w="1421" w:type="dxa"/>
                  <w:vAlign w:val="center"/>
                </w:tcPr>
                <w:p>
                  <w:pPr>
                    <w:pStyle w:val="169"/>
                  </w:pPr>
                  <w:r>
                    <w:rPr>
                      <w:rFonts w:hint="eastAsia"/>
                    </w:rPr>
                    <w:t>12</w:t>
                  </w:r>
                </w:p>
              </w:tc>
              <w:tc>
                <w:tcPr>
                  <w:tcW w:w="1278" w:type="dxa"/>
                  <w:vAlign w:val="center"/>
                </w:tcPr>
                <w:p>
                  <w:pPr>
                    <w:pStyle w:val="169"/>
                  </w:pPr>
                  <w:r>
                    <w:t>60</w:t>
                  </w:r>
                </w:p>
              </w:tc>
              <w:tc>
                <w:tcPr>
                  <w:tcW w:w="1183" w:type="dxa"/>
                  <w:vAlign w:val="center"/>
                </w:tcPr>
                <w:p>
                  <w:pPr>
                    <w:pStyle w:val="169"/>
                  </w:pPr>
                  <w:r>
                    <w:rPr>
                      <w:rFonts w:hint="eastAsia"/>
                    </w:rPr>
                    <w:t>20.00</w:t>
                  </w:r>
                </w:p>
              </w:tc>
              <w:tc>
                <w:tcPr>
                  <w:tcW w:w="1104" w:type="dxa"/>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1325" w:type="dxa"/>
                  <w:vAlign w:val="center"/>
                </w:tcPr>
                <w:p>
                  <w:pPr>
                    <w:pStyle w:val="169"/>
                  </w:pPr>
                  <w:r>
                    <w:t>NO</w:t>
                  </w:r>
                  <w:r>
                    <w:rPr>
                      <w:vertAlign w:val="subscript"/>
                    </w:rPr>
                    <w:t>2</w:t>
                  </w:r>
                </w:p>
              </w:tc>
              <w:tc>
                <w:tcPr>
                  <w:tcW w:w="2699" w:type="dxa"/>
                  <w:vMerge w:val="continue"/>
                  <w:vAlign w:val="center"/>
                </w:tcPr>
                <w:p>
                  <w:pPr>
                    <w:pStyle w:val="169"/>
                  </w:pPr>
                </w:p>
              </w:tc>
              <w:tc>
                <w:tcPr>
                  <w:tcW w:w="1421" w:type="dxa"/>
                  <w:vAlign w:val="center"/>
                </w:tcPr>
                <w:p>
                  <w:pPr>
                    <w:pStyle w:val="169"/>
                  </w:pPr>
                  <w:r>
                    <w:rPr>
                      <w:rFonts w:hint="eastAsia"/>
                    </w:rPr>
                    <w:t>15</w:t>
                  </w:r>
                </w:p>
              </w:tc>
              <w:tc>
                <w:tcPr>
                  <w:tcW w:w="1278" w:type="dxa"/>
                  <w:vAlign w:val="center"/>
                </w:tcPr>
                <w:p>
                  <w:pPr>
                    <w:pStyle w:val="169"/>
                  </w:pPr>
                  <w:r>
                    <w:t>40</w:t>
                  </w:r>
                </w:p>
              </w:tc>
              <w:tc>
                <w:tcPr>
                  <w:tcW w:w="1183" w:type="dxa"/>
                  <w:vAlign w:val="center"/>
                </w:tcPr>
                <w:p>
                  <w:pPr>
                    <w:pStyle w:val="169"/>
                  </w:pPr>
                  <w:r>
                    <w:rPr>
                      <w:rFonts w:hint="eastAsia"/>
                    </w:rPr>
                    <w:t>37.50</w:t>
                  </w:r>
                </w:p>
              </w:tc>
              <w:tc>
                <w:tcPr>
                  <w:tcW w:w="1104" w:type="dxa"/>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1325" w:type="dxa"/>
                  <w:vAlign w:val="center"/>
                </w:tcPr>
                <w:p>
                  <w:pPr>
                    <w:pStyle w:val="169"/>
                  </w:pPr>
                  <w:r>
                    <w:t>PM</w:t>
                  </w:r>
                  <w:r>
                    <w:rPr>
                      <w:vertAlign w:val="subscript"/>
                    </w:rPr>
                    <w:t>10</w:t>
                  </w:r>
                </w:p>
              </w:tc>
              <w:tc>
                <w:tcPr>
                  <w:tcW w:w="2699" w:type="dxa"/>
                  <w:vMerge w:val="continue"/>
                  <w:vAlign w:val="center"/>
                </w:tcPr>
                <w:p>
                  <w:pPr>
                    <w:pStyle w:val="169"/>
                  </w:pPr>
                </w:p>
              </w:tc>
              <w:tc>
                <w:tcPr>
                  <w:tcW w:w="1421" w:type="dxa"/>
                  <w:vAlign w:val="center"/>
                </w:tcPr>
                <w:p>
                  <w:pPr>
                    <w:pStyle w:val="169"/>
                  </w:pPr>
                  <w:r>
                    <w:rPr>
                      <w:rFonts w:hint="eastAsia"/>
                    </w:rPr>
                    <w:t>47</w:t>
                  </w:r>
                </w:p>
              </w:tc>
              <w:tc>
                <w:tcPr>
                  <w:tcW w:w="1278" w:type="dxa"/>
                  <w:vAlign w:val="center"/>
                </w:tcPr>
                <w:p>
                  <w:pPr>
                    <w:pStyle w:val="169"/>
                  </w:pPr>
                  <w:r>
                    <w:t>70</w:t>
                  </w:r>
                </w:p>
              </w:tc>
              <w:tc>
                <w:tcPr>
                  <w:tcW w:w="1183" w:type="dxa"/>
                  <w:vAlign w:val="center"/>
                </w:tcPr>
                <w:p>
                  <w:pPr>
                    <w:pStyle w:val="169"/>
                  </w:pPr>
                  <w:r>
                    <w:rPr>
                      <w:rFonts w:hint="eastAsia"/>
                    </w:rPr>
                    <w:t>67.14</w:t>
                  </w:r>
                </w:p>
              </w:tc>
              <w:tc>
                <w:tcPr>
                  <w:tcW w:w="1104" w:type="dxa"/>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exact"/>
                <w:jc w:val="center"/>
              </w:trPr>
              <w:tc>
                <w:tcPr>
                  <w:tcW w:w="1325" w:type="dxa"/>
                  <w:vAlign w:val="center"/>
                </w:tcPr>
                <w:p>
                  <w:pPr>
                    <w:pStyle w:val="169"/>
                  </w:pPr>
                  <w:r>
                    <w:t>PM</w:t>
                  </w:r>
                  <w:r>
                    <w:rPr>
                      <w:vertAlign w:val="subscript"/>
                    </w:rPr>
                    <w:t>2.5</w:t>
                  </w:r>
                </w:p>
              </w:tc>
              <w:tc>
                <w:tcPr>
                  <w:tcW w:w="2699" w:type="dxa"/>
                  <w:vMerge w:val="continue"/>
                  <w:vAlign w:val="center"/>
                </w:tcPr>
                <w:p>
                  <w:pPr>
                    <w:pStyle w:val="169"/>
                  </w:pPr>
                </w:p>
              </w:tc>
              <w:tc>
                <w:tcPr>
                  <w:tcW w:w="1421" w:type="dxa"/>
                  <w:vAlign w:val="center"/>
                </w:tcPr>
                <w:p>
                  <w:pPr>
                    <w:pStyle w:val="169"/>
                  </w:pPr>
                  <w:r>
                    <w:rPr>
                      <w:rFonts w:hint="eastAsia"/>
                    </w:rPr>
                    <w:t>34</w:t>
                  </w:r>
                </w:p>
              </w:tc>
              <w:tc>
                <w:tcPr>
                  <w:tcW w:w="1278" w:type="dxa"/>
                  <w:vAlign w:val="center"/>
                </w:tcPr>
                <w:p>
                  <w:pPr>
                    <w:pStyle w:val="169"/>
                  </w:pPr>
                  <w:r>
                    <w:t>35</w:t>
                  </w:r>
                </w:p>
              </w:tc>
              <w:tc>
                <w:tcPr>
                  <w:tcW w:w="1183" w:type="dxa"/>
                  <w:vAlign w:val="center"/>
                </w:tcPr>
                <w:p>
                  <w:pPr>
                    <w:pStyle w:val="169"/>
                  </w:pPr>
                  <w:r>
                    <w:rPr>
                      <w:rFonts w:hint="eastAsia"/>
                    </w:rPr>
                    <w:t>97.14</w:t>
                  </w:r>
                </w:p>
              </w:tc>
              <w:tc>
                <w:tcPr>
                  <w:tcW w:w="1104" w:type="dxa"/>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exact"/>
                <w:jc w:val="center"/>
              </w:trPr>
              <w:tc>
                <w:tcPr>
                  <w:tcW w:w="1325" w:type="dxa"/>
                  <w:vAlign w:val="center"/>
                </w:tcPr>
                <w:p>
                  <w:pPr>
                    <w:pStyle w:val="169"/>
                  </w:pPr>
                  <w:r>
                    <w:t>CO</w:t>
                  </w:r>
                  <w:r>
                    <w:rPr>
                      <w:rFonts w:hint="eastAsia"/>
                    </w:rPr>
                    <w:t>（</w:t>
                  </w:r>
                  <w:r>
                    <w:t>mg/m</w:t>
                  </w:r>
                  <w:r>
                    <w:rPr>
                      <w:vertAlign w:val="superscript"/>
                    </w:rPr>
                    <w:t>3</w:t>
                  </w:r>
                  <w:r>
                    <w:rPr>
                      <w:rFonts w:hint="eastAsia"/>
                    </w:rPr>
                    <w:t>）</w:t>
                  </w:r>
                </w:p>
              </w:tc>
              <w:tc>
                <w:tcPr>
                  <w:tcW w:w="2699" w:type="dxa"/>
                  <w:vAlign w:val="center"/>
                </w:tcPr>
                <w:p>
                  <w:pPr>
                    <w:pStyle w:val="169"/>
                  </w:pPr>
                  <w:r>
                    <w:rPr>
                      <w:rFonts w:hint="eastAsia"/>
                    </w:rPr>
                    <w:t>日均浓度的第</w:t>
                  </w:r>
                  <w:r>
                    <w:t>95</w:t>
                  </w:r>
                  <w:r>
                    <w:rPr>
                      <w:rFonts w:hint="eastAsia"/>
                    </w:rPr>
                    <w:t>百分位数</w:t>
                  </w:r>
                </w:p>
              </w:tc>
              <w:tc>
                <w:tcPr>
                  <w:tcW w:w="1421" w:type="dxa"/>
                  <w:vAlign w:val="center"/>
                </w:tcPr>
                <w:p>
                  <w:pPr>
                    <w:pStyle w:val="169"/>
                  </w:pPr>
                  <w:r>
                    <w:rPr>
                      <w:rFonts w:hint="eastAsia"/>
                    </w:rPr>
                    <w:t>0.8</w:t>
                  </w:r>
                </w:p>
              </w:tc>
              <w:tc>
                <w:tcPr>
                  <w:tcW w:w="1278" w:type="dxa"/>
                  <w:vAlign w:val="center"/>
                </w:tcPr>
                <w:p>
                  <w:pPr>
                    <w:pStyle w:val="169"/>
                  </w:pPr>
                  <w:r>
                    <w:rPr>
                      <w:rFonts w:hint="eastAsia"/>
                    </w:rPr>
                    <w:t>4.0</w:t>
                  </w:r>
                </w:p>
              </w:tc>
              <w:tc>
                <w:tcPr>
                  <w:tcW w:w="1183" w:type="dxa"/>
                  <w:vAlign w:val="center"/>
                </w:tcPr>
                <w:p>
                  <w:pPr>
                    <w:pStyle w:val="169"/>
                  </w:pPr>
                  <w:r>
                    <w:rPr>
                      <w:rFonts w:hint="eastAsia"/>
                    </w:rPr>
                    <w:t>20.00</w:t>
                  </w:r>
                </w:p>
              </w:tc>
              <w:tc>
                <w:tcPr>
                  <w:tcW w:w="1104" w:type="dxa"/>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exact"/>
                <w:jc w:val="center"/>
              </w:trPr>
              <w:tc>
                <w:tcPr>
                  <w:tcW w:w="1325" w:type="dxa"/>
                  <w:vAlign w:val="center"/>
                </w:tcPr>
                <w:p>
                  <w:pPr>
                    <w:pStyle w:val="169"/>
                  </w:pPr>
                  <w:r>
                    <w:t>O</w:t>
                  </w:r>
                  <w:r>
                    <w:rPr>
                      <w:vertAlign w:val="subscript"/>
                    </w:rPr>
                    <w:t>3</w:t>
                  </w:r>
                </w:p>
              </w:tc>
              <w:tc>
                <w:tcPr>
                  <w:tcW w:w="2699" w:type="dxa"/>
                  <w:vAlign w:val="center"/>
                </w:tcPr>
                <w:p>
                  <w:pPr>
                    <w:pStyle w:val="169"/>
                  </w:pPr>
                  <w:r>
                    <w:rPr>
                      <w:rFonts w:hint="eastAsia"/>
                    </w:rPr>
                    <w:t>日最大</w:t>
                  </w:r>
                  <w:r>
                    <w:t>8h</w:t>
                  </w:r>
                  <w:r>
                    <w:rPr>
                      <w:rFonts w:hint="eastAsia"/>
                    </w:rPr>
                    <w:t>平均浓度的第</w:t>
                  </w:r>
                  <w:r>
                    <w:t>90</w:t>
                  </w:r>
                  <w:r>
                    <w:rPr>
                      <w:rFonts w:hint="eastAsia"/>
                    </w:rPr>
                    <w:t>百分位数</w:t>
                  </w:r>
                </w:p>
              </w:tc>
              <w:tc>
                <w:tcPr>
                  <w:tcW w:w="1421" w:type="dxa"/>
                  <w:vAlign w:val="center"/>
                </w:tcPr>
                <w:p>
                  <w:pPr>
                    <w:pStyle w:val="169"/>
                  </w:pPr>
                  <w:r>
                    <w:rPr>
                      <w:rFonts w:hint="eastAsia"/>
                    </w:rPr>
                    <w:t>150</w:t>
                  </w:r>
                </w:p>
              </w:tc>
              <w:tc>
                <w:tcPr>
                  <w:tcW w:w="1278" w:type="dxa"/>
                  <w:vAlign w:val="center"/>
                </w:tcPr>
                <w:p>
                  <w:pPr>
                    <w:pStyle w:val="169"/>
                  </w:pPr>
                  <w:r>
                    <w:t>160</w:t>
                  </w:r>
                </w:p>
              </w:tc>
              <w:tc>
                <w:tcPr>
                  <w:tcW w:w="1183" w:type="dxa"/>
                  <w:vAlign w:val="center"/>
                </w:tcPr>
                <w:p>
                  <w:pPr>
                    <w:pStyle w:val="169"/>
                  </w:pPr>
                  <w:r>
                    <w:rPr>
                      <w:rFonts w:hint="eastAsia"/>
                    </w:rPr>
                    <w:t>93.75</w:t>
                  </w:r>
                </w:p>
              </w:tc>
              <w:tc>
                <w:tcPr>
                  <w:tcW w:w="1104" w:type="dxa"/>
                  <w:vAlign w:val="center"/>
                </w:tcPr>
                <w:p>
                  <w:pPr>
                    <w:pStyle w:val="169"/>
                  </w:pPr>
                  <w:r>
                    <w:rPr>
                      <w:rFonts w:hint="eastAsia"/>
                    </w:rPr>
                    <w:t>达标</w:t>
                  </w:r>
                </w:p>
              </w:tc>
            </w:tr>
          </w:tbl>
          <w:p>
            <w:pPr>
              <w:pStyle w:val="169"/>
            </w:pPr>
          </w:p>
          <w:p>
            <w:r>
              <w:rPr>
                <w:rFonts w:hint="eastAsia"/>
              </w:rPr>
              <w:t>根据区域空气质量现状数据分析，区域SO</w:t>
            </w:r>
            <w:r>
              <w:rPr>
                <w:rFonts w:hint="eastAsia"/>
                <w:vertAlign w:val="subscript"/>
              </w:rPr>
              <w:t>2</w:t>
            </w:r>
            <w:r>
              <w:rPr>
                <w:rFonts w:hint="eastAsia"/>
              </w:rPr>
              <w:t>、NO</w:t>
            </w:r>
            <w:r>
              <w:rPr>
                <w:rFonts w:hint="eastAsia"/>
                <w:vertAlign w:val="subscript"/>
              </w:rPr>
              <w:t>2</w:t>
            </w:r>
            <w:r>
              <w:rPr>
                <w:rFonts w:hint="eastAsia"/>
              </w:rPr>
              <w:t>、PM</w:t>
            </w:r>
            <w:r>
              <w:rPr>
                <w:rFonts w:hint="eastAsia"/>
                <w:vertAlign w:val="subscript"/>
              </w:rPr>
              <w:t>10</w:t>
            </w:r>
            <w:r>
              <w:rPr>
                <w:rFonts w:hint="eastAsia"/>
              </w:rPr>
              <w:t>、PM</w:t>
            </w:r>
            <w:r>
              <w:rPr>
                <w:rFonts w:hint="eastAsia"/>
                <w:vertAlign w:val="subscript"/>
              </w:rPr>
              <w:t>2.5</w:t>
            </w:r>
            <w:r>
              <w:rPr>
                <w:rFonts w:hint="eastAsia"/>
              </w:rPr>
              <w:t>、O</w:t>
            </w:r>
            <w:r>
              <w:rPr>
                <w:rFonts w:hint="eastAsia"/>
                <w:vertAlign w:val="subscript"/>
              </w:rPr>
              <w:t>3</w:t>
            </w:r>
            <w:r>
              <w:rPr>
                <w:rFonts w:hint="eastAsia"/>
              </w:rPr>
              <w:t>、CO满足《环境空气质量标准》（GB3095-2012）二级标准，因此判定项目所在区域为空气质量达标区。</w:t>
            </w:r>
          </w:p>
          <w:p>
            <w:pPr>
              <w:pStyle w:val="6"/>
              <w:numPr>
                <w:ilvl w:val="0"/>
                <w:numId w:val="0"/>
              </w:numPr>
            </w:pPr>
            <w:r>
              <w:rPr>
                <w:rFonts w:hint="eastAsia"/>
              </w:rPr>
              <w:t>3.1.2项目所在区域污染物环境质量现状</w:t>
            </w:r>
          </w:p>
          <w:p>
            <w:pPr>
              <w:ind w:firstLineChars="0"/>
            </w:pPr>
            <w:r>
              <w:rPr>
                <w:rFonts w:hint="eastAsia"/>
              </w:rPr>
              <w:t>本项目特征因子铅、铬和镉引用《</w:t>
            </w:r>
            <w:r>
              <w:rPr>
                <w:rFonts w:hint="eastAsia"/>
                <w:bCs/>
              </w:rPr>
              <w:t>大足高新区邮亭组团</w:t>
            </w:r>
            <w:r>
              <w:rPr>
                <w:rFonts w:hint="eastAsia"/>
              </w:rPr>
              <w:t>规划环境影响报告书》中的现状监测数据，监测时间为2021年6月18日~6月24日、2021年6月25日~7月5日，监测点位于项目南侧约1.5km的邮亭镇，监测时间在3年有效期范围内，引用数据合理可行，具有一定的代表性。</w:t>
            </w:r>
          </w:p>
          <w:p>
            <w:pPr>
              <w:ind w:firstLine="0" w:firstLineChars="0"/>
            </w:pPr>
            <w:r>
              <w:rPr>
                <w:rFonts w:hint="eastAsia"/>
              </w:rPr>
              <w:t xml:space="preserve">    （1）监测点位</w:t>
            </w:r>
          </w:p>
        </w:tc>
      </w:tr>
    </w:tbl>
    <w:p>
      <w:pPr>
        <w:ind w:firstLine="0" w:firstLineChars="0"/>
      </w:pPr>
    </w:p>
    <w:tbl>
      <w:tblPr>
        <w:tblStyle w:val="88"/>
        <w:tblW w:w="89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7"/>
        <w:gridCol w:w="84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4" w:hRule="atLeast"/>
          <w:jc w:val="center"/>
        </w:trPr>
        <w:tc>
          <w:tcPr>
            <w:tcW w:w="457" w:type="dxa"/>
            <w:tcMar>
              <w:top w:w="16" w:type="dxa"/>
              <w:left w:w="16" w:type="dxa"/>
              <w:right w:w="16" w:type="dxa"/>
            </w:tcMar>
            <w:vAlign w:val="center"/>
          </w:tcPr>
          <w:p>
            <w:pPr>
              <w:pStyle w:val="169"/>
              <w:rPr>
                <w:sz w:val="24"/>
                <w:szCs w:val="24"/>
              </w:rPr>
            </w:pPr>
            <w:r>
              <w:rPr>
                <w:rFonts w:hint="eastAsia"/>
                <w:sz w:val="24"/>
                <w:szCs w:val="24"/>
              </w:rPr>
              <w:t>区域环境质量现状</w:t>
            </w:r>
          </w:p>
        </w:tc>
        <w:tc>
          <w:tcPr>
            <w:tcW w:w="8449" w:type="dxa"/>
            <w:vAlign w:val="center"/>
          </w:tcPr>
          <w:p>
            <w:pPr>
              <w:ind w:firstLineChars="0"/>
            </w:pPr>
            <w:r>
              <w:rPr>
                <w:rFonts w:hint="eastAsia"/>
              </w:rPr>
              <w:t>位于项目南侧约1.5km的邮亭镇。</w:t>
            </w:r>
          </w:p>
          <w:p>
            <w:pPr>
              <w:ind w:firstLineChars="0"/>
            </w:pPr>
            <w:r>
              <w:rPr>
                <w:rFonts w:hint="eastAsia"/>
              </w:rPr>
              <w:t>（2）监测因子</w:t>
            </w:r>
          </w:p>
          <w:p>
            <w:r>
              <w:rPr>
                <w:rFonts w:hint="eastAsia"/>
              </w:rPr>
              <w:t>铅、铬和镉</w:t>
            </w:r>
          </w:p>
          <w:p>
            <w:r>
              <w:rPr>
                <w:rFonts w:hint="eastAsia"/>
              </w:rPr>
              <w:t>（3）监测时间</w:t>
            </w:r>
          </w:p>
          <w:p>
            <w:r>
              <w:rPr>
                <w:rFonts w:hint="eastAsia"/>
              </w:rPr>
              <w:t>2021年6月18日~6月24日、2021年6月25日~7月5日</w:t>
            </w:r>
          </w:p>
          <w:p>
            <w:r>
              <w:rPr>
                <w:rFonts w:hint="eastAsia"/>
              </w:rPr>
              <w:t>（4）</w:t>
            </w:r>
            <w:r>
              <w:t>监测频率及周期</w:t>
            </w:r>
          </w:p>
          <w:p>
            <w:r>
              <w:t>连续监测7天，测1小时浓度，每天4次。</w:t>
            </w:r>
          </w:p>
          <w:p>
            <w:r>
              <w:rPr>
                <w:rFonts w:hint="eastAsia"/>
              </w:rPr>
              <w:t>（5）</w:t>
            </w:r>
            <w:r>
              <w:t>评价方法</w:t>
            </w:r>
          </w:p>
          <w:p>
            <w:r>
              <w:t>采用占标率和超标率，并评价达标情况。评价方法如下：</w:t>
            </w:r>
          </w:p>
          <w:p>
            <w:r>
              <w:t>P</w:t>
            </w:r>
            <w:r>
              <w:rPr>
                <w:vertAlign w:val="subscript"/>
              </w:rPr>
              <w:t>i</w:t>
            </w:r>
            <w:r>
              <w:t>=C</w:t>
            </w:r>
            <w:r>
              <w:rPr>
                <w:vertAlign w:val="subscript"/>
              </w:rPr>
              <w:t>ij</w:t>
            </w:r>
            <w:r>
              <w:t>/C</w:t>
            </w:r>
            <w:r>
              <w:rPr>
                <w:vertAlign w:val="subscript"/>
              </w:rPr>
              <w:t>0j</w:t>
            </w:r>
            <w:r>
              <w:t>×100%</w:t>
            </w:r>
          </w:p>
          <w:p>
            <w:r>
              <w:t>式中：</w:t>
            </w:r>
          </w:p>
          <w:p>
            <w:r>
              <w:t>P</w:t>
            </w:r>
            <w:r>
              <w:rPr>
                <w:vertAlign w:val="subscript"/>
              </w:rPr>
              <w:t>i</w:t>
            </w:r>
            <w:r>
              <w:t>——第i现状监测点污染因子j的最大实测值占标准限值的百分比——占标率，其值在0～100%之间为满足标准，大于100%则为超标；</w:t>
            </w:r>
          </w:p>
          <w:p>
            <w:r>
              <w:t>C</w:t>
            </w:r>
            <w:r>
              <w:rPr>
                <w:vertAlign w:val="subscript"/>
              </w:rPr>
              <w:t>ij</w:t>
            </w:r>
            <w:r>
              <w:t>——第i现状监测点第j污染因子的实测浓度（mg/m</w:t>
            </w:r>
            <w:r>
              <w:rPr>
                <w:vertAlign w:val="superscript"/>
              </w:rPr>
              <w:t>3</w:t>
            </w:r>
            <w:r>
              <w:t>）；</w:t>
            </w:r>
          </w:p>
          <w:p>
            <w:r>
              <w:t>C</w:t>
            </w:r>
            <w:r>
              <w:rPr>
                <w:vertAlign w:val="subscript"/>
              </w:rPr>
              <w:t>0j</w:t>
            </w:r>
            <w:r>
              <w:t>——污染因子j的环境质量标准（mg/m</w:t>
            </w:r>
            <w:r>
              <w:rPr>
                <w:vertAlign w:val="superscript"/>
              </w:rPr>
              <w:t>3</w:t>
            </w:r>
            <w:r>
              <w:t>）。</w:t>
            </w:r>
          </w:p>
          <w:p>
            <w:r>
              <w:rPr>
                <w:rFonts w:hint="eastAsia"/>
              </w:rPr>
              <w:t>（6）</w:t>
            </w:r>
            <w:r>
              <w:t>评价标准</w:t>
            </w:r>
          </w:p>
          <w:p>
            <w:r>
              <w:t>铅</w:t>
            </w:r>
            <w:r>
              <w:rPr>
                <w:rFonts w:hint="eastAsia"/>
              </w:rPr>
              <w:t>、镉和铬</w:t>
            </w:r>
            <w:r>
              <w:t>执行《环境空气质量标准》(GB3095-2012</w:t>
            </w:r>
            <w:r>
              <w:rPr>
                <w:rFonts w:hint="eastAsia"/>
                <w:lang w:eastAsia="zh-CN"/>
              </w:rPr>
              <w:t>）</w:t>
            </w:r>
            <w:r>
              <w:rPr>
                <w:rFonts w:hint="eastAsia"/>
              </w:rPr>
              <w:t>二类</w:t>
            </w:r>
            <w:r>
              <w:t>标准</w:t>
            </w:r>
            <w:r>
              <w:rPr>
                <w:rFonts w:hint="eastAsia"/>
              </w:rPr>
              <w:t>。</w:t>
            </w:r>
          </w:p>
          <w:p>
            <w:r>
              <w:rPr>
                <w:rFonts w:hint="eastAsia"/>
              </w:rPr>
              <w:t>（7）</w:t>
            </w:r>
            <w:r>
              <w:t>监测结果及评价分析</w:t>
            </w:r>
          </w:p>
          <w:p>
            <w:r>
              <w:rPr>
                <w:rFonts w:hint="eastAsia"/>
              </w:rPr>
              <w:t>大气</w:t>
            </w:r>
            <w:r>
              <w:t>监测结果统计详见表</w:t>
            </w:r>
            <w:r>
              <w:rPr>
                <w:rFonts w:hint="eastAsia"/>
              </w:rPr>
              <w:t>3.1-2</w:t>
            </w:r>
            <w:r>
              <w:t>。</w:t>
            </w:r>
          </w:p>
          <w:p>
            <w:pPr>
              <w:pStyle w:val="178"/>
              <w:ind w:firstLine="420"/>
              <w:rPr>
                <w:rFonts w:eastAsia="宋体"/>
                <w:color w:val="auto"/>
                <w:szCs w:val="21"/>
              </w:rPr>
            </w:pPr>
            <w:r>
              <w:rPr>
                <w:rFonts w:hint="eastAsia" w:eastAsia="宋体"/>
                <w:color w:val="auto"/>
                <w:szCs w:val="21"/>
              </w:rPr>
              <w:t>表</w:t>
            </w:r>
            <w:r>
              <w:rPr>
                <w:rFonts w:eastAsia="宋体"/>
                <w:color w:val="auto"/>
                <w:szCs w:val="21"/>
              </w:rPr>
              <w:t xml:space="preserve"> </w:t>
            </w:r>
            <w:r>
              <w:rPr>
                <w:rFonts w:hint="eastAsia" w:eastAsia="宋体"/>
                <w:color w:val="auto"/>
                <w:szCs w:val="21"/>
              </w:rPr>
              <w:t>3.1-2  环境空气质量监测数据及评价结果表</w:t>
            </w:r>
          </w:p>
          <w:tbl>
            <w:tblPr>
              <w:tblStyle w:val="88"/>
              <w:tblpPr w:leftFromText="180" w:rightFromText="180" w:vertAnchor="text" w:horzAnchor="margin" w:tblpXSpec="center" w:tblpY="26"/>
              <w:tblOverlap w:val="never"/>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66"/>
              <w:gridCol w:w="1375"/>
              <w:gridCol w:w="1678"/>
              <w:gridCol w:w="1057"/>
              <w:gridCol w:w="1614"/>
              <w:gridCol w:w="152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693" w:type="pct"/>
                  <w:vAlign w:val="center"/>
                </w:tcPr>
                <w:p>
                  <w:pPr>
                    <w:adjustRightInd w:val="0"/>
                    <w:spacing w:line="240" w:lineRule="atLeast"/>
                    <w:ind w:firstLine="105" w:firstLineChars="50"/>
                    <w:jc w:val="center"/>
                    <w:rPr>
                      <w:sz w:val="21"/>
                      <w:szCs w:val="21"/>
                    </w:rPr>
                  </w:pPr>
                  <w:r>
                    <w:rPr>
                      <w:rFonts w:hint="eastAsia"/>
                      <w:sz w:val="21"/>
                      <w:szCs w:val="21"/>
                    </w:rPr>
                    <w:t>监测</w:t>
                  </w:r>
                  <w:r>
                    <w:rPr>
                      <w:sz w:val="21"/>
                      <w:szCs w:val="21"/>
                    </w:rPr>
                    <w:t>因子</w:t>
                  </w:r>
                </w:p>
              </w:tc>
              <w:tc>
                <w:tcPr>
                  <w:tcW w:w="817" w:type="pct"/>
                  <w:vAlign w:val="center"/>
                </w:tcPr>
                <w:p>
                  <w:pPr>
                    <w:adjustRightInd w:val="0"/>
                    <w:spacing w:line="240" w:lineRule="atLeast"/>
                    <w:ind w:firstLine="0" w:firstLineChars="0"/>
                    <w:jc w:val="center"/>
                    <w:rPr>
                      <w:sz w:val="21"/>
                      <w:szCs w:val="21"/>
                    </w:rPr>
                  </w:pPr>
                  <w:r>
                    <w:rPr>
                      <w:rFonts w:hint="eastAsia"/>
                      <w:sz w:val="21"/>
                      <w:szCs w:val="21"/>
                    </w:rPr>
                    <w:t>采样天数</w:t>
                  </w:r>
                </w:p>
              </w:tc>
              <w:tc>
                <w:tcPr>
                  <w:tcW w:w="997" w:type="pct"/>
                  <w:vAlign w:val="center"/>
                </w:tcPr>
                <w:p>
                  <w:pPr>
                    <w:adjustRightInd w:val="0"/>
                    <w:spacing w:line="240" w:lineRule="atLeast"/>
                    <w:ind w:firstLine="0" w:firstLineChars="0"/>
                    <w:jc w:val="center"/>
                    <w:rPr>
                      <w:sz w:val="21"/>
                      <w:szCs w:val="21"/>
                    </w:rPr>
                  </w:pPr>
                  <w:r>
                    <w:rPr>
                      <w:sz w:val="21"/>
                      <w:szCs w:val="21"/>
                    </w:rPr>
                    <w:t>监测结果（</w:t>
                  </w:r>
                  <w:r>
                    <w:rPr>
                      <w:rFonts w:hint="eastAsia"/>
                      <w:sz w:val="21"/>
                      <w:szCs w:val="21"/>
                    </w:rPr>
                    <w:t>m</w:t>
                  </w:r>
                  <w:r>
                    <w:rPr>
                      <w:sz w:val="21"/>
                      <w:szCs w:val="21"/>
                    </w:rPr>
                    <w:t>g/m</w:t>
                  </w:r>
                  <w:r>
                    <w:rPr>
                      <w:sz w:val="21"/>
                      <w:szCs w:val="21"/>
                      <w:vertAlign w:val="superscript"/>
                    </w:rPr>
                    <w:t>3</w:t>
                  </w:r>
                  <w:r>
                    <w:rPr>
                      <w:sz w:val="21"/>
                      <w:szCs w:val="21"/>
                    </w:rPr>
                    <w:t>）</w:t>
                  </w:r>
                </w:p>
              </w:tc>
              <w:tc>
                <w:tcPr>
                  <w:tcW w:w="628" w:type="pct"/>
                  <w:vAlign w:val="center"/>
                </w:tcPr>
                <w:p>
                  <w:pPr>
                    <w:adjustRightInd w:val="0"/>
                    <w:spacing w:line="240" w:lineRule="atLeast"/>
                    <w:ind w:firstLine="0" w:firstLineChars="0"/>
                    <w:jc w:val="center"/>
                    <w:rPr>
                      <w:sz w:val="21"/>
                      <w:szCs w:val="21"/>
                    </w:rPr>
                  </w:pPr>
                  <w:r>
                    <w:rPr>
                      <w:sz w:val="21"/>
                      <w:szCs w:val="21"/>
                    </w:rPr>
                    <w:t>超标率（%）</w:t>
                  </w:r>
                </w:p>
              </w:tc>
              <w:tc>
                <w:tcPr>
                  <w:tcW w:w="959" w:type="pct"/>
                  <w:vAlign w:val="center"/>
                </w:tcPr>
                <w:p>
                  <w:pPr>
                    <w:adjustRightInd w:val="0"/>
                    <w:spacing w:line="240" w:lineRule="atLeast"/>
                    <w:ind w:firstLine="0" w:firstLineChars="0"/>
                    <w:jc w:val="center"/>
                    <w:rPr>
                      <w:sz w:val="21"/>
                      <w:szCs w:val="21"/>
                    </w:rPr>
                  </w:pPr>
                  <w:r>
                    <w:rPr>
                      <w:sz w:val="21"/>
                      <w:szCs w:val="21"/>
                    </w:rPr>
                    <w:t>最大值占标率（%）</w:t>
                  </w:r>
                </w:p>
              </w:tc>
              <w:tc>
                <w:tcPr>
                  <w:tcW w:w="905" w:type="pct"/>
                  <w:vAlign w:val="center"/>
                </w:tcPr>
                <w:p>
                  <w:pPr>
                    <w:adjustRightInd w:val="0"/>
                    <w:spacing w:line="240" w:lineRule="atLeast"/>
                    <w:ind w:firstLine="105" w:firstLineChars="50"/>
                    <w:jc w:val="center"/>
                    <w:rPr>
                      <w:sz w:val="21"/>
                      <w:szCs w:val="21"/>
                    </w:rPr>
                  </w:pPr>
                  <w:r>
                    <w:rPr>
                      <w:sz w:val="21"/>
                      <w:szCs w:val="21"/>
                    </w:rPr>
                    <w:t>标准值（</w:t>
                  </w:r>
                  <w:r>
                    <w:rPr>
                      <w:rFonts w:hint="eastAsia"/>
                      <w:sz w:val="21"/>
                      <w:szCs w:val="21"/>
                    </w:rPr>
                    <w:t>m</w:t>
                  </w:r>
                  <w:r>
                    <w:rPr>
                      <w:sz w:val="21"/>
                      <w:szCs w:val="21"/>
                    </w:rPr>
                    <w:t>g/m</w:t>
                  </w:r>
                  <w:r>
                    <w:rPr>
                      <w:sz w:val="21"/>
                      <w:szCs w:val="21"/>
                      <w:vertAlign w:val="superscript"/>
                    </w:rPr>
                    <w:t>3</w:t>
                  </w:r>
                  <w:r>
                    <w:rPr>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693" w:type="pct"/>
                  <w:vAlign w:val="center"/>
                </w:tcPr>
                <w:p>
                  <w:pPr>
                    <w:adjustRightInd w:val="0"/>
                    <w:spacing w:line="240" w:lineRule="atLeast"/>
                    <w:ind w:firstLine="0" w:firstLineChars="0"/>
                    <w:jc w:val="center"/>
                    <w:rPr>
                      <w:sz w:val="21"/>
                      <w:szCs w:val="21"/>
                    </w:rPr>
                  </w:pPr>
                  <w:r>
                    <w:rPr>
                      <w:rFonts w:hint="eastAsia"/>
                      <w:sz w:val="21"/>
                      <w:szCs w:val="21"/>
                    </w:rPr>
                    <w:t>铅</w:t>
                  </w:r>
                </w:p>
              </w:tc>
              <w:tc>
                <w:tcPr>
                  <w:tcW w:w="817" w:type="pct"/>
                  <w:vAlign w:val="center"/>
                </w:tcPr>
                <w:p>
                  <w:pPr>
                    <w:spacing w:line="240" w:lineRule="atLeast"/>
                    <w:ind w:right="-120" w:rightChars="-50" w:firstLine="420"/>
                    <w:textAlignment w:val="center"/>
                    <w:rPr>
                      <w:sz w:val="21"/>
                      <w:szCs w:val="21"/>
                    </w:rPr>
                  </w:pPr>
                  <w:r>
                    <w:rPr>
                      <w:rFonts w:hint="eastAsia"/>
                      <w:sz w:val="21"/>
                      <w:szCs w:val="21"/>
                    </w:rPr>
                    <w:t>7天</w:t>
                  </w:r>
                </w:p>
              </w:tc>
              <w:tc>
                <w:tcPr>
                  <w:tcW w:w="997" w:type="pct"/>
                  <w:vAlign w:val="center"/>
                </w:tcPr>
                <w:p>
                  <w:pPr>
                    <w:spacing w:line="240" w:lineRule="atLeast"/>
                    <w:ind w:left="-120" w:leftChars="-50" w:right="-120" w:rightChars="-50" w:firstLine="525" w:firstLineChars="250"/>
                    <w:textAlignment w:val="center"/>
                    <w:rPr>
                      <w:sz w:val="21"/>
                      <w:szCs w:val="21"/>
                      <w:highlight w:val="yellow"/>
                    </w:rPr>
                  </w:pPr>
                  <w:r>
                    <w:rPr>
                      <w:sz w:val="21"/>
                      <w:szCs w:val="21"/>
                    </w:rPr>
                    <w:t>7×10</w:t>
                  </w:r>
                  <w:r>
                    <w:rPr>
                      <w:sz w:val="21"/>
                      <w:szCs w:val="21"/>
                      <w:vertAlign w:val="superscript"/>
                    </w:rPr>
                    <w:t>-7</w:t>
                  </w:r>
                  <w:r>
                    <w:rPr>
                      <w:sz w:val="21"/>
                      <w:szCs w:val="21"/>
                    </w:rPr>
                    <w:t>L</w:t>
                  </w:r>
                </w:p>
              </w:tc>
              <w:tc>
                <w:tcPr>
                  <w:tcW w:w="628" w:type="pct"/>
                  <w:vAlign w:val="center"/>
                </w:tcPr>
                <w:p>
                  <w:pPr>
                    <w:spacing w:line="240" w:lineRule="atLeast"/>
                    <w:ind w:firstLine="420"/>
                    <w:textAlignment w:val="center"/>
                    <w:rPr>
                      <w:sz w:val="21"/>
                      <w:szCs w:val="21"/>
                    </w:rPr>
                  </w:pPr>
                  <w:r>
                    <w:rPr>
                      <w:rFonts w:hint="eastAsia"/>
                      <w:sz w:val="21"/>
                      <w:szCs w:val="21"/>
                    </w:rPr>
                    <w:t>/</w:t>
                  </w:r>
                </w:p>
              </w:tc>
              <w:tc>
                <w:tcPr>
                  <w:tcW w:w="959" w:type="pct"/>
                  <w:vAlign w:val="center"/>
                </w:tcPr>
                <w:p>
                  <w:pPr>
                    <w:spacing w:line="240" w:lineRule="atLeast"/>
                    <w:ind w:firstLine="735" w:firstLineChars="350"/>
                    <w:textAlignment w:val="center"/>
                    <w:rPr>
                      <w:sz w:val="21"/>
                      <w:szCs w:val="21"/>
                    </w:rPr>
                  </w:pPr>
                  <w:r>
                    <w:rPr>
                      <w:rFonts w:hint="eastAsia"/>
                      <w:sz w:val="21"/>
                      <w:szCs w:val="21"/>
                    </w:rPr>
                    <w:t>/</w:t>
                  </w:r>
                </w:p>
              </w:tc>
              <w:tc>
                <w:tcPr>
                  <w:tcW w:w="905" w:type="pct"/>
                  <w:vAlign w:val="center"/>
                </w:tcPr>
                <w:p>
                  <w:pPr>
                    <w:adjustRightInd w:val="0"/>
                    <w:spacing w:line="240" w:lineRule="atLeast"/>
                    <w:ind w:firstLine="583" w:firstLineChars="278"/>
                    <w:rPr>
                      <w:sz w:val="21"/>
                      <w:szCs w:val="21"/>
                    </w:rPr>
                  </w:pP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693" w:type="pct"/>
                  <w:vAlign w:val="center"/>
                </w:tcPr>
                <w:p>
                  <w:pPr>
                    <w:adjustRightInd w:val="0"/>
                    <w:spacing w:line="240" w:lineRule="atLeast"/>
                    <w:ind w:firstLine="0" w:firstLineChars="0"/>
                    <w:jc w:val="center"/>
                    <w:rPr>
                      <w:sz w:val="21"/>
                      <w:szCs w:val="21"/>
                    </w:rPr>
                  </w:pPr>
                  <w:r>
                    <w:rPr>
                      <w:rFonts w:hint="eastAsia"/>
                      <w:sz w:val="21"/>
                      <w:szCs w:val="21"/>
                    </w:rPr>
                    <w:t>铬</w:t>
                  </w:r>
                </w:p>
              </w:tc>
              <w:tc>
                <w:tcPr>
                  <w:tcW w:w="817" w:type="pct"/>
                  <w:vAlign w:val="center"/>
                </w:tcPr>
                <w:p>
                  <w:pPr>
                    <w:spacing w:line="240" w:lineRule="atLeast"/>
                    <w:ind w:right="-120" w:rightChars="-50" w:firstLine="420"/>
                    <w:textAlignment w:val="center"/>
                    <w:rPr>
                      <w:sz w:val="21"/>
                      <w:szCs w:val="21"/>
                    </w:rPr>
                  </w:pPr>
                  <w:r>
                    <w:rPr>
                      <w:rFonts w:hint="eastAsia"/>
                      <w:sz w:val="21"/>
                      <w:szCs w:val="21"/>
                    </w:rPr>
                    <w:t>7天</w:t>
                  </w:r>
                </w:p>
              </w:tc>
              <w:tc>
                <w:tcPr>
                  <w:tcW w:w="997" w:type="pct"/>
                  <w:vAlign w:val="center"/>
                </w:tcPr>
                <w:p>
                  <w:pPr>
                    <w:spacing w:line="240" w:lineRule="atLeast"/>
                    <w:ind w:right="-120" w:rightChars="-50" w:firstLine="420"/>
                    <w:textAlignment w:val="center"/>
                    <w:rPr>
                      <w:sz w:val="21"/>
                      <w:szCs w:val="21"/>
                    </w:rPr>
                  </w:pPr>
                  <w:r>
                    <w:rPr>
                      <w:rFonts w:hint="eastAsia"/>
                      <w:sz w:val="21"/>
                      <w:szCs w:val="21"/>
                    </w:rPr>
                    <w:t>2</w:t>
                  </w:r>
                  <w:r>
                    <w:rPr>
                      <w:sz w:val="21"/>
                      <w:szCs w:val="21"/>
                    </w:rPr>
                    <w:t>×10</w:t>
                  </w:r>
                  <w:r>
                    <w:rPr>
                      <w:sz w:val="21"/>
                      <w:szCs w:val="21"/>
                      <w:vertAlign w:val="superscript"/>
                    </w:rPr>
                    <w:t>-</w:t>
                  </w:r>
                  <w:r>
                    <w:rPr>
                      <w:rFonts w:hint="eastAsia"/>
                      <w:sz w:val="21"/>
                      <w:szCs w:val="21"/>
                      <w:vertAlign w:val="superscript"/>
                    </w:rPr>
                    <w:t>6</w:t>
                  </w:r>
                  <w:r>
                    <w:rPr>
                      <w:sz w:val="21"/>
                      <w:szCs w:val="21"/>
                    </w:rPr>
                    <w:t>L</w:t>
                  </w:r>
                </w:p>
              </w:tc>
              <w:tc>
                <w:tcPr>
                  <w:tcW w:w="628" w:type="pct"/>
                  <w:vAlign w:val="center"/>
                </w:tcPr>
                <w:p>
                  <w:pPr>
                    <w:spacing w:line="240" w:lineRule="atLeast"/>
                    <w:ind w:firstLine="420"/>
                    <w:textAlignment w:val="center"/>
                    <w:rPr>
                      <w:sz w:val="21"/>
                      <w:szCs w:val="21"/>
                    </w:rPr>
                  </w:pPr>
                  <w:r>
                    <w:rPr>
                      <w:rFonts w:hint="eastAsia"/>
                      <w:sz w:val="21"/>
                      <w:szCs w:val="21"/>
                    </w:rPr>
                    <w:t>/</w:t>
                  </w:r>
                </w:p>
              </w:tc>
              <w:tc>
                <w:tcPr>
                  <w:tcW w:w="959" w:type="pct"/>
                  <w:vAlign w:val="center"/>
                </w:tcPr>
                <w:p>
                  <w:pPr>
                    <w:spacing w:line="240" w:lineRule="atLeast"/>
                    <w:ind w:firstLine="630" w:firstLineChars="300"/>
                    <w:textAlignment w:val="center"/>
                    <w:rPr>
                      <w:sz w:val="21"/>
                      <w:szCs w:val="21"/>
                    </w:rPr>
                  </w:pPr>
                  <w:r>
                    <w:rPr>
                      <w:rFonts w:hint="eastAsia"/>
                      <w:sz w:val="21"/>
                      <w:szCs w:val="21"/>
                    </w:rPr>
                    <w:t>/</w:t>
                  </w:r>
                </w:p>
              </w:tc>
              <w:tc>
                <w:tcPr>
                  <w:tcW w:w="905" w:type="pct"/>
                  <w:vAlign w:val="center"/>
                </w:tcPr>
                <w:p>
                  <w:pPr>
                    <w:adjustRightInd w:val="0"/>
                    <w:spacing w:line="240" w:lineRule="atLeast"/>
                    <w:ind w:firstLine="583" w:firstLineChars="278"/>
                    <w:rPr>
                      <w:sz w:val="21"/>
                      <w:szCs w:val="21"/>
                    </w:rPr>
                  </w:pP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693" w:type="pct"/>
                  <w:vAlign w:val="center"/>
                </w:tcPr>
                <w:p>
                  <w:pPr>
                    <w:adjustRightInd w:val="0"/>
                    <w:spacing w:line="240" w:lineRule="atLeast"/>
                    <w:ind w:firstLine="0" w:firstLineChars="0"/>
                    <w:jc w:val="center"/>
                    <w:rPr>
                      <w:sz w:val="21"/>
                      <w:szCs w:val="21"/>
                    </w:rPr>
                  </w:pPr>
                  <w:r>
                    <w:rPr>
                      <w:rFonts w:hint="eastAsia"/>
                      <w:sz w:val="21"/>
                      <w:szCs w:val="21"/>
                    </w:rPr>
                    <w:t>镉</w:t>
                  </w:r>
                </w:p>
              </w:tc>
              <w:tc>
                <w:tcPr>
                  <w:tcW w:w="817" w:type="pct"/>
                  <w:vAlign w:val="center"/>
                </w:tcPr>
                <w:p>
                  <w:pPr>
                    <w:spacing w:line="240" w:lineRule="atLeast"/>
                    <w:ind w:right="-120" w:rightChars="-50" w:firstLine="420"/>
                    <w:textAlignment w:val="center"/>
                    <w:rPr>
                      <w:sz w:val="21"/>
                      <w:szCs w:val="21"/>
                    </w:rPr>
                  </w:pPr>
                  <w:r>
                    <w:rPr>
                      <w:rFonts w:hint="eastAsia"/>
                      <w:sz w:val="21"/>
                      <w:szCs w:val="21"/>
                    </w:rPr>
                    <w:t>7天</w:t>
                  </w:r>
                </w:p>
              </w:tc>
              <w:tc>
                <w:tcPr>
                  <w:tcW w:w="997" w:type="pct"/>
                  <w:vAlign w:val="center"/>
                </w:tcPr>
                <w:p>
                  <w:pPr>
                    <w:spacing w:line="240" w:lineRule="atLeast"/>
                    <w:ind w:right="-120" w:rightChars="-50" w:firstLine="420"/>
                    <w:textAlignment w:val="center"/>
                    <w:rPr>
                      <w:sz w:val="21"/>
                      <w:szCs w:val="21"/>
                    </w:rPr>
                  </w:pPr>
                  <w:r>
                    <w:rPr>
                      <w:rFonts w:hint="eastAsia"/>
                      <w:sz w:val="21"/>
                      <w:szCs w:val="21"/>
                    </w:rPr>
                    <w:t>4</w:t>
                  </w:r>
                  <w:r>
                    <w:rPr>
                      <w:sz w:val="21"/>
                      <w:szCs w:val="21"/>
                    </w:rPr>
                    <w:t>×10</w:t>
                  </w:r>
                  <w:r>
                    <w:rPr>
                      <w:sz w:val="21"/>
                      <w:szCs w:val="21"/>
                      <w:vertAlign w:val="superscript"/>
                    </w:rPr>
                    <w:t>-</w:t>
                  </w:r>
                  <w:r>
                    <w:rPr>
                      <w:rFonts w:hint="eastAsia"/>
                      <w:sz w:val="21"/>
                      <w:szCs w:val="21"/>
                      <w:vertAlign w:val="superscript"/>
                    </w:rPr>
                    <w:t>8</w:t>
                  </w:r>
                  <w:r>
                    <w:rPr>
                      <w:sz w:val="21"/>
                      <w:szCs w:val="21"/>
                    </w:rPr>
                    <w:t>L</w:t>
                  </w:r>
                </w:p>
              </w:tc>
              <w:tc>
                <w:tcPr>
                  <w:tcW w:w="628" w:type="pct"/>
                  <w:vAlign w:val="center"/>
                </w:tcPr>
                <w:p>
                  <w:pPr>
                    <w:spacing w:line="240" w:lineRule="atLeast"/>
                    <w:ind w:firstLine="420"/>
                    <w:textAlignment w:val="center"/>
                    <w:rPr>
                      <w:sz w:val="21"/>
                      <w:szCs w:val="21"/>
                    </w:rPr>
                  </w:pPr>
                  <w:r>
                    <w:rPr>
                      <w:rFonts w:hint="eastAsia"/>
                      <w:sz w:val="21"/>
                      <w:szCs w:val="21"/>
                    </w:rPr>
                    <w:t>/</w:t>
                  </w:r>
                </w:p>
              </w:tc>
              <w:tc>
                <w:tcPr>
                  <w:tcW w:w="959" w:type="pct"/>
                  <w:vAlign w:val="center"/>
                </w:tcPr>
                <w:p>
                  <w:pPr>
                    <w:spacing w:line="240" w:lineRule="atLeast"/>
                    <w:ind w:firstLine="630" w:firstLineChars="300"/>
                    <w:textAlignment w:val="center"/>
                    <w:rPr>
                      <w:sz w:val="21"/>
                      <w:szCs w:val="21"/>
                    </w:rPr>
                  </w:pPr>
                  <w:r>
                    <w:rPr>
                      <w:rFonts w:hint="eastAsia"/>
                      <w:sz w:val="21"/>
                      <w:szCs w:val="21"/>
                    </w:rPr>
                    <w:t>/</w:t>
                  </w:r>
                </w:p>
              </w:tc>
              <w:tc>
                <w:tcPr>
                  <w:tcW w:w="905" w:type="pct"/>
                  <w:vAlign w:val="center"/>
                </w:tcPr>
                <w:p>
                  <w:pPr>
                    <w:adjustRightInd w:val="0"/>
                    <w:spacing w:line="240" w:lineRule="atLeast"/>
                    <w:ind w:firstLine="583" w:firstLineChars="278"/>
                    <w:rPr>
                      <w:sz w:val="21"/>
                      <w:szCs w:val="21"/>
                    </w:rPr>
                  </w:pPr>
                  <w:r>
                    <w:rPr>
                      <w:rFonts w:hint="eastAsia"/>
                      <w:sz w:val="21"/>
                      <w:szCs w:val="21"/>
                    </w:rPr>
                    <w:t>/</w:t>
                  </w:r>
                </w:p>
              </w:tc>
            </w:tr>
          </w:tbl>
          <w:p>
            <w:pPr>
              <w:pStyle w:val="169"/>
              <w:spacing w:line="360" w:lineRule="auto"/>
              <w:jc w:val="left"/>
              <w:rPr>
                <w:szCs w:val="21"/>
              </w:rPr>
            </w:pPr>
            <w:r>
              <w:rPr>
                <w:szCs w:val="21"/>
              </w:rPr>
              <w:t>注：带L的数据表示未检出，结果为该项目的方法检出限</w:t>
            </w:r>
          </w:p>
          <w:p>
            <w:pPr>
              <w:pStyle w:val="169"/>
              <w:spacing w:line="360" w:lineRule="auto"/>
              <w:jc w:val="left"/>
              <w:rPr>
                <w:b/>
                <w:sz w:val="28"/>
                <w:szCs w:val="28"/>
              </w:rPr>
            </w:pPr>
          </w:p>
          <w:p>
            <w:pPr>
              <w:pStyle w:val="169"/>
              <w:spacing w:line="360" w:lineRule="auto"/>
              <w:ind w:firstLine="352" w:firstLineChars="147"/>
              <w:jc w:val="left"/>
              <w:rPr>
                <w:b/>
                <w:sz w:val="24"/>
                <w:szCs w:val="24"/>
              </w:rPr>
            </w:pPr>
            <w:r>
              <w:rPr>
                <w:rFonts w:hint="eastAsia"/>
                <w:sz w:val="24"/>
                <w:szCs w:val="24"/>
              </w:rPr>
              <w:t>根据表3.1-2，监测点铅日平均浓度未检出，监测结果为</w:t>
            </w:r>
            <w:r>
              <w:rPr>
                <w:sz w:val="24"/>
                <w:szCs w:val="24"/>
              </w:rPr>
              <w:t>7×10</w:t>
            </w:r>
            <w:r>
              <w:rPr>
                <w:sz w:val="24"/>
                <w:szCs w:val="24"/>
                <w:vertAlign w:val="superscript"/>
              </w:rPr>
              <w:t>-7</w:t>
            </w:r>
            <w:r>
              <w:rPr>
                <w:sz w:val="24"/>
                <w:szCs w:val="24"/>
              </w:rPr>
              <w:t>L</w:t>
            </w:r>
            <w:r>
              <w:rPr>
                <w:rFonts w:hint="eastAsia"/>
                <w:sz w:val="24"/>
                <w:szCs w:val="24"/>
              </w:rPr>
              <w:t xml:space="preserve"> m</w:t>
            </w:r>
            <w:r>
              <w:rPr>
                <w:sz w:val="24"/>
                <w:szCs w:val="24"/>
              </w:rPr>
              <w:t>g/m</w:t>
            </w:r>
            <w:r>
              <w:rPr>
                <w:sz w:val="24"/>
                <w:szCs w:val="24"/>
                <w:vertAlign w:val="superscript"/>
              </w:rPr>
              <w:t>3</w:t>
            </w:r>
            <w:r>
              <w:rPr>
                <w:rFonts w:hint="eastAsia"/>
                <w:sz w:val="24"/>
                <w:szCs w:val="24"/>
              </w:rPr>
              <w:t>，铬日平均浓度未检出，监测结果为2</w:t>
            </w:r>
            <w:r>
              <w:rPr>
                <w:sz w:val="24"/>
                <w:szCs w:val="24"/>
              </w:rPr>
              <w:t>×10</w:t>
            </w:r>
            <w:r>
              <w:rPr>
                <w:sz w:val="24"/>
                <w:szCs w:val="24"/>
                <w:vertAlign w:val="superscript"/>
              </w:rPr>
              <w:t>-</w:t>
            </w:r>
            <w:r>
              <w:rPr>
                <w:rFonts w:hint="eastAsia"/>
                <w:sz w:val="24"/>
                <w:szCs w:val="24"/>
                <w:vertAlign w:val="superscript"/>
              </w:rPr>
              <w:t>6</w:t>
            </w:r>
            <w:r>
              <w:rPr>
                <w:sz w:val="24"/>
                <w:szCs w:val="24"/>
              </w:rPr>
              <w:t>L</w:t>
            </w:r>
            <w:r>
              <w:rPr>
                <w:rFonts w:hint="eastAsia"/>
                <w:sz w:val="24"/>
                <w:szCs w:val="24"/>
              </w:rPr>
              <w:t xml:space="preserve"> m</w:t>
            </w:r>
            <w:r>
              <w:rPr>
                <w:sz w:val="24"/>
                <w:szCs w:val="24"/>
              </w:rPr>
              <w:t>g/m</w:t>
            </w:r>
            <w:r>
              <w:rPr>
                <w:sz w:val="24"/>
                <w:szCs w:val="24"/>
                <w:vertAlign w:val="superscript"/>
              </w:rPr>
              <w:t>3</w:t>
            </w:r>
            <w:r>
              <w:rPr>
                <w:rFonts w:hint="eastAsia"/>
                <w:sz w:val="24"/>
                <w:szCs w:val="24"/>
              </w:rPr>
              <w:t>，镉日平均浓度未检出，监测结果为4</w:t>
            </w:r>
            <w:r>
              <w:rPr>
                <w:sz w:val="24"/>
                <w:szCs w:val="24"/>
              </w:rPr>
              <w:t>×10</w:t>
            </w:r>
            <w:r>
              <w:rPr>
                <w:sz w:val="24"/>
                <w:szCs w:val="24"/>
                <w:vertAlign w:val="superscript"/>
              </w:rPr>
              <w:t>-</w:t>
            </w:r>
            <w:r>
              <w:rPr>
                <w:rFonts w:hint="eastAsia"/>
                <w:sz w:val="24"/>
                <w:szCs w:val="24"/>
                <w:vertAlign w:val="superscript"/>
              </w:rPr>
              <w:t>8</w:t>
            </w:r>
            <w:r>
              <w:rPr>
                <w:sz w:val="24"/>
                <w:szCs w:val="24"/>
              </w:rPr>
              <w:t>L</w:t>
            </w:r>
            <w:r>
              <w:rPr>
                <w:rFonts w:hint="eastAsia"/>
                <w:sz w:val="24"/>
                <w:szCs w:val="24"/>
              </w:rPr>
              <w:t xml:space="preserve"> m</w:t>
            </w:r>
            <w:r>
              <w:rPr>
                <w:sz w:val="24"/>
                <w:szCs w:val="24"/>
              </w:rPr>
              <w:t>g/m</w:t>
            </w:r>
            <w:r>
              <w:rPr>
                <w:sz w:val="24"/>
                <w:szCs w:val="24"/>
                <w:vertAlign w:val="superscript"/>
              </w:rPr>
              <w:t>3</w:t>
            </w:r>
            <w:r>
              <w:rPr>
                <w:rFonts w:hint="eastAsia"/>
                <w:sz w:val="24"/>
                <w:szCs w:val="24"/>
              </w:rPr>
              <w:t>。</w:t>
            </w:r>
          </w:p>
        </w:tc>
      </w:tr>
    </w:tbl>
    <w:p>
      <w:pPr>
        <w:ind w:firstLine="0" w:firstLineChars="0"/>
        <w:sectPr>
          <w:pgSz w:w="11906" w:h="16838"/>
          <w:pgMar w:top="1701" w:right="1531" w:bottom="1701" w:left="1531" w:header="851" w:footer="851" w:gutter="0"/>
          <w:cols w:space="720" w:num="1"/>
          <w:docGrid w:linePitch="312" w:charSpace="0"/>
        </w:sectPr>
      </w:pPr>
    </w:p>
    <w:tbl>
      <w:tblPr>
        <w:tblStyle w:val="88"/>
        <w:tblW w:w="89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84"/>
        <w:gridCol w:w="8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4" w:hRule="atLeast"/>
          <w:jc w:val="center"/>
        </w:trPr>
        <w:tc>
          <w:tcPr>
            <w:tcW w:w="484" w:type="dxa"/>
            <w:tcMar>
              <w:top w:w="16" w:type="dxa"/>
              <w:left w:w="16" w:type="dxa"/>
              <w:right w:w="16" w:type="dxa"/>
            </w:tcMar>
            <w:vAlign w:val="center"/>
          </w:tcPr>
          <w:p>
            <w:pPr>
              <w:pStyle w:val="169"/>
              <w:rPr>
                <w:sz w:val="24"/>
                <w:szCs w:val="24"/>
              </w:rPr>
            </w:pPr>
            <w:r>
              <w:rPr>
                <w:rFonts w:hint="eastAsia"/>
                <w:sz w:val="24"/>
                <w:szCs w:val="24"/>
              </w:rPr>
              <w:t>区域环境质量现状</w:t>
            </w:r>
          </w:p>
        </w:tc>
        <w:tc>
          <w:tcPr>
            <w:tcW w:w="8488" w:type="dxa"/>
            <w:vAlign w:val="center"/>
          </w:tcPr>
          <w:p>
            <w:pPr>
              <w:pStyle w:val="5"/>
              <w:numPr>
                <w:ilvl w:val="0"/>
                <w:numId w:val="0"/>
              </w:numPr>
            </w:pPr>
            <w:r>
              <w:rPr>
                <w:rFonts w:hint="eastAsia"/>
              </w:rPr>
              <w:t>3.2地表水环境质量现状</w:t>
            </w:r>
          </w:p>
          <w:p>
            <w:r>
              <w:t>评价引用重庆港庆测控技术有限公司对双桥工业园区污水处理厂的现状监测数据（港庆（监）字[2022]第05020-HP号），监测断面分别位于新胜溪汇入苦水河前350m处和苦水河双桥工业园区污水处理厂排放口下游2000m处，监测时间2022年5月16日~18日。监测断面布设情况及监测因子见表3.</w:t>
            </w:r>
            <w:r>
              <w:rPr>
                <w:rFonts w:hint="eastAsia"/>
              </w:rPr>
              <w:t>2-1</w:t>
            </w:r>
            <w:r>
              <w:t>。</w:t>
            </w:r>
          </w:p>
          <w:p>
            <w:pPr>
              <w:pStyle w:val="178"/>
              <w:ind w:firstLine="420"/>
              <w:rPr>
                <w:rFonts w:eastAsia="宋体"/>
                <w:color w:val="auto"/>
                <w:szCs w:val="21"/>
              </w:rPr>
            </w:pPr>
            <w:r>
              <w:rPr>
                <w:rFonts w:eastAsia="宋体"/>
                <w:color w:val="auto"/>
                <w:szCs w:val="21"/>
              </w:rPr>
              <w:t>表3.</w:t>
            </w:r>
            <w:r>
              <w:rPr>
                <w:rFonts w:hint="eastAsia" w:eastAsia="宋体"/>
                <w:color w:val="auto"/>
                <w:szCs w:val="21"/>
              </w:rPr>
              <w:t>2-1</w:t>
            </w:r>
            <w:r>
              <w:rPr>
                <w:rFonts w:eastAsia="宋体"/>
                <w:color w:val="auto"/>
                <w:szCs w:val="21"/>
              </w:rPr>
              <w:t xml:space="preserve">  地表水监测断面布置情况一览表</w:t>
            </w:r>
          </w:p>
          <w:tbl>
            <w:tblPr>
              <w:tblStyle w:val="88"/>
              <w:tblW w:w="4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897"/>
              <w:gridCol w:w="3392"/>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6" w:type="pct"/>
                  <w:vAlign w:val="center"/>
                </w:tcPr>
                <w:p>
                  <w:pPr>
                    <w:pStyle w:val="169"/>
                  </w:pPr>
                  <w:r>
                    <w:t>编号</w:t>
                  </w:r>
                </w:p>
              </w:tc>
              <w:tc>
                <w:tcPr>
                  <w:tcW w:w="1773" w:type="pct"/>
                  <w:vAlign w:val="center"/>
                </w:tcPr>
                <w:p>
                  <w:pPr>
                    <w:pStyle w:val="169"/>
                  </w:pPr>
                  <w:r>
                    <w:t>监测断面</w:t>
                  </w:r>
                </w:p>
              </w:tc>
              <w:tc>
                <w:tcPr>
                  <w:tcW w:w="2076" w:type="pct"/>
                  <w:vAlign w:val="center"/>
                </w:tcPr>
                <w:p>
                  <w:pPr>
                    <w:pStyle w:val="169"/>
                  </w:pPr>
                  <w:r>
                    <w:t>监测项目</w:t>
                  </w:r>
                </w:p>
              </w:tc>
              <w:tc>
                <w:tcPr>
                  <w:tcW w:w="745" w:type="pct"/>
                  <w:vAlign w:val="center"/>
                </w:tcPr>
                <w:p>
                  <w:pPr>
                    <w:pStyle w:val="169"/>
                  </w:pPr>
                  <w:r>
                    <w:t>监测时间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6" w:type="pct"/>
                  <w:vAlign w:val="center"/>
                </w:tcPr>
                <w:p>
                  <w:pPr>
                    <w:pStyle w:val="169"/>
                  </w:pPr>
                  <w:r>
                    <w:t>W1</w:t>
                  </w:r>
                </w:p>
              </w:tc>
              <w:tc>
                <w:tcPr>
                  <w:tcW w:w="1773" w:type="pct"/>
                  <w:vAlign w:val="center"/>
                </w:tcPr>
                <w:p>
                  <w:pPr>
                    <w:pStyle w:val="169"/>
                  </w:pPr>
                  <w:r>
                    <w:t>新胜溪汇入苦水河前350m处</w:t>
                  </w:r>
                </w:p>
              </w:tc>
              <w:tc>
                <w:tcPr>
                  <w:tcW w:w="2076" w:type="pct"/>
                  <w:vMerge w:val="restart"/>
                  <w:vAlign w:val="center"/>
                </w:tcPr>
                <w:p>
                  <w:pPr>
                    <w:pStyle w:val="169"/>
                  </w:pPr>
                  <w:r>
                    <w:t>pH值、水温、溶解氧、化学需氧量、氨氮、总磷、总氮、五日生化需氧量、石油类、阴离子表面活性剂、粪大肠菌群数、总铅、总氰化物、总镍、总铜、总锌、硫化物</w:t>
                  </w:r>
                </w:p>
              </w:tc>
              <w:tc>
                <w:tcPr>
                  <w:tcW w:w="745" w:type="pct"/>
                  <w:vMerge w:val="restart"/>
                  <w:vAlign w:val="center"/>
                </w:tcPr>
                <w:p>
                  <w:pPr>
                    <w:pStyle w:val="169"/>
                  </w:pPr>
                  <w:r>
                    <w:t>2022年5月16日~18日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6" w:type="pct"/>
                  <w:vAlign w:val="center"/>
                </w:tcPr>
                <w:p>
                  <w:pPr>
                    <w:pStyle w:val="169"/>
                  </w:pPr>
                  <w:r>
                    <w:t>W2</w:t>
                  </w:r>
                </w:p>
              </w:tc>
              <w:tc>
                <w:tcPr>
                  <w:tcW w:w="1773" w:type="pct"/>
                  <w:vAlign w:val="center"/>
                </w:tcPr>
                <w:p>
                  <w:pPr>
                    <w:pStyle w:val="169"/>
                  </w:pPr>
                  <w:r>
                    <w:t>苦水河双桥工业园区污水处理厂排放口下游2000m处</w:t>
                  </w:r>
                </w:p>
              </w:tc>
              <w:tc>
                <w:tcPr>
                  <w:tcW w:w="2076" w:type="pct"/>
                  <w:vMerge w:val="continue"/>
                  <w:vAlign w:val="center"/>
                </w:tcPr>
                <w:p>
                  <w:pPr>
                    <w:widowControl/>
                    <w:adjustRightInd w:val="0"/>
                    <w:snapToGrid/>
                    <w:spacing w:line="240" w:lineRule="auto"/>
                    <w:jc w:val="center"/>
                    <w:rPr>
                      <w:snapToGrid w:val="0"/>
                      <w:kern w:val="0"/>
                      <w:szCs w:val="21"/>
                    </w:rPr>
                  </w:pPr>
                </w:p>
              </w:tc>
              <w:tc>
                <w:tcPr>
                  <w:tcW w:w="745" w:type="pct"/>
                  <w:vMerge w:val="continue"/>
                  <w:vAlign w:val="center"/>
                </w:tcPr>
                <w:p>
                  <w:pPr>
                    <w:widowControl/>
                    <w:adjustRightInd w:val="0"/>
                    <w:snapToGrid/>
                    <w:spacing w:line="240" w:lineRule="auto"/>
                    <w:jc w:val="center"/>
                    <w:rPr>
                      <w:snapToGrid w:val="0"/>
                      <w:kern w:val="0"/>
                      <w:szCs w:val="21"/>
                    </w:rPr>
                  </w:pPr>
                </w:p>
              </w:tc>
            </w:tr>
          </w:tbl>
          <w:p>
            <w:pPr>
              <w:pStyle w:val="169"/>
              <w:spacing w:line="360" w:lineRule="auto"/>
              <w:jc w:val="left"/>
              <w:rPr>
                <w:b/>
                <w:sz w:val="28"/>
                <w:szCs w:val="28"/>
              </w:rPr>
            </w:pPr>
          </w:p>
          <w:p>
            <w:pPr>
              <w:pStyle w:val="203"/>
              <w:adjustRightInd w:val="0"/>
              <w:snapToGrid w:val="0"/>
              <w:spacing w:line="440" w:lineRule="exact"/>
              <w:ind w:firstLine="480"/>
              <w:rPr>
                <w:kern w:val="0"/>
                <w:sz w:val="24"/>
                <w:szCs w:val="24"/>
              </w:rPr>
            </w:pPr>
            <w:r>
              <w:rPr>
                <w:kern w:val="0"/>
                <w:sz w:val="24"/>
                <w:szCs w:val="24"/>
              </w:rPr>
              <w:t>（</w:t>
            </w:r>
            <w:r>
              <w:rPr>
                <w:rFonts w:hint="eastAsia"/>
                <w:kern w:val="0"/>
                <w:sz w:val="24"/>
                <w:szCs w:val="24"/>
              </w:rPr>
              <w:t>1</w:t>
            </w:r>
            <w:r>
              <w:rPr>
                <w:kern w:val="0"/>
                <w:sz w:val="24"/>
                <w:szCs w:val="24"/>
              </w:rPr>
              <w:t>）评价方法</w:t>
            </w:r>
          </w:p>
          <w:p>
            <w:pPr>
              <w:pStyle w:val="203"/>
              <w:adjustRightInd w:val="0"/>
              <w:snapToGrid w:val="0"/>
              <w:spacing w:line="440" w:lineRule="exact"/>
              <w:ind w:firstLine="480"/>
              <w:rPr>
                <w:sz w:val="24"/>
                <w:szCs w:val="24"/>
              </w:rPr>
            </w:pPr>
            <w:r>
              <w:rPr>
                <w:sz w:val="24"/>
                <w:szCs w:val="24"/>
              </w:rPr>
              <w:t>根据《环境影响评价技术导则 地表水环境》（HJ 2.3-2018），地表水评价采用水质指数法对项目所在地地表水水质现状进行评价，评价方法如下</w:t>
            </w:r>
            <w:r>
              <w:rPr>
                <w:b/>
                <w:sz w:val="24"/>
                <w:szCs w:val="24"/>
              </w:rPr>
              <w:t>：</w:t>
            </w:r>
          </w:p>
          <w:p>
            <w:pPr>
              <w:pStyle w:val="203"/>
              <w:adjustRightInd w:val="0"/>
              <w:snapToGrid w:val="0"/>
              <w:spacing w:line="440" w:lineRule="exact"/>
              <w:ind w:firstLine="480"/>
              <w:rPr>
                <w:sz w:val="24"/>
                <w:szCs w:val="24"/>
              </w:rPr>
            </w:pPr>
            <w:r>
              <w:rPr>
                <w:sz w:val="24"/>
                <w:szCs w:val="24"/>
              </w:rPr>
              <w:t>1）一般水质因子</w:t>
            </w:r>
            <w:r>
              <w:rPr>
                <w:rFonts w:hint="eastAsia"/>
                <w:sz w:val="24"/>
                <w:szCs w:val="24"/>
              </w:rPr>
              <w:t>（</w:t>
            </w:r>
            <w:r>
              <w:rPr>
                <w:sz w:val="24"/>
                <w:szCs w:val="24"/>
              </w:rPr>
              <w:t>随水质浓度增加而水质变差的水质因子</w:t>
            </w:r>
            <w:r>
              <w:rPr>
                <w:rFonts w:hint="eastAsia"/>
                <w:sz w:val="24"/>
                <w:szCs w:val="24"/>
              </w:rPr>
              <w:t>）</w:t>
            </w:r>
            <w:r>
              <w:rPr>
                <w:sz w:val="24"/>
                <w:szCs w:val="24"/>
              </w:rPr>
              <w:t>的指数计算公式：</w:t>
            </w:r>
          </w:p>
          <w:p>
            <w:pPr>
              <w:pStyle w:val="203"/>
              <w:ind w:firstLine="500"/>
            </w:pPr>
            <m:oMathPara>
              <m:oMath>
                <m:sSub>
                  <m:sSubPr>
                    <m:ctrlPr>
                      <w:rPr>
                        <w:rFonts w:ascii="Cambria Math" w:hAnsi="Cambria Math"/>
                      </w:rPr>
                    </m:ctrlPr>
                  </m:sSubPr>
                  <m:e>
                    <m:r>
                      <m:rPr/>
                      <w:rPr>
                        <w:rFonts w:ascii="Cambria Math" w:hAnsi="Cambria Math"/>
                      </w:rPr>
                      <m:t xml:space="preserve">            S</m:t>
                    </m:r>
                    <m:ctrlPr>
                      <w:rPr>
                        <w:rFonts w:ascii="Cambria Math" w:hAnsi="Cambria Math"/>
                      </w:rPr>
                    </m:ctrlPr>
                  </m:e>
                  <m:sub>
                    <m:r>
                      <m:rPr/>
                      <w:rPr>
                        <w:rFonts w:ascii="Cambria Math" w:hAnsi="Cambria Math"/>
                      </w:rPr>
                      <m:t>i,j</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sj</m:t>
                    </m:r>
                    <m:ctrlPr>
                      <w:rPr>
                        <w:rFonts w:ascii="Cambria Math" w:hAnsi="Cambria Math"/>
                        <w:i/>
                      </w:rPr>
                    </m:ctrlPr>
                  </m:sub>
                </m:sSub>
              </m:oMath>
            </m:oMathPara>
          </w:p>
          <w:p>
            <w:pPr>
              <w:pStyle w:val="203"/>
              <w:spacing w:line="440" w:lineRule="exact"/>
              <w:ind w:firstLine="480"/>
              <w:rPr>
                <w:sz w:val="24"/>
                <w:szCs w:val="24"/>
              </w:rPr>
            </w:pPr>
            <w:r>
              <w:rPr>
                <w:sz w:val="24"/>
                <w:szCs w:val="24"/>
              </w:rPr>
              <w:t>式中：S</w:t>
            </w:r>
            <w:r>
              <w:rPr>
                <w:sz w:val="24"/>
                <w:szCs w:val="24"/>
                <w:vertAlign w:val="subscript"/>
              </w:rPr>
              <w:t>i,j</w:t>
            </w:r>
            <w:r>
              <w:rPr>
                <w:sz w:val="24"/>
                <w:szCs w:val="24"/>
              </w:rPr>
              <w:t>——评价因子i的水质指数，大于1表明该水质因子超标；</w:t>
            </w:r>
          </w:p>
          <w:p>
            <w:pPr>
              <w:pStyle w:val="203"/>
              <w:spacing w:line="440" w:lineRule="exact"/>
              <w:ind w:firstLine="480"/>
              <w:rPr>
                <w:sz w:val="24"/>
                <w:szCs w:val="24"/>
              </w:rPr>
            </w:pPr>
            <w:r>
              <w:rPr>
                <w:sz w:val="24"/>
                <w:szCs w:val="24"/>
              </w:rPr>
              <w:t>C</w:t>
            </w:r>
            <w:r>
              <w:rPr>
                <w:sz w:val="24"/>
                <w:szCs w:val="24"/>
                <w:vertAlign w:val="subscript"/>
              </w:rPr>
              <w:t>i,j</w:t>
            </w:r>
            <w:r>
              <w:rPr>
                <w:sz w:val="24"/>
                <w:szCs w:val="24"/>
              </w:rPr>
              <w:t>——评价因子i在j点的实测统计代表值，mg/L；</w:t>
            </w:r>
          </w:p>
          <w:p>
            <w:pPr>
              <w:pStyle w:val="203"/>
              <w:spacing w:line="440" w:lineRule="exact"/>
              <w:ind w:firstLine="480"/>
              <w:rPr>
                <w:sz w:val="24"/>
                <w:szCs w:val="24"/>
              </w:rPr>
            </w:pPr>
            <w:r>
              <w:rPr>
                <w:sz w:val="24"/>
                <w:szCs w:val="24"/>
              </w:rPr>
              <w:t>C</w:t>
            </w:r>
            <w:r>
              <w:rPr>
                <w:sz w:val="24"/>
                <w:szCs w:val="24"/>
                <w:vertAlign w:val="subscript"/>
              </w:rPr>
              <w:t>si</w:t>
            </w:r>
            <w:r>
              <w:rPr>
                <w:sz w:val="24"/>
                <w:szCs w:val="24"/>
              </w:rPr>
              <w:t>——评价因子i的水质评价标准限值，mg/L。</w:t>
            </w:r>
          </w:p>
          <w:p>
            <w:pPr>
              <w:pStyle w:val="203"/>
              <w:spacing w:line="440" w:lineRule="exact"/>
              <w:ind w:firstLine="480"/>
              <w:rPr>
                <w:sz w:val="24"/>
                <w:szCs w:val="24"/>
              </w:rPr>
            </w:pPr>
            <w:r>
              <w:rPr>
                <w:sz w:val="24"/>
                <w:szCs w:val="24"/>
              </w:rPr>
              <w:t>2）pH值的指数计算公式：</w:t>
            </w:r>
          </w:p>
          <w:p>
            <w:pPr>
              <w:pStyle w:val="203"/>
              <w:spacing w:line="440" w:lineRule="exact"/>
              <w:ind w:firstLine="480"/>
              <w:jc w:val="center"/>
              <w:rPr>
                <w:sz w:val="24"/>
                <w:szCs w:val="24"/>
              </w:rPr>
            </w:pPr>
            <w:r>
              <w:rPr>
                <w:sz w:val="24"/>
                <w:szCs w:val="24"/>
              </w:rPr>
              <w:t>S</w:t>
            </w:r>
            <w:r>
              <w:rPr>
                <w:sz w:val="24"/>
                <w:szCs w:val="24"/>
                <w:vertAlign w:val="subscript"/>
              </w:rPr>
              <w:t>pH,j</w:t>
            </w:r>
            <w:r>
              <w:rPr>
                <w:sz w:val="24"/>
                <w:szCs w:val="24"/>
              </w:rPr>
              <w:t>＝(7.0－pH</w:t>
            </w:r>
            <w:r>
              <w:rPr>
                <w:sz w:val="24"/>
                <w:szCs w:val="24"/>
                <w:vertAlign w:val="subscript"/>
              </w:rPr>
              <w:t>j</w:t>
            </w:r>
            <w:r>
              <w:rPr>
                <w:sz w:val="24"/>
                <w:szCs w:val="24"/>
              </w:rPr>
              <w:t>)/(7.0－pH</w:t>
            </w:r>
            <w:r>
              <w:rPr>
                <w:sz w:val="24"/>
                <w:szCs w:val="24"/>
                <w:vertAlign w:val="subscript"/>
              </w:rPr>
              <w:t>sd</w:t>
            </w:r>
            <w:r>
              <w:rPr>
                <w:sz w:val="24"/>
                <w:szCs w:val="24"/>
              </w:rPr>
              <w:t>)      pH</w:t>
            </w:r>
            <w:r>
              <w:rPr>
                <w:sz w:val="24"/>
                <w:szCs w:val="24"/>
                <w:vertAlign w:val="subscript"/>
              </w:rPr>
              <w:t>j</w:t>
            </w:r>
            <w:r>
              <w:rPr>
                <w:sz w:val="24"/>
                <w:szCs w:val="24"/>
              </w:rPr>
              <w:t>≤7.0</w:t>
            </w:r>
          </w:p>
          <w:p>
            <w:pPr>
              <w:pStyle w:val="203"/>
              <w:spacing w:line="440" w:lineRule="exact"/>
              <w:ind w:firstLine="480"/>
              <w:jc w:val="center"/>
              <w:rPr>
                <w:sz w:val="24"/>
                <w:szCs w:val="24"/>
              </w:rPr>
            </w:pPr>
            <w:r>
              <w:rPr>
                <w:sz w:val="24"/>
                <w:szCs w:val="24"/>
              </w:rPr>
              <w:t>S</w:t>
            </w:r>
            <w:r>
              <w:rPr>
                <w:sz w:val="24"/>
                <w:szCs w:val="24"/>
                <w:vertAlign w:val="subscript"/>
              </w:rPr>
              <w:t>pH,j</w:t>
            </w:r>
            <w:r>
              <w:rPr>
                <w:sz w:val="24"/>
                <w:szCs w:val="24"/>
              </w:rPr>
              <w:t>＝(pH</w:t>
            </w:r>
            <w:r>
              <w:rPr>
                <w:sz w:val="24"/>
                <w:szCs w:val="24"/>
                <w:vertAlign w:val="subscript"/>
              </w:rPr>
              <w:t>j</w:t>
            </w:r>
            <w:r>
              <w:rPr>
                <w:sz w:val="24"/>
                <w:szCs w:val="24"/>
              </w:rPr>
              <w:t>－7.0)/(pH</w:t>
            </w:r>
            <w:r>
              <w:rPr>
                <w:sz w:val="24"/>
                <w:szCs w:val="24"/>
                <w:vertAlign w:val="subscript"/>
              </w:rPr>
              <w:t>su</w:t>
            </w:r>
            <w:r>
              <w:rPr>
                <w:sz w:val="24"/>
                <w:szCs w:val="24"/>
              </w:rPr>
              <w:t>－7.0)      pH</w:t>
            </w:r>
            <w:r>
              <w:rPr>
                <w:sz w:val="24"/>
                <w:szCs w:val="24"/>
                <w:vertAlign w:val="subscript"/>
              </w:rPr>
              <w:t>j</w:t>
            </w:r>
            <w:r>
              <w:rPr>
                <w:sz w:val="24"/>
                <w:szCs w:val="24"/>
              </w:rPr>
              <w:t>＞7.0</w:t>
            </w:r>
          </w:p>
          <w:p>
            <w:pPr>
              <w:pStyle w:val="203"/>
              <w:spacing w:line="440" w:lineRule="exact"/>
              <w:ind w:firstLine="480"/>
              <w:rPr>
                <w:sz w:val="24"/>
                <w:szCs w:val="24"/>
              </w:rPr>
            </w:pPr>
            <w:r>
              <w:rPr>
                <w:sz w:val="24"/>
                <w:szCs w:val="24"/>
              </w:rPr>
              <w:t>式中：S</w:t>
            </w:r>
            <w:r>
              <w:rPr>
                <w:sz w:val="24"/>
                <w:szCs w:val="24"/>
                <w:vertAlign w:val="subscript"/>
              </w:rPr>
              <w:t>pH,j</w:t>
            </w:r>
            <w:r>
              <w:rPr>
                <w:sz w:val="24"/>
                <w:szCs w:val="24"/>
              </w:rPr>
              <w:t>——pH值的指数，大于1表明该水质因子超标；</w:t>
            </w:r>
          </w:p>
          <w:p>
            <w:pPr>
              <w:pStyle w:val="203"/>
              <w:spacing w:line="440" w:lineRule="exact"/>
              <w:ind w:firstLine="1320" w:firstLineChars="550"/>
              <w:rPr>
                <w:sz w:val="24"/>
                <w:szCs w:val="24"/>
              </w:rPr>
            </w:pPr>
            <w:r>
              <w:rPr>
                <w:sz w:val="24"/>
                <w:szCs w:val="24"/>
              </w:rPr>
              <w:t>pH</w:t>
            </w:r>
            <w:r>
              <w:rPr>
                <w:sz w:val="24"/>
                <w:szCs w:val="24"/>
                <w:vertAlign w:val="subscript"/>
              </w:rPr>
              <w:t>j</w:t>
            </w:r>
            <w:r>
              <w:rPr>
                <w:sz w:val="24"/>
                <w:szCs w:val="24"/>
              </w:rPr>
              <w:t>——pH值实测统计代表值；</w:t>
            </w:r>
          </w:p>
          <w:p>
            <w:pPr>
              <w:pStyle w:val="203"/>
              <w:spacing w:line="440" w:lineRule="exact"/>
              <w:ind w:firstLine="1320" w:firstLineChars="550"/>
              <w:rPr>
                <w:sz w:val="24"/>
                <w:szCs w:val="24"/>
              </w:rPr>
            </w:pPr>
            <w:r>
              <w:rPr>
                <w:sz w:val="24"/>
                <w:szCs w:val="24"/>
              </w:rPr>
              <w:t>pH</w:t>
            </w:r>
            <w:r>
              <w:rPr>
                <w:sz w:val="24"/>
                <w:szCs w:val="24"/>
                <w:vertAlign w:val="subscript"/>
              </w:rPr>
              <w:t>sd</w:t>
            </w:r>
            <w:r>
              <w:rPr>
                <w:sz w:val="24"/>
                <w:szCs w:val="24"/>
              </w:rPr>
              <w:t>——评级标准中pH值的下限值；</w:t>
            </w:r>
          </w:p>
          <w:p>
            <w:pPr>
              <w:pStyle w:val="203"/>
              <w:spacing w:line="440" w:lineRule="exact"/>
              <w:ind w:firstLine="1320" w:firstLineChars="550"/>
              <w:rPr>
                <w:sz w:val="24"/>
                <w:szCs w:val="24"/>
              </w:rPr>
            </w:pPr>
            <w:r>
              <w:rPr>
                <w:sz w:val="24"/>
                <w:szCs w:val="24"/>
              </w:rPr>
              <w:t>pH</w:t>
            </w:r>
            <w:r>
              <w:rPr>
                <w:sz w:val="24"/>
                <w:szCs w:val="24"/>
                <w:vertAlign w:val="subscript"/>
              </w:rPr>
              <w:t>su</w:t>
            </w:r>
            <w:r>
              <w:rPr>
                <w:sz w:val="24"/>
                <w:szCs w:val="24"/>
              </w:rPr>
              <w:t>——评级标准中pH值的上限值。</w:t>
            </w:r>
          </w:p>
          <w:p>
            <w:pPr>
              <w:pStyle w:val="203"/>
              <w:spacing w:line="440" w:lineRule="exact"/>
              <w:ind w:firstLine="480"/>
              <w:rPr>
                <w:sz w:val="24"/>
                <w:szCs w:val="24"/>
              </w:rPr>
            </w:pPr>
            <w:r>
              <w:rPr>
                <w:sz w:val="24"/>
                <w:szCs w:val="24"/>
              </w:rPr>
              <w:t>（</w:t>
            </w:r>
            <w:r>
              <w:rPr>
                <w:rFonts w:hint="eastAsia"/>
                <w:sz w:val="24"/>
                <w:szCs w:val="24"/>
              </w:rPr>
              <w:t>2</w:t>
            </w:r>
            <w:r>
              <w:rPr>
                <w:sz w:val="24"/>
                <w:szCs w:val="24"/>
              </w:rPr>
              <w:t>）监测结果及评价</w:t>
            </w:r>
          </w:p>
          <w:p>
            <w:pPr>
              <w:pStyle w:val="203"/>
              <w:spacing w:line="440" w:lineRule="exact"/>
              <w:ind w:firstLine="480"/>
              <w:rPr>
                <w:sz w:val="24"/>
                <w:szCs w:val="24"/>
              </w:rPr>
            </w:pPr>
            <w:r>
              <w:rPr>
                <w:sz w:val="24"/>
                <w:szCs w:val="24"/>
              </w:rPr>
              <w:t>其统计结果见表</w:t>
            </w:r>
            <w:r>
              <w:rPr>
                <w:rFonts w:hint="eastAsia"/>
                <w:sz w:val="24"/>
                <w:szCs w:val="24"/>
              </w:rPr>
              <w:t>3.2-2</w:t>
            </w:r>
            <w:r>
              <w:rPr>
                <w:sz w:val="24"/>
                <w:szCs w:val="24"/>
              </w:rPr>
              <w:t>。</w:t>
            </w:r>
          </w:p>
          <w:p>
            <w:pPr>
              <w:pStyle w:val="169"/>
              <w:spacing w:line="360" w:lineRule="auto"/>
              <w:jc w:val="left"/>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4" w:hRule="atLeast"/>
          <w:jc w:val="center"/>
        </w:trPr>
        <w:tc>
          <w:tcPr>
            <w:tcW w:w="484" w:type="dxa"/>
            <w:tcBorders>
              <w:top w:val="single" w:color="auto" w:sz="4" w:space="0"/>
              <w:left w:val="single" w:color="auto" w:sz="8" w:space="0"/>
              <w:bottom w:val="single" w:color="auto" w:sz="8" w:space="0"/>
              <w:right w:val="single" w:color="auto" w:sz="4" w:space="0"/>
            </w:tcBorders>
            <w:tcMar>
              <w:top w:w="16" w:type="dxa"/>
              <w:left w:w="16" w:type="dxa"/>
              <w:right w:w="16" w:type="dxa"/>
            </w:tcMar>
            <w:vAlign w:val="center"/>
          </w:tcPr>
          <w:p>
            <w:pPr>
              <w:pStyle w:val="169"/>
              <w:rPr>
                <w:sz w:val="24"/>
                <w:szCs w:val="24"/>
              </w:rPr>
            </w:pPr>
            <w:r>
              <w:rPr>
                <w:rFonts w:hint="eastAsia"/>
                <w:sz w:val="24"/>
                <w:szCs w:val="24"/>
              </w:rPr>
              <w:t>区域环境质量现状</w:t>
            </w:r>
          </w:p>
        </w:tc>
        <w:tc>
          <w:tcPr>
            <w:tcW w:w="8488" w:type="dxa"/>
            <w:tcBorders>
              <w:top w:val="single" w:color="auto" w:sz="4" w:space="0"/>
              <w:left w:val="single" w:color="auto" w:sz="4" w:space="0"/>
              <w:bottom w:val="single" w:color="auto" w:sz="8" w:space="0"/>
              <w:right w:val="single" w:color="auto" w:sz="8" w:space="0"/>
            </w:tcBorders>
            <w:vAlign w:val="center"/>
          </w:tcPr>
          <w:p>
            <w:pPr>
              <w:pStyle w:val="178"/>
              <w:ind w:firstLine="420"/>
              <w:rPr>
                <w:rFonts w:eastAsia="宋体"/>
                <w:color w:val="auto"/>
                <w:szCs w:val="21"/>
              </w:rPr>
            </w:pPr>
            <w:r>
              <w:rPr>
                <w:rFonts w:eastAsia="宋体"/>
                <w:color w:val="auto"/>
                <w:szCs w:val="21"/>
              </w:rPr>
              <w:t>表</w:t>
            </w:r>
            <w:r>
              <w:rPr>
                <w:rFonts w:hint="eastAsia" w:eastAsia="宋体"/>
                <w:color w:val="auto"/>
                <w:szCs w:val="21"/>
              </w:rPr>
              <w:t>3.2-2</w:t>
            </w:r>
            <w:r>
              <w:rPr>
                <w:rFonts w:eastAsia="宋体"/>
                <w:color w:val="auto"/>
                <w:szCs w:val="21"/>
              </w:rPr>
              <w:t xml:space="preserve">  地表水监测统计及评价结果  单位：mg/L，pH无量纲</w:t>
            </w:r>
          </w:p>
          <w:tbl>
            <w:tblPr>
              <w:tblStyle w:val="88"/>
              <w:tblW w:w="4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 w:type="dxa"/>
                <w:bottom w:w="0" w:type="dxa"/>
                <w:right w:w="6" w:type="dxa"/>
              </w:tblCellMar>
            </w:tblPr>
            <w:tblGrid>
              <w:gridCol w:w="2716"/>
              <w:gridCol w:w="1030"/>
              <w:gridCol w:w="1360"/>
              <w:gridCol w:w="1487"/>
              <w:gridCol w:w="610"/>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vMerge w:val="restart"/>
                  <w:noWrap/>
                  <w:vAlign w:val="center"/>
                </w:tcPr>
                <w:p>
                  <w:pPr>
                    <w:pStyle w:val="169"/>
                  </w:pPr>
                  <w:r>
                    <w:rPr>
                      <w:rFonts w:hint="eastAsia"/>
                    </w:rPr>
                    <w:t>监测项目</w:t>
                  </w:r>
                </w:p>
              </w:tc>
              <w:tc>
                <w:tcPr>
                  <w:tcW w:w="628" w:type="pct"/>
                  <w:vMerge w:val="restart"/>
                  <w:noWrap/>
                  <w:vAlign w:val="center"/>
                </w:tcPr>
                <w:p>
                  <w:pPr>
                    <w:pStyle w:val="169"/>
                  </w:pPr>
                  <w:r>
                    <w:rPr>
                      <w:rFonts w:hint="eastAsia"/>
                    </w:rPr>
                    <w:t>单位</w:t>
                  </w:r>
                </w:p>
              </w:tc>
              <w:tc>
                <w:tcPr>
                  <w:tcW w:w="1735" w:type="pct"/>
                  <w:gridSpan w:val="2"/>
                  <w:noWrap/>
                  <w:vAlign w:val="center"/>
                </w:tcPr>
                <w:p>
                  <w:pPr>
                    <w:pStyle w:val="169"/>
                  </w:pPr>
                  <w:r>
                    <w:rPr>
                      <w:rFonts w:hint="eastAsia"/>
                    </w:rPr>
                    <w:t>监测结果</w:t>
                  </w:r>
                </w:p>
              </w:tc>
              <w:tc>
                <w:tcPr>
                  <w:tcW w:w="372" w:type="pct"/>
                  <w:vMerge w:val="restart"/>
                  <w:vAlign w:val="center"/>
                </w:tcPr>
                <w:p>
                  <w:pPr>
                    <w:pStyle w:val="169"/>
                  </w:pPr>
                  <w:r>
                    <w:rPr>
                      <w:rFonts w:hint="eastAsia"/>
                    </w:rPr>
                    <w:t>最大Si值</w:t>
                  </w:r>
                </w:p>
              </w:tc>
              <w:tc>
                <w:tcPr>
                  <w:tcW w:w="610" w:type="pct"/>
                  <w:vMerge w:val="restart"/>
                  <w:vAlign w:val="center"/>
                </w:tcPr>
                <w:p>
                  <w:pPr>
                    <w:pStyle w:val="169"/>
                  </w:pPr>
                  <w:r>
                    <w:rPr>
                      <w:rFonts w:hint="eastAsia"/>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vMerge w:val="continue"/>
                  <w:noWrap/>
                  <w:vAlign w:val="center"/>
                </w:tcPr>
                <w:p>
                  <w:pPr>
                    <w:pStyle w:val="169"/>
                  </w:pPr>
                </w:p>
              </w:tc>
              <w:tc>
                <w:tcPr>
                  <w:tcW w:w="628" w:type="pct"/>
                  <w:vMerge w:val="continue"/>
                  <w:noWrap/>
                  <w:vAlign w:val="center"/>
                </w:tcPr>
                <w:p>
                  <w:pPr>
                    <w:pStyle w:val="169"/>
                  </w:pPr>
                </w:p>
              </w:tc>
              <w:tc>
                <w:tcPr>
                  <w:tcW w:w="829" w:type="pct"/>
                  <w:noWrap/>
                  <w:vAlign w:val="center"/>
                </w:tcPr>
                <w:p>
                  <w:pPr>
                    <w:pStyle w:val="169"/>
                  </w:pPr>
                  <w:r>
                    <w:rPr>
                      <w:rFonts w:hint="eastAsia"/>
                    </w:rPr>
                    <w:t>W1</w:t>
                  </w:r>
                </w:p>
              </w:tc>
              <w:tc>
                <w:tcPr>
                  <w:tcW w:w="906" w:type="pct"/>
                  <w:noWrap/>
                  <w:vAlign w:val="center"/>
                </w:tcPr>
                <w:p>
                  <w:pPr>
                    <w:pStyle w:val="169"/>
                  </w:pPr>
                  <w:r>
                    <w:rPr>
                      <w:rFonts w:hint="eastAsia"/>
                    </w:rPr>
                    <w:t>W2</w:t>
                  </w:r>
                </w:p>
              </w:tc>
              <w:tc>
                <w:tcPr>
                  <w:tcW w:w="372" w:type="pct"/>
                  <w:vMerge w:val="continue"/>
                  <w:vAlign w:val="center"/>
                </w:tcPr>
                <w:p>
                  <w:pPr>
                    <w:pStyle w:val="169"/>
                  </w:pPr>
                </w:p>
              </w:tc>
              <w:tc>
                <w:tcPr>
                  <w:tcW w:w="610" w:type="pct"/>
                  <w:vMerge w:val="continue"/>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水温</w:t>
                  </w:r>
                </w:p>
              </w:tc>
              <w:tc>
                <w:tcPr>
                  <w:tcW w:w="628" w:type="pct"/>
                  <w:noWrap/>
                  <w:vAlign w:val="center"/>
                </w:tcPr>
                <w:p>
                  <w:pPr>
                    <w:pStyle w:val="169"/>
                  </w:pPr>
                  <w:r>
                    <w:t>℃</w:t>
                  </w:r>
                </w:p>
              </w:tc>
              <w:tc>
                <w:tcPr>
                  <w:tcW w:w="829" w:type="pct"/>
                  <w:noWrap/>
                  <w:vAlign w:val="center"/>
                </w:tcPr>
                <w:p>
                  <w:pPr>
                    <w:pStyle w:val="169"/>
                  </w:pPr>
                  <w:r>
                    <w:t>17.2</w:t>
                  </w:r>
                </w:p>
              </w:tc>
              <w:tc>
                <w:tcPr>
                  <w:tcW w:w="906" w:type="pct"/>
                  <w:noWrap/>
                  <w:vAlign w:val="center"/>
                </w:tcPr>
                <w:p>
                  <w:pPr>
                    <w:pStyle w:val="169"/>
                  </w:pPr>
                  <w:r>
                    <w:t>18.2</w:t>
                  </w:r>
                </w:p>
              </w:tc>
              <w:tc>
                <w:tcPr>
                  <w:tcW w:w="372" w:type="pct"/>
                  <w:vAlign w:val="center"/>
                </w:tcPr>
                <w:p>
                  <w:pPr>
                    <w:pStyle w:val="169"/>
                  </w:pPr>
                  <w:r>
                    <w:t>/</w:t>
                  </w:r>
                </w:p>
              </w:tc>
              <w:tc>
                <w:tcPr>
                  <w:tcW w:w="610" w:type="pct"/>
                  <w:vAlign w:val="center"/>
                </w:tcPr>
                <w:p>
                  <w:pPr>
                    <w:pStyle w:val="169"/>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pH</w:t>
                  </w:r>
                </w:p>
              </w:tc>
              <w:tc>
                <w:tcPr>
                  <w:tcW w:w="628" w:type="pct"/>
                  <w:noWrap/>
                  <w:vAlign w:val="center"/>
                </w:tcPr>
                <w:p>
                  <w:pPr>
                    <w:pStyle w:val="169"/>
                  </w:pPr>
                  <w:r>
                    <w:t>无量纲</w:t>
                  </w:r>
                </w:p>
              </w:tc>
              <w:tc>
                <w:tcPr>
                  <w:tcW w:w="829" w:type="pct"/>
                  <w:noWrap/>
                  <w:vAlign w:val="center"/>
                </w:tcPr>
                <w:p>
                  <w:pPr>
                    <w:pStyle w:val="169"/>
                  </w:pPr>
                  <w:r>
                    <w:t>7.</w:t>
                  </w:r>
                  <w:r>
                    <w:rPr>
                      <w:rFonts w:hint="eastAsia"/>
                    </w:rPr>
                    <w:t>3</w:t>
                  </w:r>
                </w:p>
              </w:tc>
              <w:tc>
                <w:tcPr>
                  <w:tcW w:w="906" w:type="pct"/>
                  <w:noWrap/>
                  <w:vAlign w:val="center"/>
                </w:tcPr>
                <w:p>
                  <w:pPr>
                    <w:pStyle w:val="169"/>
                  </w:pPr>
                  <w:r>
                    <w:t>7.6</w:t>
                  </w:r>
                </w:p>
              </w:tc>
              <w:tc>
                <w:tcPr>
                  <w:tcW w:w="372" w:type="pct"/>
                  <w:vAlign w:val="center"/>
                </w:tcPr>
                <w:p>
                  <w:pPr>
                    <w:pStyle w:val="169"/>
                  </w:pPr>
                  <w:r>
                    <w:t>0.3</w:t>
                  </w:r>
                </w:p>
              </w:tc>
              <w:tc>
                <w:tcPr>
                  <w:tcW w:w="610" w:type="pct"/>
                  <w:vAlign w:val="center"/>
                </w:tcPr>
                <w:p>
                  <w:pPr>
                    <w:pStyle w:val="169"/>
                  </w:pPr>
                  <w: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溶解氧</w:t>
                  </w:r>
                </w:p>
              </w:tc>
              <w:tc>
                <w:tcPr>
                  <w:tcW w:w="628" w:type="pct"/>
                  <w:noWrap/>
                  <w:vAlign w:val="center"/>
                </w:tcPr>
                <w:p>
                  <w:pPr>
                    <w:pStyle w:val="169"/>
                  </w:pPr>
                  <w:r>
                    <w:t>mg/L</w:t>
                  </w:r>
                </w:p>
              </w:tc>
              <w:tc>
                <w:tcPr>
                  <w:tcW w:w="829" w:type="pct"/>
                  <w:noWrap/>
                  <w:vAlign w:val="center"/>
                </w:tcPr>
                <w:p>
                  <w:pPr>
                    <w:pStyle w:val="169"/>
                  </w:pPr>
                  <w:r>
                    <w:t>6.8</w:t>
                  </w:r>
                </w:p>
              </w:tc>
              <w:tc>
                <w:tcPr>
                  <w:tcW w:w="906" w:type="pct"/>
                  <w:noWrap/>
                  <w:vAlign w:val="center"/>
                </w:tcPr>
                <w:p>
                  <w:pPr>
                    <w:pStyle w:val="169"/>
                  </w:pPr>
                  <w:r>
                    <w:t>7.4</w:t>
                  </w:r>
                </w:p>
              </w:tc>
              <w:tc>
                <w:tcPr>
                  <w:tcW w:w="372" w:type="pct"/>
                  <w:vAlign w:val="center"/>
                </w:tcPr>
                <w:p>
                  <w:pPr>
                    <w:pStyle w:val="169"/>
                  </w:pPr>
                  <w:r>
                    <w:t>0.60</w:t>
                  </w:r>
                </w:p>
              </w:tc>
              <w:tc>
                <w:tcPr>
                  <w:tcW w:w="610" w:type="pct"/>
                  <w:vAlign w:val="center"/>
                </w:tcPr>
                <w:p>
                  <w:pPr>
                    <w:pStyle w:val="169"/>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化学需氧量</w:t>
                  </w:r>
                </w:p>
              </w:tc>
              <w:tc>
                <w:tcPr>
                  <w:tcW w:w="628" w:type="pct"/>
                  <w:noWrap/>
                  <w:vAlign w:val="center"/>
                </w:tcPr>
                <w:p>
                  <w:pPr>
                    <w:pStyle w:val="169"/>
                  </w:pPr>
                  <w:r>
                    <w:t>mg/L</w:t>
                  </w:r>
                </w:p>
              </w:tc>
              <w:tc>
                <w:tcPr>
                  <w:tcW w:w="829" w:type="pct"/>
                  <w:noWrap/>
                  <w:vAlign w:val="center"/>
                </w:tcPr>
                <w:p>
                  <w:pPr>
                    <w:pStyle w:val="169"/>
                  </w:pPr>
                  <w:r>
                    <w:t>9</w:t>
                  </w:r>
                </w:p>
              </w:tc>
              <w:tc>
                <w:tcPr>
                  <w:tcW w:w="906" w:type="pct"/>
                  <w:noWrap/>
                  <w:vAlign w:val="center"/>
                </w:tcPr>
                <w:p>
                  <w:pPr>
                    <w:pStyle w:val="169"/>
                  </w:pPr>
                  <w:r>
                    <w:t>12</w:t>
                  </w:r>
                </w:p>
              </w:tc>
              <w:tc>
                <w:tcPr>
                  <w:tcW w:w="372" w:type="pct"/>
                  <w:vAlign w:val="center"/>
                </w:tcPr>
                <w:p>
                  <w:pPr>
                    <w:pStyle w:val="169"/>
                  </w:pPr>
                  <w:r>
                    <w:t>0.4</w:t>
                  </w:r>
                </w:p>
              </w:tc>
              <w:tc>
                <w:tcPr>
                  <w:tcW w:w="610" w:type="pct"/>
                  <w:vAlign w:val="center"/>
                </w:tcPr>
                <w:p>
                  <w:pPr>
                    <w:pStyle w:val="169"/>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五日生化需氧量</w:t>
                  </w:r>
                </w:p>
              </w:tc>
              <w:tc>
                <w:tcPr>
                  <w:tcW w:w="628" w:type="pct"/>
                  <w:noWrap/>
                  <w:vAlign w:val="center"/>
                </w:tcPr>
                <w:p>
                  <w:pPr>
                    <w:pStyle w:val="169"/>
                  </w:pPr>
                  <w:r>
                    <w:t>mg/L</w:t>
                  </w:r>
                </w:p>
              </w:tc>
              <w:tc>
                <w:tcPr>
                  <w:tcW w:w="829" w:type="pct"/>
                  <w:noWrap/>
                  <w:vAlign w:val="center"/>
                </w:tcPr>
                <w:p>
                  <w:pPr>
                    <w:pStyle w:val="169"/>
                  </w:pPr>
                  <w:r>
                    <w:t>1.5</w:t>
                  </w:r>
                </w:p>
              </w:tc>
              <w:tc>
                <w:tcPr>
                  <w:tcW w:w="906" w:type="pct"/>
                  <w:noWrap/>
                  <w:vAlign w:val="center"/>
                </w:tcPr>
                <w:p>
                  <w:pPr>
                    <w:pStyle w:val="169"/>
                  </w:pPr>
                  <w:r>
                    <w:t>1.</w:t>
                  </w:r>
                  <w:r>
                    <w:rPr>
                      <w:rFonts w:hint="eastAsia"/>
                    </w:rPr>
                    <w:t>5</w:t>
                  </w:r>
                </w:p>
              </w:tc>
              <w:tc>
                <w:tcPr>
                  <w:tcW w:w="372" w:type="pct"/>
                  <w:vAlign w:val="center"/>
                </w:tcPr>
                <w:p>
                  <w:pPr>
                    <w:pStyle w:val="169"/>
                  </w:pPr>
                  <w:r>
                    <w:t>0.25</w:t>
                  </w:r>
                </w:p>
              </w:tc>
              <w:tc>
                <w:tcPr>
                  <w:tcW w:w="610" w:type="pct"/>
                  <w:vAlign w:val="center"/>
                </w:tcPr>
                <w:p>
                  <w:pPr>
                    <w:pStyle w:val="169"/>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氨氮</w:t>
                  </w:r>
                </w:p>
              </w:tc>
              <w:tc>
                <w:tcPr>
                  <w:tcW w:w="628" w:type="pct"/>
                  <w:noWrap/>
                  <w:vAlign w:val="center"/>
                </w:tcPr>
                <w:p>
                  <w:pPr>
                    <w:pStyle w:val="169"/>
                  </w:pPr>
                  <w:r>
                    <w:t>mg/L</w:t>
                  </w:r>
                </w:p>
              </w:tc>
              <w:tc>
                <w:tcPr>
                  <w:tcW w:w="829" w:type="pct"/>
                  <w:noWrap/>
                  <w:vAlign w:val="center"/>
                </w:tcPr>
                <w:p>
                  <w:pPr>
                    <w:pStyle w:val="169"/>
                  </w:pPr>
                  <w:r>
                    <w:t>0.6</w:t>
                  </w:r>
                  <w:r>
                    <w:rPr>
                      <w:rFonts w:hint="eastAsia"/>
                    </w:rPr>
                    <w:t>96</w:t>
                  </w:r>
                </w:p>
              </w:tc>
              <w:tc>
                <w:tcPr>
                  <w:tcW w:w="906" w:type="pct"/>
                  <w:noWrap/>
                  <w:vAlign w:val="center"/>
                </w:tcPr>
                <w:p>
                  <w:pPr>
                    <w:pStyle w:val="169"/>
                  </w:pPr>
                  <w:r>
                    <w:t>0.3</w:t>
                  </w:r>
                  <w:r>
                    <w:rPr>
                      <w:rFonts w:hint="eastAsia"/>
                    </w:rPr>
                    <w:t>89</w:t>
                  </w:r>
                </w:p>
              </w:tc>
              <w:tc>
                <w:tcPr>
                  <w:tcW w:w="372" w:type="pct"/>
                  <w:vAlign w:val="center"/>
                </w:tcPr>
                <w:p>
                  <w:pPr>
                    <w:pStyle w:val="169"/>
                  </w:pPr>
                  <w:r>
                    <w:t>0.26</w:t>
                  </w:r>
                </w:p>
              </w:tc>
              <w:tc>
                <w:tcPr>
                  <w:tcW w:w="610" w:type="pct"/>
                  <w:vAlign w:val="center"/>
                </w:tcPr>
                <w:p>
                  <w:pPr>
                    <w:pStyle w:val="169"/>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总磷</w:t>
                  </w:r>
                </w:p>
              </w:tc>
              <w:tc>
                <w:tcPr>
                  <w:tcW w:w="628" w:type="pct"/>
                  <w:noWrap/>
                  <w:vAlign w:val="center"/>
                </w:tcPr>
                <w:p>
                  <w:pPr>
                    <w:pStyle w:val="169"/>
                  </w:pPr>
                  <w:r>
                    <w:t>mg/L</w:t>
                  </w:r>
                </w:p>
              </w:tc>
              <w:tc>
                <w:tcPr>
                  <w:tcW w:w="829" w:type="pct"/>
                  <w:noWrap/>
                  <w:vAlign w:val="center"/>
                </w:tcPr>
                <w:p>
                  <w:pPr>
                    <w:pStyle w:val="169"/>
                  </w:pPr>
                  <w:r>
                    <w:t>0.</w:t>
                  </w:r>
                  <w:r>
                    <w:rPr>
                      <w:rFonts w:hint="eastAsia"/>
                    </w:rPr>
                    <w:t>11</w:t>
                  </w:r>
                </w:p>
              </w:tc>
              <w:tc>
                <w:tcPr>
                  <w:tcW w:w="906" w:type="pct"/>
                  <w:noWrap/>
                  <w:vAlign w:val="center"/>
                </w:tcPr>
                <w:p>
                  <w:pPr>
                    <w:pStyle w:val="169"/>
                  </w:pPr>
                  <w:r>
                    <w:t>0.02</w:t>
                  </w:r>
                </w:p>
              </w:tc>
              <w:tc>
                <w:tcPr>
                  <w:tcW w:w="372" w:type="pct"/>
                  <w:vAlign w:val="center"/>
                </w:tcPr>
                <w:p>
                  <w:pPr>
                    <w:pStyle w:val="169"/>
                  </w:pPr>
                  <w:r>
                    <w:t>0.07</w:t>
                  </w:r>
                </w:p>
              </w:tc>
              <w:tc>
                <w:tcPr>
                  <w:tcW w:w="610" w:type="pct"/>
                  <w:vAlign w:val="center"/>
                </w:tcPr>
                <w:p>
                  <w:pPr>
                    <w:pStyle w:val="169"/>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石油类</w:t>
                  </w:r>
                </w:p>
              </w:tc>
              <w:tc>
                <w:tcPr>
                  <w:tcW w:w="628" w:type="pct"/>
                  <w:noWrap/>
                  <w:vAlign w:val="center"/>
                </w:tcPr>
                <w:p>
                  <w:pPr>
                    <w:pStyle w:val="169"/>
                  </w:pPr>
                  <w:r>
                    <w:t>mg/L</w:t>
                  </w:r>
                </w:p>
              </w:tc>
              <w:tc>
                <w:tcPr>
                  <w:tcW w:w="829" w:type="pct"/>
                  <w:noWrap/>
                  <w:vAlign w:val="center"/>
                </w:tcPr>
                <w:p>
                  <w:pPr>
                    <w:pStyle w:val="169"/>
                  </w:pPr>
                  <w:r>
                    <w:t>0.01L</w:t>
                  </w:r>
                </w:p>
              </w:tc>
              <w:tc>
                <w:tcPr>
                  <w:tcW w:w="906" w:type="pct"/>
                  <w:noWrap/>
                  <w:vAlign w:val="center"/>
                </w:tcPr>
                <w:p>
                  <w:pPr>
                    <w:pStyle w:val="169"/>
                  </w:pPr>
                  <w:r>
                    <w:t>0.01L</w:t>
                  </w:r>
                </w:p>
              </w:tc>
              <w:tc>
                <w:tcPr>
                  <w:tcW w:w="372" w:type="pct"/>
                  <w:vAlign w:val="center"/>
                </w:tcPr>
                <w:p>
                  <w:pPr>
                    <w:pStyle w:val="169"/>
                  </w:pPr>
                  <w:r>
                    <w:t>/</w:t>
                  </w:r>
                </w:p>
              </w:tc>
              <w:tc>
                <w:tcPr>
                  <w:tcW w:w="610" w:type="pct"/>
                  <w:vAlign w:val="center"/>
                </w:tcPr>
                <w:p>
                  <w:pPr>
                    <w:pStyle w:val="169"/>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阴离子表面活性剂</w:t>
                  </w:r>
                </w:p>
              </w:tc>
              <w:tc>
                <w:tcPr>
                  <w:tcW w:w="628" w:type="pct"/>
                  <w:noWrap/>
                  <w:vAlign w:val="center"/>
                </w:tcPr>
                <w:p>
                  <w:pPr>
                    <w:pStyle w:val="169"/>
                  </w:pPr>
                  <w:r>
                    <w:t>mg/L</w:t>
                  </w:r>
                </w:p>
              </w:tc>
              <w:tc>
                <w:tcPr>
                  <w:tcW w:w="829" w:type="pct"/>
                  <w:noWrap/>
                  <w:vAlign w:val="center"/>
                </w:tcPr>
                <w:p>
                  <w:pPr>
                    <w:pStyle w:val="169"/>
                  </w:pPr>
                  <w:r>
                    <w:t>0.05L</w:t>
                  </w:r>
                </w:p>
              </w:tc>
              <w:tc>
                <w:tcPr>
                  <w:tcW w:w="906" w:type="pct"/>
                  <w:noWrap/>
                  <w:vAlign w:val="center"/>
                </w:tcPr>
                <w:p>
                  <w:pPr>
                    <w:pStyle w:val="169"/>
                  </w:pPr>
                  <w:r>
                    <w:t>0.05L</w:t>
                  </w:r>
                </w:p>
              </w:tc>
              <w:tc>
                <w:tcPr>
                  <w:tcW w:w="372" w:type="pct"/>
                  <w:vAlign w:val="center"/>
                </w:tcPr>
                <w:p>
                  <w:pPr>
                    <w:pStyle w:val="169"/>
                  </w:pPr>
                  <w:r>
                    <w:t>/</w:t>
                  </w:r>
                </w:p>
              </w:tc>
              <w:tc>
                <w:tcPr>
                  <w:tcW w:w="610" w:type="pct"/>
                  <w:vAlign w:val="center"/>
                </w:tcPr>
                <w:p>
                  <w:pPr>
                    <w:pStyle w:val="169"/>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粪大肠菌群</w:t>
                  </w:r>
                </w:p>
              </w:tc>
              <w:tc>
                <w:tcPr>
                  <w:tcW w:w="628" w:type="pct"/>
                  <w:noWrap/>
                  <w:vAlign w:val="center"/>
                </w:tcPr>
                <w:p>
                  <w:pPr>
                    <w:pStyle w:val="169"/>
                  </w:pPr>
                  <w:r>
                    <w:t>mg/L</w:t>
                  </w:r>
                </w:p>
              </w:tc>
              <w:tc>
                <w:tcPr>
                  <w:tcW w:w="829" w:type="pct"/>
                  <w:noWrap/>
                  <w:vAlign w:val="center"/>
                </w:tcPr>
                <w:p>
                  <w:pPr>
                    <w:pStyle w:val="169"/>
                  </w:pPr>
                  <w:r>
                    <w:rPr>
                      <w:rFonts w:hint="eastAsia"/>
                    </w:rPr>
                    <w:t>8.4</w:t>
                  </w:r>
                  <w:r>
                    <w:t>×10</w:t>
                  </w:r>
                  <w:r>
                    <w:rPr>
                      <w:vertAlign w:val="superscript"/>
                    </w:rPr>
                    <w:t>3</w:t>
                  </w:r>
                </w:p>
              </w:tc>
              <w:tc>
                <w:tcPr>
                  <w:tcW w:w="906" w:type="pct"/>
                  <w:noWrap/>
                  <w:vAlign w:val="center"/>
                </w:tcPr>
                <w:p>
                  <w:pPr>
                    <w:pStyle w:val="169"/>
                  </w:pPr>
                  <w:r>
                    <w:rPr>
                      <w:rFonts w:hint="eastAsia"/>
                    </w:rPr>
                    <w:t>6.3</w:t>
                  </w:r>
                  <w:r>
                    <w:t>×10</w:t>
                  </w:r>
                  <w:r>
                    <w:rPr>
                      <w:vertAlign w:val="superscript"/>
                    </w:rPr>
                    <w:t>3</w:t>
                  </w:r>
                </w:p>
              </w:tc>
              <w:tc>
                <w:tcPr>
                  <w:tcW w:w="372" w:type="pct"/>
                  <w:vAlign w:val="center"/>
                </w:tcPr>
                <w:p>
                  <w:pPr>
                    <w:pStyle w:val="169"/>
                  </w:pPr>
                  <w:r>
                    <w:t>0.32</w:t>
                  </w:r>
                </w:p>
              </w:tc>
              <w:tc>
                <w:tcPr>
                  <w:tcW w:w="610" w:type="pct"/>
                  <w:vAlign w:val="center"/>
                </w:tcPr>
                <w:p>
                  <w:pPr>
                    <w:pStyle w:val="169"/>
                  </w:pPr>
                  <w:r>
                    <w:t>20000个/L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氰化物</w:t>
                  </w:r>
                </w:p>
              </w:tc>
              <w:tc>
                <w:tcPr>
                  <w:tcW w:w="628" w:type="pct"/>
                  <w:noWrap/>
                  <w:vAlign w:val="center"/>
                </w:tcPr>
                <w:p>
                  <w:pPr>
                    <w:pStyle w:val="169"/>
                  </w:pPr>
                  <w:r>
                    <w:rPr>
                      <w:rFonts w:hint="eastAsia"/>
                    </w:rPr>
                    <w:t>个</w:t>
                  </w:r>
                  <w:r>
                    <w:t>/L</w:t>
                  </w:r>
                </w:p>
              </w:tc>
              <w:tc>
                <w:tcPr>
                  <w:tcW w:w="829" w:type="pct"/>
                  <w:noWrap/>
                  <w:vAlign w:val="center"/>
                </w:tcPr>
                <w:p>
                  <w:pPr>
                    <w:pStyle w:val="169"/>
                  </w:pPr>
                  <w:r>
                    <w:t>0.001L</w:t>
                  </w:r>
                </w:p>
              </w:tc>
              <w:tc>
                <w:tcPr>
                  <w:tcW w:w="906" w:type="pct"/>
                  <w:noWrap/>
                  <w:vAlign w:val="center"/>
                </w:tcPr>
                <w:p>
                  <w:pPr>
                    <w:pStyle w:val="169"/>
                  </w:pPr>
                  <w:r>
                    <w:t>0.001L</w:t>
                  </w:r>
                </w:p>
              </w:tc>
              <w:tc>
                <w:tcPr>
                  <w:tcW w:w="372" w:type="pct"/>
                  <w:vAlign w:val="center"/>
                </w:tcPr>
                <w:p>
                  <w:pPr>
                    <w:pStyle w:val="169"/>
                  </w:pPr>
                  <w:r>
                    <w:t>/</w:t>
                  </w:r>
                </w:p>
              </w:tc>
              <w:tc>
                <w:tcPr>
                  <w:tcW w:w="610" w:type="pct"/>
                  <w:vAlign w:val="center"/>
                </w:tcPr>
                <w:p>
                  <w:pPr>
                    <w:pStyle w:val="169"/>
                  </w:pP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铅</w:t>
                  </w:r>
                </w:p>
              </w:tc>
              <w:tc>
                <w:tcPr>
                  <w:tcW w:w="628" w:type="pct"/>
                  <w:noWrap/>
                  <w:vAlign w:val="center"/>
                </w:tcPr>
                <w:p>
                  <w:pPr>
                    <w:pStyle w:val="169"/>
                  </w:pPr>
                  <w:r>
                    <w:t>mg/L</w:t>
                  </w:r>
                </w:p>
              </w:tc>
              <w:tc>
                <w:tcPr>
                  <w:tcW w:w="829" w:type="pct"/>
                  <w:noWrap/>
                  <w:vAlign w:val="center"/>
                </w:tcPr>
                <w:p>
                  <w:pPr>
                    <w:pStyle w:val="169"/>
                  </w:pPr>
                  <w:r>
                    <w:t>2.5×10</w:t>
                  </w:r>
                  <w:r>
                    <w:rPr>
                      <w:vertAlign w:val="superscript"/>
                    </w:rPr>
                    <w:t>-3</w:t>
                  </w:r>
                  <w:r>
                    <w:t>L</w:t>
                  </w:r>
                </w:p>
              </w:tc>
              <w:tc>
                <w:tcPr>
                  <w:tcW w:w="906" w:type="pct"/>
                  <w:noWrap/>
                  <w:vAlign w:val="center"/>
                </w:tcPr>
                <w:p>
                  <w:pPr>
                    <w:pStyle w:val="169"/>
                  </w:pPr>
                  <w:r>
                    <w:t>2.5×10</w:t>
                  </w:r>
                  <w:r>
                    <w:rPr>
                      <w:vertAlign w:val="superscript"/>
                    </w:rPr>
                    <w:t>-3</w:t>
                  </w:r>
                  <w:r>
                    <w:t>L</w:t>
                  </w:r>
                </w:p>
              </w:tc>
              <w:tc>
                <w:tcPr>
                  <w:tcW w:w="372" w:type="pct"/>
                  <w:vAlign w:val="center"/>
                </w:tcPr>
                <w:p>
                  <w:pPr>
                    <w:pStyle w:val="169"/>
                  </w:pPr>
                  <w:r>
                    <w:t>/</w:t>
                  </w:r>
                </w:p>
              </w:tc>
              <w:tc>
                <w:tcPr>
                  <w:tcW w:w="610" w:type="pct"/>
                  <w:vAlign w:val="center"/>
                </w:tcPr>
                <w:p>
                  <w:pPr>
                    <w:pStyle w:val="169"/>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镍</w:t>
                  </w:r>
                </w:p>
              </w:tc>
              <w:tc>
                <w:tcPr>
                  <w:tcW w:w="628" w:type="pct"/>
                  <w:noWrap/>
                  <w:vAlign w:val="center"/>
                </w:tcPr>
                <w:p>
                  <w:pPr>
                    <w:pStyle w:val="169"/>
                  </w:pPr>
                  <w:r>
                    <w:t>mg/L</w:t>
                  </w:r>
                </w:p>
              </w:tc>
              <w:tc>
                <w:tcPr>
                  <w:tcW w:w="829" w:type="pct"/>
                  <w:noWrap/>
                  <w:vAlign w:val="center"/>
                </w:tcPr>
                <w:p>
                  <w:pPr>
                    <w:pStyle w:val="169"/>
                  </w:pPr>
                  <w:r>
                    <w:t>5×10</w:t>
                  </w:r>
                  <w:r>
                    <w:rPr>
                      <w:vertAlign w:val="superscript"/>
                    </w:rPr>
                    <w:t>-3</w:t>
                  </w:r>
                  <w:r>
                    <w:t>L</w:t>
                  </w:r>
                </w:p>
              </w:tc>
              <w:tc>
                <w:tcPr>
                  <w:tcW w:w="906" w:type="pct"/>
                  <w:noWrap/>
                  <w:vAlign w:val="center"/>
                </w:tcPr>
                <w:p>
                  <w:pPr>
                    <w:pStyle w:val="169"/>
                  </w:pPr>
                  <w:r>
                    <w:t>5×10</w:t>
                  </w:r>
                  <w:r>
                    <w:rPr>
                      <w:vertAlign w:val="superscript"/>
                    </w:rPr>
                    <w:t>-3</w:t>
                  </w:r>
                  <w:r>
                    <w:t>L</w:t>
                  </w:r>
                </w:p>
              </w:tc>
              <w:tc>
                <w:tcPr>
                  <w:tcW w:w="372" w:type="pct"/>
                  <w:vAlign w:val="center"/>
                </w:tcPr>
                <w:p>
                  <w:pPr>
                    <w:pStyle w:val="169"/>
                  </w:pPr>
                  <w:r>
                    <w:t>/</w:t>
                  </w:r>
                </w:p>
              </w:tc>
              <w:tc>
                <w:tcPr>
                  <w:tcW w:w="610" w:type="pct"/>
                  <w:vAlign w:val="center"/>
                </w:tcPr>
                <w:p>
                  <w:pPr>
                    <w:pStyle w:val="169"/>
                  </w:pPr>
                  <w: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铜</w:t>
                  </w:r>
                </w:p>
              </w:tc>
              <w:tc>
                <w:tcPr>
                  <w:tcW w:w="628" w:type="pct"/>
                  <w:noWrap/>
                  <w:vAlign w:val="center"/>
                </w:tcPr>
                <w:p>
                  <w:pPr>
                    <w:pStyle w:val="169"/>
                  </w:pPr>
                  <w:r>
                    <w:t>mg/L</w:t>
                  </w:r>
                </w:p>
              </w:tc>
              <w:tc>
                <w:tcPr>
                  <w:tcW w:w="829" w:type="pct"/>
                  <w:noWrap/>
                  <w:vAlign w:val="center"/>
                </w:tcPr>
                <w:p>
                  <w:pPr>
                    <w:pStyle w:val="169"/>
                  </w:pPr>
                  <w:r>
                    <w:t>0.02L</w:t>
                  </w:r>
                </w:p>
              </w:tc>
              <w:tc>
                <w:tcPr>
                  <w:tcW w:w="906" w:type="pct"/>
                  <w:noWrap/>
                  <w:vAlign w:val="center"/>
                </w:tcPr>
                <w:p>
                  <w:pPr>
                    <w:pStyle w:val="169"/>
                  </w:pPr>
                  <w:r>
                    <w:t>0.02L</w:t>
                  </w:r>
                </w:p>
              </w:tc>
              <w:tc>
                <w:tcPr>
                  <w:tcW w:w="372" w:type="pct"/>
                  <w:vAlign w:val="center"/>
                </w:tcPr>
                <w:p>
                  <w:pPr>
                    <w:pStyle w:val="169"/>
                  </w:pPr>
                  <w:r>
                    <w:t>/</w:t>
                  </w:r>
                </w:p>
              </w:tc>
              <w:tc>
                <w:tcPr>
                  <w:tcW w:w="610" w:type="pct"/>
                  <w:vAlign w:val="center"/>
                </w:tcPr>
                <w:p>
                  <w:pPr>
                    <w:pStyle w:val="169"/>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锌</w:t>
                  </w:r>
                </w:p>
              </w:tc>
              <w:tc>
                <w:tcPr>
                  <w:tcW w:w="628" w:type="pct"/>
                  <w:noWrap/>
                  <w:vAlign w:val="center"/>
                </w:tcPr>
                <w:p>
                  <w:pPr>
                    <w:pStyle w:val="169"/>
                  </w:pPr>
                  <w:r>
                    <w:t>mg/L</w:t>
                  </w:r>
                </w:p>
              </w:tc>
              <w:tc>
                <w:tcPr>
                  <w:tcW w:w="829" w:type="pct"/>
                  <w:noWrap/>
                  <w:vAlign w:val="center"/>
                </w:tcPr>
                <w:p>
                  <w:pPr>
                    <w:pStyle w:val="169"/>
                  </w:pPr>
                  <w:r>
                    <w:t>0.02L</w:t>
                  </w:r>
                </w:p>
              </w:tc>
              <w:tc>
                <w:tcPr>
                  <w:tcW w:w="906" w:type="pct"/>
                  <w:noWrap/>
                  <w:vAlign w:val="center"/>
                </w:tcPr>
                <w:p>
                  <w:pPr>
                    <w:pStyle w:val="169"/>
                  </w:pPr>
                  <w:r>
                    <w:t>0.02L</w:t>
                  </w:r>
                </w:p>
              </w:tc>
              <w:tc>
                <w:tcPr>
                  <w:tcW w:w="372" w:type="pct"/>
                  <w:vAlign w:val="center"/>
                </w:tcPr>
                <w:p>
                  <w:pPr>
                    <w:pStyle w:val="169"/>
                  </w:pPr>
                  <w:r>
                    <w:t>/</w:t>
                  </w:r>
                </w:p>
              </w:tc>
              <w:tc>
                <w:tcPr>
                  <w:tcW w:w="610" w:type="pct"/>
                  <w:vAlign w:val="center"/>
                </w:tcPr>
                <w:p>
                  <w:pPr>
                    <w:pStyle w:val="169"/>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4" w:hRule="atLeast"/>
                <w:jc w:val="center"/>
              </w:trPr>
              <w:tc>
                <w:tcPr>
                  <w:tcW w:w="1655" w:type="pct"/>
                  <w:noWrap/>
                  <w:vAlign w:val="center"/>
                </w:tcPr>
                <w:p>
                  <w:pPr>
                    <w:pStyle w:val="169"/>
                  </w:pPr>
                  <w:r>
                    <w:t>硫化物</w:t>
                  </w:r>
                </w:p>
              </w:tc>
              <w:tc>
                <w:tcPr>
                  <w:tcW w:w="628" w:type="pct"/>
                  <w:noWrap/>
                  <w:vAlign w:val="center"/>
                </w:tcPr>
                <w:p>
                  <w:pPr>
                    <w:pStyle w:val="169"/>
                  </w:pPr>
                  <w:r>
                    <w:t>mg/L</w:t>
                  </w:r>
                </w:p>
              </w:tc>
              <w:tc>
                <w:tcPr>
                  <w:tcW w:w="829" w:type="pct"/>
                  <w:noWrap/>
                  <w:vAlign w:val="center"/>
                </w:tcPr>
                <w:p>
                  <w:pPr>
                    <w:pStyle w:val="169"/>
                  </w:pPr>
                  <w:r>
                    <w:t>0.01L</w:t>
                  </w:r>
                </w:p>
              </w:tc>
              <w:tc>
                <w:tcPr>
                  <w:tcW w:w="906" w:type="pct"/>
                  <w:noWrap/>
                  <w:vAlign w:val="center"/>
                </w:tcPr>
                <w:p>
                  <w:pPr>
                    <w:pStyle w:val="169"/>
                  </w:pPr>
                  <w:r>
                    <w:t>0.01L</w:t>
                  </w:r>
                </w:p>
              </w:tc>
              <w:tc>
                <w:tcPr>
                  <w:tcW w:w="372" w:type="pct"/>
                  <w:vAlign w:val="center"/>
                </w:tcPr>
                <w:p>
                  <w:pPr>
                    <w:pStyle w:val="169"/>
                  </w:pPr>
                  <w:r>
                    <w:t>/</w:t>
                  </w:r>
                </w:p>
              </w:tc>
              <w:tc>
                <w:tcPr>
                  <w:tcW w:w="610" w:type="pct"/>
                  <w:vAlign w:val="center"/>
                </w:tcPr>
                <w:p>
                  <w:pPr>
                    <w:pStyle w:val="169"/>
                  </w:pPr>
                  <w:r>
                    <w:t>0.5</w:t>
                  </w:r>
                </w:p>
              </w:tc>
            </w:tr>
          </w:tbl>
          <w:p>
            <w:pPr>
              <w:pStyle w:val="203"/>
              <w:spacing w:line="440" w:lineRule="exact"/>
              <w:ind w:firstLine="480"/>
              <w:rPr>
                <w:sz w:val="24"/>
                <w:szCs w:val="24"/>
              </w:rPr>
            </w:pPr>
          </w:p>
          <w:p>
            <w:pPr>
              <w:pStyle w:val="203"/>
              <w:spacing w:line="360" w:lineRule="auto"/>
              <w:ind w:firstLine="480"/>
              <w:rPr>
                <w:sz w:val="24"/>
                <w:szCs w:val="24"/>
              </w:rPr>
            </w:pPr>
            <w:r>
              <w:rPr>
                <w:rFonts w:hint="eastAsia"/>
                <w:bCs/>
                <w:sz w:val="24"/>
                <w:szCs w:val="24"/>
              </w:rPr>
              <w:t>由上表可知</w:t>
            </w:r>
            <w:r>
              <w:rPr>
                <w:bCs/>
                <w:sz w:val="24"/>
                <w:szCs w:val="24"/>
              </w:rPr>
              <w:t>，苦水河水环境质量可满足</w:t>
            </w:r>
            <w:r>
              <w:rPr>
                <w:rFonts w:hint="eastAsia" w:ascii="宋体" w:hAnsi="宋体" w:cs="宋体"/>
                <w:bCs/>
                <w:sz w:val="24"/>
                <w:szCs w:val="24"/>
              </w:rPr>
              <w:t>Ⅳ</w:t>
            </w:r>
            <w:r>
              <w:rPr>
                <w:bCs/>
                <w:sz w:val="24"/>
                <w:szCs w:val="24"/>
              </w:rPr>
              <w:t>类水质标准限值要求；新胜溪无水域功能。</w:t>
            </w:r>
            <w:r>
              <w:rPr>
                <w:sz w:val="24"/>
                <w:szCs w:val="24"/>
              </w:rPr>
              <w:t>由此说明项目区域水体能满足《地表水环境质量标准》（GB3838-2002）</w:t>
            </w:r>
            <w:r>
              <w:rPr>
                <w:rFonts w:hint="eastAsia" w:ascii="宋体" w:hAnsi="宋体" w:cs="宋体"/>
                <w:bCs/>
                <w:sz w:val="24"/>
                <w:szCs w:val="24"/>
              </w:rPr>
              <w:t>Ⅳ</w:t>
            </w:r>
            <w:r>
              <w:rPr>
                <w:sz w:val="24"/>
                <w:szCs w:val="24"/>
              </w:rPr>
              <w:t>类水域标准</w:t>
            </w:r>
            <w:r>
              <w:rPr>
                <w:bCs/>
                <w:sz w:val="24"/>
                <w:szCs w:val="24"/>
              </w:rPr>
              <w:t>。</w:t>
            </w:r>
          </w:p>
          <w:p>
            <w:pPr>
              <w:pStyle w:val="5"/>
              <w:numPr>
                <w:ilvl w:val="0"/>
                <w:numId w:val="0"/>
              </w:numPr>
            </w:pPr>
            <w:r>
              <w:rPr>
                <w:rFonts w:hint="eastAsia"/>
              </w:rPr>
              <w:t>3.3声环境质量现状</w:t>
            </w:r>
          </w:p>
          <w:p>
            <w:r>
              <w:rPr>
                <w:rFonts w:hint="eastAsia"/>
              </w:rPr>
              <w:t>拟建项目位于</w:t>
            </w:r>
            <w:r>
              <w:rPr>
                <w:rFonts w:hint="eastAsia"/>
                <w:bCs/>
              </w:rPr>
              <w:t>大足高新区邮亭组团</w:t>
            </w:r>
            <w:r>
              <w:rPr>
                <w:rFonts w:hint="eastAsia"/>
              </w:rPr>
              <w:t>，厂界外50m范围内无声环境保护目标，根据《建设项目环境影响报告表编制技术指南（污染影响类）（试行）》，本次评价不对声环境质量进行监测评价。</w:t>
            </w:r>
          </w:p>
          <w:p>
            <w:pPr>
              <w:pStyle w:val="5"/>
              <w:numPr>
                <w:ilvl w:val="0"/>
                <w:numId w:val="0"/>
              </w:numPr>
            </w:pPr>
            <w:r>
              <w:rPr>
                <w:rFonts w:hint="eastAsia"/>
              </w:rPr>
              <w:t>3.4地下水环境质量现状</w:t>
            </w:r>
          </w:p>
          <w:p>
            <w:r>
              <w:rPr>
                <w:rFonts w:hint="eastAsia"/>
              </w:rPr>
              <w:t>本次评价引用《</w:t>
            </w:r>
            <w:r>
              <w:rPr>
                <w:rFonts w:hint="eastAsia"/>
                <w:bCs/>
              </w:rPr>
              <w:t>大足高新区邮亭组团</w:t>
            </w:r>
            <w:r>
              <w:rPr>
                <w:rFonts w:hint="eastAsia"/>
              </w:rPr>
              <w:t>规划环境影响报告书》中的地下水现状监测数据。</w:t>
            </w:r>
          </w:p>
          <w:p>
            <w:r>
              <w:rPr>
                <w:rFonts w:hint="eastAsia"/>
              </w:rPr>
              <w:t>（1）监测点位</w:t>
            </w:r>
          </w:p>
          <w:p>
            <w:r>
              <w:rPr>
                <w:rFonts w:hint="eastAsia"/>
              </w:rPr>
              <w:t>在</w:t>
            </w:r>
            <w:r>
              <w:rPr>
                <w:rFonts w:hint="eastAsia"/>
                <w:bCs/>
              </w:rPr>
              <w:t>大足高新区邮亭组团</w:t>
            </w:r>
            <w:r>
              <w:rPr>
                <w:rFonts w:hint="eastAsia"/>
              </w:rPr>
              <w:t>设置5个地下水监测点，D2~D3、D6、D7~D8。</w:t>
            </w:r>
          </w:p>
          <w:p>
            <w:pPr>
              <w:pStyle w:val="196"/>
              <w:snapToGrid w:val="0"/>
              <w:spacing w:line="360" w:lineRule="auto"/>
              <w:ind w:firstLine="480" w:firstLineChars="200"/>
              <w:rPr>
                <w:rFonts w:hAnsi="宋体" w:eastAsia="宋体"/>
              </w:rPr>
            </w:pPr>
            <w:r>
              <w:rPr>
                <w:rFonts w:hint="eastAsia" w:hAnsi="宋体" w:eastAsia="宋体"/>
              </w:rPr>
              <w:t>（2）监测时间及频率</w:t>
            </w:r>
          </w:p>
          <w:p>
            <w:pPr>
              <w:pStyle w:val="196"/>
              <w:snapToGrid w:val="0"/>
              <w:spacing w:line="360" w:lineRule="auto"/>
              <w:ind w:firstLine="480" w:firstLineChars="200"/>
              <w:rPr>
                <w:rFonts w:hAnsi="宋体" w:eastAsia="宋体"/>
              </w:rPr>
            </w:pPr>
            <w:r>
              <w:rPr>
                <w:rFonts w:hint="eastAsia" w:hAnsi="宋体" w:eastAsia="宋体"/>
              </w:rPr>
              <w:t>监测时间：</w:t>
            </w:r>
            <w:r>
              <w:rPr>
                <w:rFonts w:hAnsi="宋体" w:eastAsia="宋体"/>
              </w:rPr>
              <w:t>20</w:t>
            </w:r>
            <w:r>
              <w:rPr>
                <w:rFonts w:hint="eastAsia" w:hAnsi="宋体" w:eastAsia="宋体"/>
              </w:rPr>
              <w:t>22</w:t>
            </w:r>
            <w:r>
              <w:rPr>
                <w:rFonts w:hAnsi="宋体" w:eastAsia="宋体"/>
              </w:rPr>
              <w:t>年</w:t>
            </w:r>
            <w:r>
              <w:rPr>
                <w:rFonts w:hint="eastAsia" w:hAnsi="宋体" w:eastAsia="宋体"/>
              </w:rPr>
              <w:t>3</w:t>
            </w:r>
            <w:r>
              <w:rPr>
                <w:rFonts w:hAnsi="宋体" w:eastAsia="宋体"/>
              </w:rPr>
              <w:t>月</w:t>
            </w:r>
            <w:r>
              <w:rPr>
                <w:rFonts w:hint="eastAsia" w:hAnsi="宋体" w:eastAsia="宋体"/>
              </w:rPr>
              <w:t>19</w:t>
            </w:r>
            <w:r>
              <w:rPr>
                <w:rFonts w:hAnsi="宋体" w:eastAsia="宋体"/>
              </w:rPr>
              <w:t>日</w:t>
            </w:r>
            <w:r>
              <w:rPr>
                <w:rFonts w:hint="eastAsia" w:hAnsi="宋体" w:eastAsia="宋体"/>
              </w:rPr>
              <w:t>、</w:t>
            </w:r>
            <w:r>
              <w:rPr>
                <w:rFonts w:hAnsi="宋体" w:eastAsia="宋体"/>
              </w:rPr>
              <w:t>20</w:t>
            </w:r>
            <w:r>
              <w:rPr>
                <w:rFonts w:hint="eastAsia" w:hAnsi="宋体" w:eastAsia="宋体"/>
              </w:rPr>
              <w:t>22</w:t>
            </w:r>
            <w:r>
              <w:rPr>
                <w:rFonts w:hAnsi="宋体" w:eastAsia="宋体"/>
              </w:rPr>
              <w:t>年</w:t>
            </w:r>
            <w:r>
              <w:rPr>
                <w:rFonts w:hint="eastAsia" w:hAnsi="宋体" w:eastAsia="宋体"/>
              </w:rPr>
              <w:t>12</w:t>
            </w:r>
            <w:r>
              <w:rPr>
                <w:rFonts w:hAnsi="宋体" w:eastAsia="宋体"/>
              </w:rPr>
              <w:t>月</w:t>
            </w:r>
            <w:r>
              <w:rPr>
                <w:rFonts w:hint="eastAsia" w:hAnsi="宋体" w:eastAsia="宋体"/>
              </w:rPr>
              <w:t>19</w:t>
            </w:r>
            <w:r>
              <w:rPr>
                <w:rFonts w:hAnsi="宋体" w:eastAsia="宋体"/>
              </w:rPr>
              <w:t>日</w:t>
            </w:r>
            <w:r>
              <w:rPr>
                <w:rFonts w:hint="eastAsia" w:hAnsi="宋体" w:eastAsia="宋体"/>
              </w:rPr>
              <w:t>、</w:t>
            </w:r>
            <w:r>
              <w:rPr>
                <w:rFonts w:hAnsi="宋体" w:eastAsia="宋体"/>
              </w:rPr>
              <w:t>20</w:t>
            </w:r>
            <w:r>
              <w:rPr>
                <w:rFonts w:hint="eastAsia" w:hAnsi="宋体" w:eastAsia="宋体"/>
              </w:rPr>
              <w:t>23</w:t>
            </w:r>
            <w:r>
              <w:rPr>
                <w:rFonts w:hAnsi="宋体" w:eastAsia="宋体"/>
              </w:rPr>
              <w:t>年</w:t>
            </w:r>
            <w:r>
              <w:rPr>
                <w:rFonts w:hint="eastAsia" w:hAnsi="宋体" w:eastAsia="宋体"/>
              </w:rPr>
              <w:t>7</w:t>
            </w:r>
            <w:r>
              <w:rPr>
                <w:rFonts w:hAnsi="宋体" w:eastAsia="宋体"/>
              </w:rPr>
              <w:t>月</w:t>
            </w:r>
            <w:r>
              <w:rPr>
                <w:rFonts w:hint="eastAsia" w:hAnsi="宋体" w:eastAsia="宋体"/>
              </w:rPr>
              <w:t>18</w:t>
            </w:r>
            <w:r>
              <w:rPr>
                <w:rFonts w:hAnsi="宋体" w:eastAsia="宋体"/>
              </w:rPr>
              <w:t>日</w:t>
            </w:r>
          </w:p>
          <w:p>
            <w:pPr>
              <w:pStyle w:val="196"/>
              <w:snapToGrid w:val="0"/>
              <w:spacing w:line="360" w:lineRule="auto"/>
              <w:ind w:firstLine="480" w:firstLineChars="200"/>
              <w:rPr>
                <w:rFonts w:hAnsi="宋体" w:eastAsia="宋体"/>
              </w:rPr>
            </w:pPr>
            <w:r>
              <w:rPr>
                <w:rFonts w:hint="eastAsia" w:hAnsi="宋体" w:eastAsia="宋体"/>
              </w:rPr>
              <w:t>监测频率：采样1次</w:t>
            </w:r>
          </w:p>
          <w:p>
            <w:pPr>
              <w:pStyle w:val="196"/>
              <w:snapToGrid w:val="0"/>
              <w:spacing w:line="360" w:lineRule="auto"/>
              <w:ind w:firstLine="480" w:firstLineChars="200"/>
              <w:rPr>
                <w:rFonts w:hAnsi="宋体" w:eastAsia="宋体"/>
              </w:rPr>
            </w:pPr>
            <w:r>
              <w:rPr>
                <w:rFonts w:hint="eastAsia" w:hAnsi="宋体" w:eastAsia="宋体"/>
              </w:rPr>
              <w:t>（3）监测因子</w:t>
            </w:r>
          </w:p>
          <w:p>
            <w:pPr>
              <w:pStyle w:val="178"/>
              <w:ind w:firstLine="420"/>
              <w:rPr>
                <w:rFonts w:eastAsia="宋体"/>
                <w:color w:val="auto"/>
                <w:szCs w:val="21"/>
              </w:rPr>
            </w:pPr>
            <w:r>
              <w:rPr>
                <w:rFonts w:eastAsia="宋体"/>
                <w:color w:val="auto"/>
                <w:szCs w:val="21"/>
              </w:rPr>
              <w:t>表</w:t>
            </w:r>
            <w:r>
              <w:rPr>
                <w:rFonts w:hint="eastAsia" w:eastAsia="宋体"/>
                <w:color w:val="auto"/>
                <w:szCs w:val="21"/>
              </w:rPr>
              <w:t>3.4-1</w:t>
            </w:r>
            <w:r>
              <w:rPr>
                <w:rFonts w:eastAsia="宋体"/>
                <w:color w:val="auto"/>
                <w:szCs w:val="21"/>
              </w:rPr>
              <w:t xml:space="preserve">    </w:t>
            </w:r>
            <w:r>
              <w:rPr>
                <w:rFonts w:hint="eastAsia" w:eastAsia="宋体"/>
                <w:color w:val="auto"/>
                <w:szCs w:val="21"/>
              </w:rPr>
              <w:t>地下水监测点位及监测因子</w:t>
            </w:r>
          </w:p>
          <w:tbl>
            <w:tblPr>
              <w:tblStyle w:val="88"/>
              <w:tblW w:w="484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967"/>
              <w:gridCol w:w="1241"/>
              <w:gridCol w:w="53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5" w:hRule="atLeast"/>
                <w:jc w:val="center"/>
              </w:trPr>
              <w:tc>
                <w:tcPr>
                  <w:tcW w:w="416" w:type="pct"/>
                  <w:vAlign w:val="center"/>
                </w:tcPr>
                <w:p>
                  <w:pPr>
                    <w:pStyle w:val="169"/>
                  </w:pPr>
                  <w:r>
                    <w:t>点位</w:t>
                  </w:r>
                </w:p>
                <w:p>
                  <w:pPr>
                    <w:pStyle w:val="169"/>
                  </w:pPr>
                  <w:r>
                    <w:t>编号</w:t>
                  </w:r>
                </w:p>
              </w:tc>
              <w:tc>
                <w:tcPr>
                  <w:tcW w:w="590" w:type="pct"/>
                  <w:vAlign w:val="center"/>
                </w:tcPr>
                <w:p>
                  <w:pPr>
                    <w:pStyle w:val="169"/>
                  </w:pPr>
                  <w:r>
                    <w:t>点位名称</w:t>
                  </w:r>
                </w:p>
              </w:tc>
              <w:tc>
                <w:tcPr>
                  <w:tcW w:w="757" w:type="pct"/>
                  <w:vAlign w:val="center"/>
                </w:tcPr>
                <w:p>
                  <w:pPr>
                    <w:pStyle w:val="169"/>
                  </w:pPr>
                  <w:r>
                    <w:rPr>
                      <w:rFonts w:hint="eastAsia"/>
                    </w:rPr>
                    <w:t>地下水流向</w:t>
                  </w:r>
                </w:p>
              </w:tc>
              <w:tc>
                <w:tcPr>
                  <w:tcW w:w="3237" w:type="pct"/>
                  <w:vAlign w:val="center"/>
                </w:tcPr>
                <w:p>
                  <w:pPr>
                    <w:pStyle w:val="169"/>
                  </w:pPr>
                  <w:r>
                    <w:t>监测因子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416" w:type="pct"/>
                  <w:vAlign w:val="center"/>
                </w:tcPr>
                <w:p>
                  <w:pPr>
                    <w:pStyle w:val="169"/>
                  </w:pPr>
                  <w:r>
                    <w:t>D</w:t>
                  </w:r>
                  <w:r>
                    <w:rPr>
                      <w:rFonts w:hint="eastAsia"/>
                    </w:rPr>
                    <w:t>2</w:t>
                  </w:r>
                </w:p>
              </w:tc>
              <w:tc>
                <w:tcPr>
                  <w:tcW w:w="590" w:type="pct"/>
                  <w:vAlign w:val="center"/>
                </w:tcPr>
                <w:p>
                  <w:pPr>
                    <w:pStyle w:val="169"/>
                  </w:pPr>
                  <w:r>
                    <w:rPr>
                      <w:rFonts w:hint="eastAsia"/>
                    </w:rPr>
                    <w:t>园区东北侧</w:t>
                  </w:r>
                </w:p>
              </w:tc>
              <w:tc>
                <w:tcPr>
                  <w:tcW w:w="757" w:type="pct"/>
                  <w:vAlign w:val="center"/>
                </w:tcPr>
                <w:p>
                  <w:pPr>
                    <w:pStyle w:val="169"/>
                  </w:pPr>
                  <w:r>
                    <w:rPr>
                      <w:rFonts w:hint="eastAsia"/>
                    </w:rPr>
                    <w:t>侧下游</w:t>
                  </w:r>
                </w:p>
              </w:tc>
              <w:tc>
                <w:tcPr>
                  <w:tcW w:w="3237" w:type="pct"/>
                  <w:vMerge w:val="restart"/>
                  <w:vAlign w:val="center"/>
                </w:tcPr>
                <w:p>
                  <w:pPr>
                    <w:pStyle w:val="169"/>
                  </w:pPr>
                  <w:r>
                    <w:t>八大离子（K</w:t>
                  </w:r>
                  <w:r>
                    <w:rPr>
                      <w:vertAlign w:val="superscript"/>
                    </w:rPr>
                    <w:t>+</w:t>
                  </w:r>
                  <w:r>
                    <w:t>、Na</w:t>
                  </w:r>
                  <w:r>
                    <w:rPr>
                      <w:vertAlign w:val="superscript"/>
                    </w:rPr>
                    <w:t>+</w:t>
                  </w:r>
                  <w:r>
                    <w:t>、Ca</w:t>
                  </w:r>
                  <w:r>
                    <w:rPr>
                      <w:vertAlign w:val="superscript"/>
                    </w:rPr>
                    <w:t>2+</w:t>
                  </w:r>
                  <w:r>
                    <w:t>、Mg</w:t>
                  </w:r>
                  <w:r>
                    <w:rPr>
                      <w:vertAlign w:val="superscript"/>
                    </w:rPr>
                    <w:t>2+</w:t>
                  </w:r>
                  <w:r>
                    <w:t>、CO</w:t>
                  </w:r>
                  <w:r>
                    <w:rPr>
                      <w:vertAlign w:val="subscript"/>
                    </w:rPr>
                    <w:t>3</w:t>
                  </w:r>
                  <w:r>
                    <w:rPr>
                      <w:vertAlign w:val="superscript"/>
                    </w:rPr>
                    <w:t>2-</w:t>
                  </w:r>
                  <w:r>
                    <w:t>、HCO</w:t>
                  </w:r>
                  <w:r>
                    <w:rPr>
                      <w:vertAlign w:val="subscript"/>
                    </w:rPr>
                    <w:t>3</w:t>
                  </w:r>
                  <w:r>
                    <w:rPr>
                      <w:vertAlign w:val="superscript"/>
                    </w:rPr>
                    <w:t>-</w:t>
                  </w:r>
                  <w:r>
                    <w:t>、Cl</w:t>
                  </w:r>
                  <w:r>
                    <w:rPr>
                      <w:vertAlign w:val="superscript"/>
                    </w:rPr>
                    <w:t>-</w:t>
                  </w:r>
                  <w:r>
                    <w:t>、SO</w:t>
                  </w:r>
                  <w:r>
                    <w:rPr>
                      <w:vertAlign w:val="subscript"/>
                    </w:rPr>
                    <w:t>4</w:t>
                  </w:r>
                  <w:r>
                    <w:rPr>
                      <w:vertAlign w:val="superscript"/>
                    </w:rPr>
                    <w:t>2-</w:t>
                  </w:r>
                  <w:r>
                    <w:t>）</w:t>
                  </w:r>
                  <w:r>
                    <w:rPr>
                      <w:rFonts w:hint="eastAsia"/>
                    </w:rPr>
                    <w:t>；</w:t>
                  </w:r>
                  <w:r>
                    <w:t>浑浊度、pH、总硬度、溶解性总固体、硫酸盐、氯化物、铁、锰、挥发酚、阴离子表面活性剂、耗氧量、氨氮、硫化物、总大肠菌群、菌落总数、亚硝酸盐、硝酸盐、氰化物、氟化物、汞、砷、镉、</w:t>
                  </w:r>
                  <w:r>
                    <w:rPr>
                      <w:rFonts w:hint="eastAsia"/>
                    </w:rPr>
                    <w:t>铬（六价）</w:t>
                  </w:r>
                  <w:r>
                    <w:t>、铅、苯、甲苯、石油类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416" w:type="pct"/>
                  <w:vAlign w:val="center"/>
                </w:tcPr>
                <w:p>
                  <w:pPr>
                    <w:pStyle w:val="169"/>
                  </w:pPr>
                  <w:r>
                    <w:t>D</w:t>
                  </w:r>
                  <w:r>
                    <w:rPr>
                      <w:rFonts w:hint="eastAsia"/>
                    </w:rPr>
                    <w:t>3</w:t>
                  </w:r>
                </w:p>
              </w:tc>
              <w:tc>
                <w:tcPr>
                  <w:tcW w:w="590" w:type="pct"/>
                  <w:vAlign w:val="center"/>
                </w:tcPr>
                <w:p>
                  <w:pPr>
                    <w:pStyle w:val="169"/>
                  </w:pPr>
                  <w:r>
                    <w:rPr>
                      <w:rFonts w:hint="eastAsia"/>
                    </w:rPr>
                    <w:t>园区西侧</w:t>
                  </w:r>
                </w:p>
              </w:tc>
              <w:tc>
                <w:tcPr>
                  <w:tcW w:w="757" w:type="pct"/>
                  <w:tcBorders>
                    <w:bottom w:val="single" w:color="auto" w:sz="4" w:space="0"/>
                  </w:tcBorders>
                  <w:vAlign w:val="center"/>
                </w:tcPr>
                <w:p>
                  <w:pPr>
                    <w:pStyle w:val="169"/>
                  </w:pPr>
                  <w:r>
                    <w:rPr>
                      <w:rFonts w:hint="eastAsia"/>
                    </w:rPr>
                    <w:t>上游</w:t>
                  </w:r>
                </w:p>
              </w:tc>
              <w:tc>
                <w:tcPr>
                  <w:tcW w:w="3237" w:type="pct"/>
                  <w:vMerge w:val="continue"/>
                  <w:tcBorders>
                    <w:bottom w:val="single" w:color="auto" w:sz="4" w:space="0"/>
                  </w:tcBorders>
                  <w:vAlign w:val="center"/>
                </w:tcPr>
                <w:p>
                  <w:pPr>
                    <w:pStyle w:val="16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416" w:type="pct"/>
                  <w:vAlign w:val="center"/>
                </w:tcPr>
                <w:p>
                  <w:pPr>
                    <w:pStyle w:val="169"/>
                  </w:pPr>
                  <w:r>
                    <w:rPr>
                      <w:rFonts w:hint="eastAsia"/>
                    </w:rPr>
                    <w:t>D6</w:t>
                  </w:r>
                </w:p>
              </w:tc>
              <w:tc>
                <w:tcPr>
                  <w:tcW w:w="590" w:type="pct"/>
                  <w:vAlign w:val="center"/>
                </w:tcPr>
                <w:p>
                  <w:pPr>
                    <w:pStyle w:val="169"/>
                  </w:pPr>
                  <w:r>
                    <w:rPr>
                      <w:rFonts w:hint="eastAsia"/>
                    </w:rPr>
                    <w:t>园区中部</w:t>
                  </w:r>
                </w:p>
              </w:tc>
              <w:tc>
                <w:tcPr>
                  <w:tcW w:w="757" w:type="pct"/>
                  <w:tcBorders>
                    <w:top w:val="single" w:color="auto" w:sz="4" w:space="0"/>
                    <w:bottom w:val="single" w:color="auto" w:sz="4" w:space="0"/>
                  </w:tcBorders>
                  <w:vAlign w:val="center"/>
                </w:tcPr>
                <w:p>
                  <w:pPr>
                    <w:pStyle w:val="169"/>
                  </w:pPr>
                  <w:r>
                    <w:rPr>
                      <w:rFonts w:hint="eastAsia"/>
                    </w:rPr>
                    <w:t>中游</w:t>
                  </w:r>
                </w:p>
              </w:tc>
              <w:tc>
                <w:tcPr>
                  <w:tcW w:w="3237" w:type="pct"/>
                  <w:tcBorders>
                    <w:top w:val="single" w:color="auto" w:sz="4" w:space="0"/>
                    <w:bottom w:val="single" w:color="auto" w:sz="4" w:space="0"/>
                  </w:tcBorders>
                  <w:vAlign w:val="center"/>
                </w:tcPr>
                <w:p>
                  <w:pPr>
                    <w:pStyle w:val="169"/>
                  </w:pPr>
                  <w:bookmarkStart w:id="10" w:name="_Hlk57044838"/>
                  <w:r>
                    <w:t>八大离子</w:t>
                  </w:r>
                  <w:r>
                    <w:rPr>
                      <w:rFonts w:hint="eastAsia"/>
                    </w:rPr>
                    <w:t>（</w:t>
                  </w:r>
                  <w:r>
                    <w:t>K</w:t>
                  </w:r>
                  <w:r>
                    <w:rPr>
                      <w:vertAlign w:val="superscript"/>
                    </w:rPr>
                    <w:t>+</w:t>
                  </w:r>
                  <w:r>
                    <w:t>、Na</w:t>
                  </w:r>
                  <w:r>
                    <w:rPr>
                      <w:vertAlign w:val="superscript"/>
                    </w:rPr>
                    <w:t>+</w:t>
                  </w:r>
                  <w:r>
                    <w:t>、Ca</w:t>
                  </w:r>
                  <w:r>
                    <w:rPr>
                      <w:vertAlign w:val="superscript"/>
                    </w:rPr>
                    <w:t>2+</w:t>
                  </w:r>
                  <w:r>
                    <w:t>、Mg</w:t>
                  </w:r>
                  <w:r>
                    <w:rPr>
                      <w:vertAlign w:val="superscript"/>
                    </w:rPr>
                    <w:t>2+</w:t>
                  </w:r>
                  <w:r>
                    <w:t>、CO</w:t>
                  </w:r>
                  <w:r>
                    <w:rPr>
                      <w:vertAlign w:val="subscript"/>
                    </w:rPr>
                    <w:t>3</w:t>
                  </w:r>
                  <w:r>
                    <w:rPr>
                      <w:vertAlign w:val="superscript"/>
                    </w:rPr>
                    <w:t>2-</w:t>
                  </w:r>
                  <w:r>
                    <w:t>、HCO</w:t>
                  </w:r>
                  <w:r>
                    <w:rPr>
                      <w:vertAlign w:val="subscript"/>
                    </w:rPr>
                    <w:t>3</w:t>
                  </w:r>
                  <w:r>
                    <w:rPr>
                      <w:vertAlign w:val="superscript"/>
                    </w:rPr>
                    <w:t>-</w:t>
                  </w:r>
                  <w:r>
                    <w:t>、Cl</w:t>
                  </w:r>
                  <w:r>
                    <w:rPr>
                      <w:vertAlign w:val="superscript"/>
                    </w:rPr>
                    <w:t>-</w:t>
                  </w:r>
                  <w:r>
                    <w:t>、SO</w:t>
                  </w:r>
                  <w:r>
                    <w:rPr>
                      <w:vertAlign w:val="subscript"/>
                    </w:rPr>
                    <w:t>4</w:t>
                  </w:r>
                  <w:r>
                    <w:rPr>
                      <w:vertAlign w:val="superscript"/>
                    </w:rPr>
                    <w:t>2-</w:t>
                  </w:r>
                  <w:r>
                    <w:rPr>
                      <w:rFonts w:hint="eastAsia"/>
                    </w:rPr>
                    <w:t>）；</w:t>
                  </w:r>
                  <w:bookmarkEnd w:id="10"/>
                  <w:r>
                    <w:rPr>
                      <w:rFonts w:hint="eastAsia"/>
                    </w:rPr>
                    <w:t>pH、总硬度、溶解性总固体、硫酸盐、氯化物、铁、锰、铜、锌、挥发性酚类、耗氧量、氨氮、亚硝酸盐、硝酸盐、氰化物、氟化物、汞、砷、镉、铬（六价）、铅、镍、石油类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416" w:type="pct"/>
                  <w:vAlign w:val="center"/>
                </w:tcPr>
                <w:p>
                  <w:pPr>
                    <w:pStyle w:val="169"/>
                  </w:pPr>
                  <w:r>
                    <w:rPr>
                      <w:rFonts w:hint="eastAsia"/>
                    </w:rPr>
                    <w:t>D7</w:t>
                  </w:r>
                </w:p>
              </w:tc>
              <w:tc>
                <w:tcPr>
                  <w:tcW w:w="590" w:type="pct"/>
                  <w:vAlign w:val="center"/>
                </w:tcPr>
                <w:p>
                  <w:pPr>
                    <w:pStyle w:val="169"/>
                  </w:pPr>
                  <w:r>
                    <w:t>园区西南侧</w:t>
                  </w:r>
                </w:p>
              </w:tc>
              <w:tc>
                <w:tcPr>
                  <w:tcW w:w="757" w:type="pct"/>
                  <w:tcBorders>
                    <w:top w:val="single" w:color="auto" w:sz="4" w:space="0"/>
                  </w:tcBorders>
                  <w:vAlign w:val="center"/>
                </w:tcPr>
                <w:p>
                  <w:pPr>
                    <w:pStyle w:val="169"/>
                  </w:pPr>
                  <w:r>
                    <w:rPr>
                      <w:rFonts w:hint="eastAsia"/>
                    </w:rPr>
                    <w:t>上游</w:t>
                  </w:r>
                </w:p>
              </w:tc>
              <w:tc>
                <w:tcPr>
                  <w:tcW w:w="3237" w:type="pct"/>
                  <w:vMerge w:val="restart"/>
                  <w:tcBorders>
                    <w:top w:val="single" w:color="auto" w:sz="4" w:space="0"/>
                  </w:tcBorders>
                  <w:vAlign w:val="center"/>
                </w:tcPr>
                <w:p>
                  <w:pPr>
                    <w:pStyle w:val="169"/>
                  </w:pPr>
                  <w:r>
                    <w:rPr>
                      <w:rFonts w:hint="eastAsia"/>
                    </w:rPr>
                    <w:t>pH、总硬度、溶解性总固体、硫酸盐、氯化物、铁、锰、挥发性酚类、阴离子表面活性剂、耗氧量、氨氮、硫化物、总大肠菌群、菌落总数、亚硝酸盐、硝酸盐、氰化物、氟化物、汞、砷、镉、铬（六价）、铅、甲苯、二甲苯、石油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416" w:type="pct"/>
                  <w:vAlign w:val="center"/>
                </w:tcPr>
                <w:p>
                  <w:pPr>
                    <w:adjustRightInd w:val="0"/>
                    <w:spacing w:line="240" w:lineRule="atLeast"/>
                    <w:ind w:firstLine="0" w:firstLineChars="0"/>
                    <w:jc w:val="center"/>
                    <w:rPr>
                      <w:sz w:val="21"/>
                      <w:szCs w:val="21"/>
                    </w:rPr>
                  </w:pPr>
                  <w:r>
                    <w:rPr>
                      <w:rFonts w:hint="eastAsia"/>
                      <w:sz w:val="21"/>
                      <w:szCs w:val="21"/>
                    </w:rPr>
                    <w:t>D8</w:t>
                  </w:r>
                </w:p>
              </w:tc>
              <w:tc>
                <w:tcPr>
                  <w:tcW w:w="590" w:type="pct"/>
                  <w:vAlign w:val="center"/>
                </w:tcPr>
                <w:p>
                  <w:pPr>
                    <w:adjustRightInd w:val="0"/>
                    <w:spacing w:line="240" w:lineRule="atLeast"/>
                    <w:ind w:firstLine="0" w:firstLineChars="0"/>
                    <w:jc w:val="center"/>
                    <w:rPr>
                      <w:sz w:val="21"/>
                      <w:szCs w:val="21"/>
                    </w:rPr>
                  </w:pPr>
                  <w:r>
                    <w:rPr>
                      <w:rFonts w:ascii="宋体" w:hAnsi="宋体" w:cs="宋体"/>
                      <w:kern w:val="0"/>
                      <w:szCs w:val="21"/>
                    </w:rPr>
                    <w:t>园区</w:t>
                  </w:r>
                  <w:r>
                    <w:rPr>
                      <w:rFonts w:hint="eastAsia" w:ascii="宋体" w:hAnsi="宋体" w:cs="宋体"/>
                      <w:kern w:val="0"/>
                      <w:szCs w:val="21"/>
                    </w:rPr>
                    <w:t>东</w:t>
                  </w:r>
                  <w:r>
                    <w:rPr>
                      <w:rFonts w:ascii="宋体" w:hAnsi="宋体" w:cs="宋体"/>
                      <w:kern w:val="0"/>
                      <w:szCs w:val="21"/>
                    </w:rPr>
                    <w:t>南侧</w:t>
                  </w:r>
                </w:p>
              </w:tc>
              <w:tc>
                <w:tcPr>
                  <w:tcW w:w="757" w:type="pct"/>
                  <w:vAlign w:val="center"/>
                </w:tcPr>
                <w:p>
                  <w:pPr>
                    <w:adjustRightInd w:val="0"/>
                    <w:spacing w:line="240" w:lineRule="atLeast"/>
                    <w:ind w:firstLine="0" w:firstLineChars="0"/>
                    <w:jc w:val="center"/>
                    <w:rPr>
                      <w:sz w:val="21"/>
                      <w:szCs w:val="21"/>
                    </w:rPr>
                  </w:pPr>
                  <w:r>
                    <w:rPr>
                      <w:rFonts w:hint="eastAsia"/>
                      <w:szCs w:val="21"/>
                    </w:rPr>
                    <w:t>下游</w:t>
                  </w:r>
                </w:p>
              </w:tc>
              <w:tc>
                <w:tcPr>
                  <w:tcW w:w="3237" w:type="pct"/>
                  <w:vMerge w:val="continue"/>
                  <w:vAlign w:val="center"/>
                </w:tcPr>
                <w:p>
                  <w:pPr>
                    <w:adjustRightInd w:val="0"/>
                    <w:spacing w:line="240" w:lineRule="atLeast"/>
                    <w:ind w:firstLine="0" w:firstLineChars="0"/>
                    <w:jc w:val="center"/>
                    <w:rPr>
                      <w:sz w:val="21"/>
                      <w:szCs w:val="21"/>
                    </w:rPr>
                  </w:pPr>
                </w:p>
              </w:tc>
            </w:tr>
          </w:tbl>
          <w:p>
            <w:pPr>
              <w:spacing w:line="240" w:lineRule="auto"/>
            </w:pPr>
          </w:p>
          <w:p>
            <w:pPr>
              <w:pStyle w:val="196"/>
              <w:snapToGrid w:val="0"/>
              <w:spacing w:line="360" w:lineRule="auto"/>
              <w:ind w:firstLine="480" w:firstLineChars="200"/>
              <w:rPr>
                <w:rFonts w:hAnsi="宋体" w:eastAsia="宋体"/>
              </w:rPr>
            </w:pPr>
            <w:r>
              <w:rPr>
                <w:rFonts w:hint="eastAsia" w:hAnsi="宋体" w:eastAsia="宋体"/>
              </w:rPr>
              <w:t>（4）评价方法</w:t>
            </w:r>
          </w:p>
          <w:p>
            <w:pPr>
              <w:pStyle w:val="196"/>
              <w:snapToGrid w:val="0"/>
              <w:spacing w:line="360" w:lineRule="auto"/>
              <w:ind w:firstLine="480" w:firstLineChars="200"/>
              <w:rPr>
                <w:rFonts w:hAnsi="宋体" w:eastAsia="宋体"/>
              </w:rPr>
            </w:pPr>
            <w:r>
              <w:rPr>
                <w:rFonts w:hint="eastAsia" w:hAnsi="宋体" w:eastAsia="宋体"/>
              </w:rPr>
              <w:t>采用标准指数法进行现状评价。</w:t>
            </w:r>
            <w:r>
              <w:rPr>
                <w:rFonts w:hAnsi="宋体" w:eastAsia="宋体"/>
              </w:rPr>
              <w:t xml:space="preserve"> </w:t>
            </w:r>
          </w:p>
          <w:p>
            <w:pPr>
              <w:pStyle w:val="196"/>
              <w:snapToGrid w:val="0"/>
              <w:spacing w:line="360" w:lineRule="auto"/>
              <w:ind w:firstLine="480" w:firstLineChars="200"/>
              <w:rPr>
                <w:rFonts w:hAnsi="宋体" w:eastAsia="宋体"/>
              </w:rPr>
            </w:pPr>
            <w:r>
              <w:rPr>
                <w:rFonts w:hAnsi="宋体" w:eastAsia="宋体"/>
              </w:rPr>
              <w:t>P</w:t>
            </w:r>
            <w:r>
              <w:rPr>
                <w:rFonts w:hAnsi="宋体" w:eastAsia="宋体"/>
                <w:vertAlign w:val="subscript"/>
              </w:rPr>
              <w:t>i</w:t>
            </w:r>
            <w:r>
              <w:rPr>
                <w:rFonts w:hAnsi="宋体" w:eastAsia="宋体"/>
              </w:rPr>
              <w:t>=C</w:t>
            </w:r>
            <w:r>
              <w:rPr>
                <w:rFonts w:hAnsi="宋体" w:eastAsia="宋体"/>
                <w:vertAlign w:val="subscript"/>
              </w:rPr>
              <w:t>i</w:t>
            </w:r>
            <w:r>
              <w:rPr>
                <w:rFonts w:hAnsi="宋体" w:eastAsia="宋体"/>
              </w:rPr>
              <w:t>/C</w:t>
            </w:r>
            <w:r>
              <w:rPr>
                <w:rFonts w:hAnsi="宋体" w:eastAsia="宋体"/>
                <w:vertAlign w:val="subscript"/>
              </w:rPr>
              <w:t>si</w:t>
            </w:r>
          </w:p>
          <w:p>
            <w:pPr>
              <w:pStyle w:val="196"/>
              <w:snapToGrid w:val="0"/>
              <w:spacing w:line="360" w:lineRule="auto"/>
              <w:ind w:firstLine="480" w:firstLineChars="200"/>
              <w:rPr>
                <w:rFonts w:hAnsi="宋体" w:eastAsia="宋体"/>
              </w:rPr>
            </w:pPr>
            <w:r>
              <w:rPr>
                <w:rFonts w:hAnsi="宋体" w:eastAsia="宋体"/>
              </w:rPr>
              <w:t>式中，P</w:t>
            </w:r>
            <w:r>
              <w:rPr>
                <w:rFonts w:hAnsi="宋体" w:eastAsia="宋体"/>
                <w:vertAlign w:val="subscript"/>
              </w:rPr>
              <w:t>i</w:t>
            </w:r>
            <w:r>
              <w:rPr>
                <w:rFonts w:hAnsi="宋体" w:eastAsia="宋体"/>
              </w:rPr>
              <w:t xml:space="preserve">——第i个水质因子的标准指数，无量纲； </w:t>
            </w:r>
          </w:p>
          <w:p>
            <w:pPr>
              <w:pStyle w:val="196"/>
              <w:snapToGrid w:val="0"/>
              <w:spacing w:line="360" w:lineRule="auto"/>
              <w:ind w:firstLine="480" w:firstLineChars="200"/>
              <w:rPr>
                <w:rFonts w:hAnsi="宋体" w:eastAsia="宋体"/>
              </w:rPr>
            </w:pPr>
            <w:r>
              <w:rPr>
                <w:rFonts w:hAnsi="宋体" w:eastAsia="宋体"/>
              </w:rPr>
              <w:t>C</w:t>
            </w:r>
            <w:r>
              <w:rPr>
                <w:rFonts w:hAnsi="宋体" w:eastAsia="宋体"/>
                <w:vertAlign w:val="subscript"/>
              </w:rPr>
              <w:t>i</w:t>
            </w:r>
            <w:r>
              <w:rPr>
                <w:rFonts w:hAnsi="宋体" w:eastAsia="宋体"/>
              </w:rPr>
              <w:t>——第i个水质因子的监测浓度值，mg/L；</w:t>
            </w:r>
          </w:p>
          <w:p>
            <w:pPr>
              <w:pStyle w:val="196"/>
              <w:snapToGrid w:val="0"/>
              <w:spacing w:line="360" w:lineRule="auto"/>
              <w:ind w:firstLine="480" w:firstLineChars="200"/>
              <w:rPr>
                <w:rFonts w:hAnsi="宋体" w:eastAsia="宋体"/>
              </w:rPr>
            </w:pPr>
            <w:r>
              <w:rPr>
                <w:rFonts w:hAnsi="宋体" w:eastAsia="宋体"/>
              </w:rPr>
              <w:t>C</w:t>
            </w:r>
            <w:r>
              <w:rPr>
                <w:rFonts w:hAnsi="宋体" w:eastAsia="宋体"/>
                <w:vertAlign w:val="subscript"/>
              </w:rPr>
              <w:t>si</w:t>
            </w:r>
            <w:r>
              <w:rPr>
                <w:rFonts w:hAnsi="宋体" w:eastAsia="宋体"/>
              </w:rPr>
              <w:t>——第i个水质因子的标准浓度值，mg/L。</w:t>
            </w:r>
          </w:p>
          <w:p>
            <w:pPr>
              <w:pStyle w:val="196"/>
              <w:snapToGrid w:val="0"/>
              <w:spacing w:line="360" w:lineRule="auto"/>
              <w:ind w:firstLine="480" w:firstLineChars="200"/>
              <w:rPr>
                <w:rFonts w:hAnsi="宋体" w:eastAsia="宋体"/>
              </w:rPr>
            </w:pPr>
            <w:r>
              <w:rPr>
                <w:rFonts w:hAnsi="宋体" w:eastAsia="宋体"/>
              </w:rPr>
              <w:t>对于评价标准为区间值的水质因子（如pH），其标准指数计算方法见下：</w:t>
            </w:r>
          </w:p>
          <w:p>
            <w:pPr>
              <w:pStyle w:val="196"/>
              <w:snapToGrid w:val="0"/>
              <w:ind w:firstLine="480" w:firstLineChars="200"/>
              <w:rPr>
                <w:rFonts w:hAnsi="宋体"/>
              </w:rPr>
            </w:pPr>
            <w:r>
              <w:rPr>
                <w:rFonts w:hAnsi="宋体"/>
              </w:rPr>
              <w:drawing>
                <wp:inline distT="0" distB="0" distL="0" distR="0">
                  <wp:extent cx="2064385" cy="1005205"/>
                  <wp:effectExtent l="0" t="0" r="0" b="4445"/>
                  <wp:docPr id="478"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78"/>
                          <pic:cNvPicPr>
                            <a:picLocks noChangeAspect="1"/>
                          </pic:cNvPicPr>
                        </pic:nvPicPr>
                        <pic:blipFill>
                          <a:blip r:embed="rId17"/>
                          <a:stretch>
                            <a:fillRect/>
                          </a:stretch>
                        </pic:blipFill>
                        <pic:spPr>
                          <a:xfrm>
                            <a:off x="0" y="0"/>
                            <a:ext cx="2095671" cy="1020334"/>
                          </a:xfrm>
                          <a:prstGeom prst="rect">
                            <a:avLst/>
                          </a:prstGeom>
                        </pic:spPr>
                      </pic:pic>
                    </a:graphicData>
                  </a:graphic>
                </wp:inline>
              </w:drawing>
            </w:r>
          </w:p>
          <w:p>
            <w:pPr>
              <w:pStyle w:val="196"/>
              <w:snapToGrid w:val="0"/>
              <w:ind w:firstLine="480" w:firstLineChars="200"/>
              <w:rPr>
                <w:rFonts w:hAnsi="宋体"/>
              </w:rPr>
            </w:pPr>
          </w:p>
          <w:p>
            <w:pPr>
              <w:pStyle w:val="196"/>
              <w:snapToGrid w:val="0"/>
              <w:ind w:firstLine="480" w:firstLineChars="200"/>
              <w:rPr>
                <w:rFonts w:hAnsi="宋体"/>
              </w:rPr>
            </w:pPr>
          </w:p>
          <w:p>
            <w:pPr>
              <w:pStyle w:val="196"/>
              <w:snapToGrid w:val="0"/>
              <w:spacing w:line="360" w:lineRule="auto"/>
              <w:ind w:firstLine="480" w:firstLineChars="200"/>
              <w:rPr>
                <w:rFonts w:hAnsi="宋体" w:eastAsia="宋体"/>
              </w:rPr>
            </w:pPr>
            <w:r>
              <w:rPr>
                <w:rFonts w:hAnsi="宋体" w:eastAsia="宋体"/>
              </w:rPr>
              <w:t>式中，P</w:t>
            </w:r>
            <w:r>
              <w:rPr>
                <w:rFonts w:hAnsi="宋体" w:eastAsia="宋体"/>
                <w:vertAlign w:val="subscript"/>
              </w:rPr>
              <w:t>pH</w:t>
            </w:r>
            <w:r>
              <w:rPr>
                <w:rFonts w:hAnsi="宋体" w:eastAsia="宋体"/>
              </w:rPr>
              <w:t xml:space="preserve">——pH的标准指数，无量纲； </w:t>
            </w:r>
          </w:p>
          <w:p>
            <w:pPr>
              <w:pStyle w:val="196"/>
              <w:snapToGrid w:val="0"/>
              <w:spacing w:line="360" w:lineRule="auto"/>
              <w:ind w:firstLine="480" w:firstLineChars="200"/>
              <w:rPr>
                <w:rFonts w:hAnsi="宋体" w:eastAsia="宋体"/>
              </w:rPr>
            </w:pPr>
            <w:r>
              <w:rPr>
                <w:rFonts w:hAnsi="宋体" w:eastAsia="宋体"/>
              </w:rPr>
              <w:t>pH——pH监测值；</w:t>
            </w:r>
          </w:p>
          <w:p>
            <w:pPr>
              <w:pStyle w:val="196"/>
              <w:snapToGrid w:val="0"/>
              <w:spacing w:line="360" w:lineRule="auto"/>
              <w:ind w:firstLine="480" w:firstLineChars="200"/>
              <w:rPr>
                <w:rFonts w:hAnsi="宋体" w:eastAsia="宋体"/>
              </w:rPr>
            </w:pPr>
            <w:r>
              <w:rPr>
                <w:rFonts w:hAnsi="宋体" w:eastAsia="宋体"/>
              </w:rPr>
              <w:t>pH</w:t>
            </w:r>
            <w:r>
              <w:rPr>
                <w:rFonts w:hAnsi="宋体" w:eastAsia="宋体"/>
                <w:vertAlign w:val="subscript"/>
              </w:rPr>
              <w:t>su</w:t>
            </w:r>
            <w:r>
              <w:rPr>
                <w:rFonts w:hAnsi="宋体" w:eastAsia="宋体"/>
              </w:rPr>
              <w:t>——标准中pH的上限值；</w:t>
            </w:r>
          </w:p>
          <w:p>
            <w:pPr>
              <w:pStyle w:val="196"/>
              <w:snapToGrid w:val="0"/>
              <w:spacing w:line="360" w:lineRule="auto"/>
              <w:ind w:firstLine="480" w:firstLineChars="200"/>
              <w:rPr>
                <w:rFonts w:hAnsi="宋体" w:eastAsia="宋体"/>
              </w:rPr>
            </w:pPr>
            <w:r>
              <w:rPr>
                <w:rFonts w:hAnsi="宋体" w:eastAsia="宋体"/>
              </w:rPr>
              <w:t>pH</w:t>
            </w:r>
            <w:r>
              <w:rPr>
                <w:rFonts w:hAnsi="宋体" w:eastAsia="宋体"/>
                <w:vertAlign w:val="subscript"/>
              </w:rPr>
              <w:t>sd</w:t>
            </w:r>
            <w:r>
              <w:rPr>
                <w:rFonts w:hAnsi="宋体" w:eastAsia="宋体"/>
              </w:rPr>
              <w:t>——标准中pH的下限值。</w:t>
            </w:r>
          </w:p>
          <w:p>
            <w:r>
              <w:rPr>
                <w:rFonts w:hint="eastAsia" w:hAnsi="宋体"/>
              </w:rPr>
              <w:t>（5）评价标准</w:t>
            </w:r>
          </w:p>
          <w:p>
            <w:r>
              <w:t>采用《地下水质量标准》（GB/T14848-2017）中的</w:t>
            </w:r>
            <w:r>
              <w:rPr>
                <w:rFonts w:hint="eastAsia" w:ascii="宋体" w:hAnsi="宋体" w:cs="宋体"/>
              </w:rPr>
              <w:t>Ⅲ</w:t>
            </w:r>
            <w:r>
              <w:t>类标准作为地下水环境质量评价标准。</w:t>
            </w:r>
          </w:p>
          <w:p>
            <w:pPr>
              <w:rPr>
                <w:b/>
              </w:rPr>
            </w:pPr>
            <w:r>
              <w:rPr>
                <w:rFonts w:hint="eastAsia"/>
              </w:rPr>
              <w:t>（6）监测结果及评价</w:t>
            </w:r>
          </w:p>
          <w:p>
            <w:r>
              <w:t>监测及统计结果见表</w:t>
            </w:r>
            <w:r>
              <w:rPr>
                <w:rFonts w:hint="eastAsia"/>
              </w:rPr>
              <w:t>3.4-2~3.4-5</w:t>
            </w:r>
            <w:r>
              <w:t>。</w:t>
            </w:r>
          </w:p>
          <w:p>
            <w:pPr>
              <w:pStyle w:val="178"/>
              <w:ind w:firstLine="420"/>
              <w:rPr>
                <w:rFonts w:eastAsia="宋体"/>
                <w:color w:val="auto"/>
                <w:szCs w:val="21"/>
              </w:rPr>
            </w:pPr>
            <w:r>
              <w:rPr>
                <w:rFonts w:hint="eastAsia" w:eastAsia="宋体"/>
                <w:color w:val="auto"/>
                <w:szCs w:val="21"/>
              </w:rPr>
              <w:t xml:space="preserve">表3.4-2   </w:t>
            </w:r>
            <w:r>
              <w:rPr>
                <w:rFonts w:eastAsia="宋体"/>
                <w:color w:val="auto"/>
                <w:szCs w:val="21"/>
              </w:rPr>
              <w:t>地下水</w:t>
            </w:r>
            <w:r>
              <w:rPr>
                <w:rFonts w:hint="eastAsia" w:eastAsia="宋体"/>
                <w:color w:val="auto"/>
                <w:szCs w:val="21"/>
              </w:rPr>
              <w:t>八大离子现状监测结果   单位：mg/L</w:t>
            </w:r>
          </w:p>
          <w:tbl>
            <w:tblPr>
              <w:tblStyle w:val="88"/>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88"/>
              <w:gridCol w:w="889"/>
              <w:gridCol w:w="889"/>
              <w:gridCol w:w="889"/>
              <w:gridCol w:w="889"/>
              <w:gridCol w:w="889"/>
              <w:gridCol w:w="88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14" w:type="dxa"/>
                  <w:tcBorders>
                    <w:tl2br w:val="single" w:color="auto" w:sz="4" w:space="0"/>
                  </w:tcBorders>
                  <w:shd w:val="clear" w:color="auto" w:fill="auto"/>
                  <w:vAlign w:val="center"/>
                </w:tcPr>
                <w:p>
                  <w:pPr>
                    <w:pStyle w:val="169"/>
                  </w:pPr>
                  <w:r>
                    <w:rPr>
                      <w:rFonts w:hint="eastAsia"/>
                    </w:rPr>
                    <w:t xml:space="preserve"> </w:t>
                  </w:r>
                  <w:r>
                    <w:t>监测因子</w:t>
                  </w:r>
                </w:p>
                <w:p>
                  <w:pPr>
                    <w:pStyle w:val="169"/>
                  </w:pPr>
                  <w:r>
                    <w:t>监测点位</w:t>
                  </w:r>
                </w:p>
              </w:tc>
              <w:tc>
                <w:tcPr>
                  <w:tcW w:w="888" w:type="dxa"/>
                  <w:shd w:val="clear" w:color="auto" w:fill="auto"/>
                  <w:vAlign w:val="center"/>
                </w:tcPr>
                <w:p>
                  <w:pPr>
                    <w:pStyle w:val="169"/>
                  </w:pPr>
                  <w:r>
                    <w:t>K</w:t>
                  </w:r>
                  <w:r>
                    <w:rPr>
                      <w:vertAlign w:val="superscript"/>
                    </w:rPr>
                    <w:t>+</w:t>
                  </w:r>
                </w:p>
              </w:tc>
              <w:tc>
                <w:tcPr>
                  <w:tcW w:w="889" w:type="dxa"/>
                  <w:shd w:val="clear" w:color="auto" w:fill="auto"/>
                  <w:vAlign w:val="center"/>
                </w:tcPr>
                <w:p>
                  <w:pPr>
                    <w:pStyle w:val="169"/>
                  </w:pPr>
                  <w:r>
                    <w:t>Na</w:t>
                  </w:r>
                  <w:r>
                    <w:rPr>
                      <w:vertAlign w:val="superscript"/>
                    </w:rPr>
                    <w:t>+</w:t>
                  </w:r>
                </w:p>
              </w:tc>
              <w:tc>
                <w:tcPr>
                  <w:tcW w:w="889" w:type="dxa"/>
                  <w:shd w:val="clear" w:color="auto" w:fill="auto"/>
                  <w:vAlign w:val="center"/>
                </w:tcPr>
                <w:p>
                  <w:pPr>
                    <w:pStyle w:val="169"/>
                  </w:pPr>
                  <w:r>
                    <w:t>Ca</w:t>
                  </w:r>
                  <w:r>
                    <w:rPr>
                      <w:vertAlign w:val="superscript"/>
                    </w:rPr>
                    <w:t>2+</w:t>
                  </w:r>
                </w:p>
              </w:tc>
              <w:tc>
                <w:tcPr>
                  <w:tcW w:w="889" w:type="dxa"/>
                  <w:shd w:val="clear" w:color="auto" w:fill="auto"/>
                  <w:vAlign w:val="center"/>
                </w:tcPr>
                <w:p>
                  <w:pPr>
                    <w:pStyle w:val="169"/>
                  </w:pPr>
                  <w:r>
                    <w:t>Mg</w:t>
                  </w:r>
                  <w:r>
                    <w:rPr>
                      <w:vertAlign w:val="superscript"/>
                    </w:rPr>
                    <w:t>2+</w:t>
                  </w:r>
                </w:p>
              </w:tc>
              <w:tc>
                <w:tcPr>
                  <w:tcW w:w="889" w:type="dxa"/>
                  <w:shd w:val="clear" w:color="auto" w:fill="auto"/>
                  <w:vAlign w:val="center"/>
                </w:tcPr>
                <w:p>
                  <w:pPr>
                    <w:pStyle w:val="169"/>
                  </w:pPr>
                  <w:r>
                    <w:t>Cl</w:t>
                  </w:r>
                  <w:r>
                    <w:rPr>
                      <w:vertAlign w:val="superscript"/>
                    </w:rPr>
                    <w:t>-</w:t>
                  </w:r>
                </w:p>
              </w:tc>
              <w:tc>
                <w:tcPr>
                  <w:tcW w:w="889" w:type="dxa"/>
                  <w:shd w:val="clear" w:color="auto" w:fill="auto"/>
                  <w:vAlign w:val="center"/>
                </w:tcPr>
                <w:p>
                  <w:pPr>
                    <w:pStyle w:val="169"/>
                  </w:pPr>
                  <w:r>
                    <w:t>SO</w:t>
                  </w:r>
                  <w:r>
                    <w:rPr>
                      <w:vertAlign w:val="subscript"/>
                    </w:rPr>
                    <w:t>4</w:t>
                  </w:r>
                  <w:r>
                    <w:rPr>
                      <w:vertAlign w:val="superscript"/>
                    </w:rPr>
                    <w:t>2-</w:t>
                  </w:r>
                </w:p>
              </w:tc>
              <w:tc>
                <w:tcPr>
                  <w:tcW w:w="889" w:type="dxa"/>
                  <w:shd w:val="clear" w:color="auto" w:fill="auto"/>
                  <w:vAlign w:val="center"/>
                </w:tcPr>
                <w:p>
                  <w:pPr>
                    <w:pStyle w:val="169"/>
                  </w:pPr>
                  <w:r>
                    <w:t>HCO</w:t>
                  </w:r>
                  <w:r>
                    <w:rPr>
                      <w:vertAlign w:val="superscript"/>
                    </w:rPr>
                    <w:t>3-</w:t>
                  </w:r>
                </w:p>
              </w:tc>
              <w:tc>
                <w:tcPr>
                  <w:tcW w:w="885" w:type="dxa"/>
                  <w:shd w:val="clear" w:color="auto" w:fill="auto"/>
                  <w:vAlign w:val="center"/>
                </w:tcPr>
                <w:p>
                  <w:pPr>
                    <w:pStyle w:val="169"/>
                  </w:pPr>
                  <w:r>
                    <w:t>CO</w:t>
                  </w:r>
                  <w:r>
                    <w:rPr>
                      <w:vertAlign w:val="subscript"/>
                    </w:rPr>
                    <w:t>3</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14" w:type="dxa"/>
                  <w:shd w:val="clear" w:color="auto" w:fill="auto"/>
                  <w:vAlign w:val="center"/>
                </w:tcPr>
                <w:p>
                  <w:pPr>
                    <w:pStyle w:val="169"/>
                  </w:pPr>
                  <w:r>
                    <w:t>D2</w:t>
                  </w:r>
                </w:p>
              </w:tc>
              <w:tc>
                <w:tcPr>
                  <w:tcW w:w="888" w:type="dxa"/>
                  <w:shd w:val="clear" w:color="auto" w:fill="auto"/>
                  <w:vAlign w:val="center"/>
                </w:tcPr>
                <w:p>
                  <w:pPr>
                    <w:pStyle w:val="169"/>
                  </w:pPr>
                  <w:r>
                    <w:t>1.76</w:t>
                  </w:r>
                </w:p>
              </w:tc>
              <w:tc>
                <w:tcPr>
                  <w:tcW w:w="889" w:type="dxa"/>
                  <w:shd w:val="clear" w:color="auto" w:fill="auto"/>
                  <w:vAlign w:val="center"/>
                </w:tcPr>
                <w:p>
                  <w:pPr>
                    <w:pStyle w:val="169"/>
                  </w:pPr>
                  <w:r>
                    <w:t>142</w:t>
                  </w:r>
                </w:p>
              </w:tc>
              <w:tc>
                <w:tcPr>
                  <w:tcW w:w="889" w:type="dxa"/>
                  <w:shd w:val="clear" w:color="auto" w:fill="auto"/>
                  <w:vAlign w:val="center"/>
                </w:tcPr>
                <w:p>
                  <w:pPr>
                    <w:pStyle w:val="169"/>
                  </w:pPr>
                  <w:r>
                    <w:t>37.9</w:t>
                  </w:r>
                </w:p>
              </w:tc>
              <w:tc>
                <w:tcPr>
                  <w:tcW w:w="889" w:type="dxa"/>
                  <w:shd w:val="clear" w:color="auto" w:fill="auto"/>
                  <w:vAlign w:val="center"/>
                </w:tcPr>
                <w:p>
                  <w:pPr>
                    <w:pStyle w:val="169"/>
                  </w:pPr>
                  <w:r>
                    <w:t>7.38</w:t>
                  </w:r>
                </w:p>
              </w:tc>
              <w:tc>
                <w:tcPr>
                  <w:tcW w:w="889" w:type="dxa"/>
                  <w:shd w:val="clear" w:color="auto" w:fill="auto"/>
                  <w:vAlign w:val="center"/>
                </w:tcPr>
                <w:p>
                  <w:pPr>
                    <w:pStyle w:val="169"/>
                  </w:pPr>
                  <w:r>
                    <w:t>48.7</w:t>
                  </w:r>
                </w:p>
              </w:tc>
              <w:tc>
                <w:tcPr>
                  <w:tcW w:w="889" w:type="dxa"/>
                  <w:shd w:val="clear" w:color="auto" w:fill="auto"/>
                  <w:vAlign w:val="center"/>
                </w:tcPr>
                <w:p>
                  <w:pPr>
                    <w:pStyle w:val="169"/>
                  </w:pPr>
                  <w:r>
                    <w:t>33.0</w:t>
                  </w:r>
                </w:p>
              </w:tc>
              <w:tc>
                <w:tcPr>
                  <w:tcW w:w="889" w:type="dxa"/>
                  <w:shd w:val="clear" w:color="auto" w:fill="auto"/>
                  <w:vAlign w:val="center"/>
                </w:tcPr>
                <w:p>
                  <w:pPr>
                    <w:pStyle w:val="169"/>
                  </w:pPr>
                  <w:r>
                    <w:t>414.4</w:t>
                  </w:r>
                </w:p>
              </w:tc>
              <w:tc>
                <w:tcPr>
                  <w:tcW w:w="885" w:type="dxa"/>
                  <w:shd w:val="clear" w:color="auto" w:fill="auto"/>
                  <w:vAlign w:val="center"/>
                </w:tcPr>
                <w:p>
                  <w:pPr>
                    <w:pStyle w:val="169"/>
                  </w:pPr>
                  <w: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14" w:type="dxa"/>
                  <w:shd w:val="clear" w:color="auto" w:fill="auto"/>
                  <w:vAlign w:val="center"/>
                </w:tcPr>
                <w:p>
                  <w:pPr>
                    <w:pStyle w:val="169"/>
                  </w:pPr>
                  <w:r>
                    <w:t>D3</w:t>
                  </w:r>
                </w:p>
              </w:tc>
              <w:tc>
                <w:tcPr>
                  <w:tcW w:w="888" w:type="dxa"/>
                  <w:shd w:val="clear" w:color="auto" w:fill="auto"/>
                  <w:vAlign w:val="center"/>
                </w:tcPr>
                <w:p>
                  <w:pPr>
                    <w:pStyle w:val="169"/>
                  </w:pPr>
                  <w:r>
                    <w:t>1.09</w:t>
                  </w:r>
                </w:p>
              </w:tc>
              <w:tc>
                <w:tcPr>
                  <w:tcW w:w="889" w:type="dxa"/>
                  <w:shd w:val="clear" w:color="auto" w:fill="auto"/>
                  <w:vAlign w:val="center"/>
                </w:tcPr>
                <w:p>
                  <w:pPr>
                    <w:pStyle w:val="169"/>
                  </w:pPr>
                  <w:r>
                    <w:t>15.9</w:t>
                  </w:r>
                </w:p>
              </w:tc>
              <w:tc>
                <w:tcPr>
                  <w:tcW w:w="889" w:type="dxa"/>
                  <w:shd w:val="clear" w:color="auto" w:fill="auto"/>
                  <w:vAlign w:val="center"/>
                </w:tcPr>
                <w:p>
                  <w:pPr>
                    <w:pStyle w:val="169"/>
                  </w:pPr>
                  <w:r>
                    <w:t>116</w:t>
                  </w:r>
                </w:p>
              </w:tc>
              <w:tc>
                <w:tcPr>
                  <w:tcW w:w="889" w:type="dxa"/>
                  <w:shd w:val="clear" w:color="auto" w:fill="auto"/>
                  <w:vAlign w:val="center"/>
                </w:tcPr>
                <w:p>
                  <w:pPr>
                    <w:pStyle w:val="169"/>
                  </w:pPr>
                  <w:r>
                    <w:t>9.70</w:t>
                  </w:r>
                </w:p>
              </w:tc>
              <w:tc>
                <w:tcPr>
                  <w:tcW w:w="889" w:type="dxa"/>
                  <w:shd w:val="clear" w:color="auto" w:fill="auto"/>
                  <w:vAlign w:val="center"/>
                </w:tcPr>
                <w:p>
                  <w:pPr>
                    <w:pStyle w:val="169"/>
                  </w:pPr>
                  <w:r>
                    <w:t>14.7</w:t>
                  </w:r>
                </w:p>
              </w:tc>
              <w:tc>
                <w:tcPr>
                  <w:tcW w:w="889" w:type="dxa"/>
                  <w:shd w:val="clear" w:color="auto" w:fill="auto"/>
                  <w:vAlign w:val="center"/>
                </w:tcPr>
                <w:p>
                  <w:pPr>
                    <w:pStyle w:val="169"/>
                  </w:pPr>
                  <w:r>
                    <w:t>62.3</w:t>
                  </w:r>
                </w:p>
              </w:tc>
              <w:tc>
                <w:tcPr>
                  <w:tcW w:w="889" w:type="dxa"/>
                  <w:shd w:val="clear" w:color="auto" w:fill="auto"/>
                  <w:vAlign w:val="center"/>
                </w:tcPr>
                <w:p>
                  <w:pPr>
                    <w:pStyle w:val="169"/>
                  </w:pPr>
                  <w:r>
                    <w:t>318.3</w:t>
                  </w:r>
                </w:p>
              </w:tc>
              <w:tc>
                <w:tcPr>
                  <w:tcW w:w="885" w:type="dxa"/>
                  <w:shd w:val="clear" w:color="auto" w:fill="auto"/>
                  <w:vAlign w:val="center"/>
                </w:tcPr>
                <w:p>
                  <w:pPr>
                    <w:pStyle w:val="169"/>
                  </w:pPr>
                  <w: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214" w:type="dxa"/>
                  <w:shd w:val="clear" w:color="auto" w:fill="auto"/>
                  <w:vAlign w:val="center"/>
                </w:tcPr>
                <w:p>
                  <w:pPr>
                    <w:pStyle w:val="169"/>
                  </w:pPr>
                  <w:r>
                    <w:rPr>
                      <w:rFonts w:hint="eastAsia"/>
                    </w:rPr>
                    <w:t>D6</w:t>
                  </w:r>
                </w:p>
              </w:tc>
              <w:tc>
                <w:tcPr>
                  <w:tcW w:w="888" w:type="dxa"/>
                  <w:shd w:val="clear" w:color="auto" w:fill="auto"/>
                  <w:vAlign w:val="center"/>
                </w:tcPr>
                <w:p>
                  <w:pPr>
                    <w:pStyle w:val="169"/>
                  </w:pPr>
                  <w:r>
                    <w:rPr>
                      <w:rFonts w:hint="eastAsia"/>
                    </w:rPr>
                    <w:t>7</w:t>
                  </w:r>
                  <w:r>
                    <w:t>.80</w:t>
                  </w:r>
                </w:p>
              </w:tc>
              <w:tc>
                <w:tcPr>
                  <w:tcW w:w="889" w:type="dxa"/>
                  <w:shd w:val="clear" w:color="auto" w:fill="auto"/>
                  <w:vAlign w:val="center"/>
                </w:tcPr>
                <w:p>
                  <w:pPr>
                    <w:pStyle w:val="169"/>
                  </w:pPr>
                  <w:r>
                    <w:rPr>
                      <w:rFonts w:hint="eastAsia"/>
                    </w:rPr>
                    <w:t>1</w:t>
                  </w:r>
                  <w:r>
                    <w:t>6.7</w:t>
                  </w:r>
                </w:p>
              </w:tc>
              <w:tc>
                <w:tcPr>
                  <w:tcW w:w="889" w:type="dxa"/>
                  <w:shd w:val="clear" w:color="auto" w:fill="auto"/>
                  <w:vAlign w:val="center"/>
                </w:tcPr>
                <w:p>
                  <w:pPr>
                    <w:pStyle w:val="169"/>
                  </w:pPr>
                  <w:r>
                    <w:rPr>
                      <w:rFonts w:hint="eastAsia"/>
                    </w:rPr>
                    <w:t>8</w:t>
                  </w:r>
                  <w:r>
                    <w:t>8.6</w:t>
                  </w:r>
                </w:p>
              </w:tc>
              <w:tc>
                <w:tcPr>
                  <w:tcW w:w="889" w:type="dxa"/>
                  <w:shd w:val="clear" w:color="auto" w:fill="auto"/>
                  <w:vAlign w:val="center"/>
                </w:tcPr>
                <w:p>
                  <w:pPr>
                    <w:pStyle w:val="169"/>
                  </w:pPr>
                  <w:r>
                    <w:rPr>
                      <w:rFonts w:hint="eastAsia"/>
                    </w:rPr>
                    <w:t>1</w:t>
                  </w:r>
                  <w:r>
                    <w:t>6.7</w:t>
                  </w:r>
                </w:p>
              </w:tc>
              <w:tc>
                <w:tcPr>
                  <w:tcW w:w="889" w:type="dxa"/>
                  <w:shd w:val="clear" w:color="auto" w:fill="auto"/>
                  <w:vAlign w:val="center"/>
                </w:tcPr>
                <w:p>
                  <w:pPr>
                    <w:pStyle w:val="169"/>
                  </w:pPr>
                  <w:r>
                    <w:t>16.9</w:t>
                  </w:r>
                </w:p>
              </w:tc>
              <w:tc>
                <w:tcPr>
                  <w:tcW w:w="889" w:type="dxa"/>
                  <w:shd w:val="clear" w:color="auto" w:fill="auto"/>
                  <w:vAlign w:val="center"/>
                </w:tcPr>
                <w:p>
                  <w:pPr>
                    <w:pStyle w:val="169"/>
                  </w:pPr>
                  <w:r>
                    <w:t>60</w:t>
                  </w:r>
                </w:p>
              </w:tc>
              <w:tc>
                <w:tcPr>
                  <w:tcW w:w="889" w:type="dxa"/>
                  <w:shd w:val="clear" w:color="auto" w:fill="auto"/>
                  <w:vAlign w:val="center"/>
                </w:tcPr>
                <w:p>
                  <w:pPr>
                    <w:pStyle w:val="169"/>
                  </w:pPr>
                  <w:r>
                    <w:rPr>
                      <w:rFonts w:hint="eastAsia"/>
                    </w:rPr>
                    <w:t>2</w:t>
                  </w:r>
                  <w:r>
                    <w:t>68</w:t>
                  </w:r>
                </w:p>
              </w:tc>
              <w:tc>
                <w:tcPr>
                  <w:tcW w:w="885" w:type="dxa"/>
                  <w:shd w:val="clear" w:color="auto" w:fill="auto"/>
                  <w:vAlign w:val="center"/>
                </w:tcPr>
                <w:p>
                  <w:pPr>
                    <w:pStyle w:val="169"/>
                  </w:pPr>
                  <w:r>
                    <w:rPr>
                      <w:rFonts w:hint="eastAsia"/>
                    </w:rPr>
                    <w:t>N</w:t>
                  </w:r>
                </w:p>
              </w:tc>
            </w:tr>
          </w:tbl>
          <w:p/>
          <w:p>
            <w:pPr>
              <w:pStyle w:val="178"/>
              <w:ind w:firstLine="420"/>
              <w:rPr>
                <w:rFonts w:eastAsia="宋体"/>
                <w:color w:val="auto"/>
                <w:szCs w:val="21"/>
              </w:rPr>
            </w:pPr>
            <w:r>
              <w:rPr>
                <w:rFonts w:hint="eastAsia" w:eastAsia="宋体"/>
                <w:color w:val="auto"/>
                <w:szCs w:val="21"/>
              </w:rPr>
              <w:t xml:space="preserve">表3.4-3    地下水现状监测及评价结果 </w:t>
            </w:r>
            <w:r>
              <w:rPr>
                <w:rFonts w:eastAsia="宋体"/>
                <w:color w:val="auto"/>
                <w:szCs w:val="21"/>
              </w:rPr>
              <w:t xml:space="preserve">   </w:t>
            </w:r>
            <w:r>
              <w:rPr>
                <w:rFonts w:hint="eastAsia" w:eastAsia="宋体"/>
                <w:color w:val="auto"/>
                <w:szCs w:val="21"/>
              </w:rPr>
              <w:t>单位：mg/L</w:t>
            </w:r>
          </w:p>
          <w:tbl>
            <w:tblPr>
              <w:tblStyle w:val="88"/>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975"/>
              <w:gridCol w:w="1280"/>
              <w:gridCol w:w="1057"/>
              <w:gridCol w:w="1516"/>
              <w:gridCol w:w="1173"/>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jc w:val="center"/>
              </w:trPr>
              <w:tc>
                <w:tcPr>
                  <w:tcW w:w="820" w:type="pct"/>
                  <w:vMerge w:val="restart"/>
                  <w:shd w:val="clear" w:color="auto" w:fill="auto"/>
                  <w:vAlign w:val="center"/>
                </w:tcPr>
                <w:p>
                  <w:pPr>
                    <w:pStyle w:val="169"/>
                  </w:pPr>
                  <w:r>
                    <w:t>项目</w:t>
                  </w:r>
                </w:p>
              </w:tc>
              <w:tc>
                <w:tcPr>
                  <w:tcW w:w="553" w:type="pct"/>
                  <w:vMerge w:val="restart"/>
                  <w:vAlign w:val="center"/>
                </w:tcPr>
                <w:p>
                  <w:pPr>
                    <w:pStyle w:val="169"/>
                  </w:pPr>
                  <w:r>
                    <w:t>单位</w:t>
                  </w:r>
                </w:p>
              </w:tc>
              <w:tc>
                <w:tcPr>
                  <w:tcW w:w="1405" w:type="pct"/>
                  <w:gridSpan w:val="2"/>
                  <w:vAlign w:val="center"/>
                </w:tcPr>
                <w:p>
                  <w:pPr>
                    <w:pStyle w:val="169"/>
                  </w:pPr>
                  <w:r>
                    <w:t>D2</w:t>
                  </w:r>
                </w:p>
              </w:tc>
              <w:tc>
                <w:tcPr>
                  <w:tcW w:w="1615" w:type="pct"/>
                  <w:gridSpan w:val="2"/>
                  <w:vAlign w:val="center"/>
                </w:tcPr>
                <w:p>
                  <w:pPr>
                    <w:pStyle w:val="169"/>
                  </w:pPr>
                  <w:r>
                    <w:t>D3</w:t>
                  </w:r>
                </w:p>
              </w:tc>
              <w:tc>
                <w:tcPr>
                  <w:tcW w:w="607" w:type="pct"/>
                  <w:vMerge w:val="restart"/>
                  <w:vAlign w:val="center"/>
                </w:tcPr>
                <w:p>
                  <w:pPr>
                    <w:pStyle w:val="169"/>
                  </w:pPr>
                  <w: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Header/>
                <w:jc w:val="center"/>
              </w:trPr>
              <w:tc>
                <w:tcPr>
                  <w:tcW w:w="820" w:type="pct"/>
                  <w:vMerge w:val="continue"/>
                  <w:shd w:val="clear" w:color="auto" w:fill="auto"/>
                  <w:vAlign w:val="center"/>
                </w:tcPr>
                <w:p>
                  <w:pPr>
                    <w:pStyle w:val="169"/>
                  </w:pPr>
                </w:p>
              </w:tc>
              <w:tc>
                <w:tcPr>
                  <w:tcW w:w="553" w:type="pct"/>
                  <w:vMerge w:val="continue"/>
                  <w:vAlign w:val="center"/>
                </w:tcPr>
                <w:p>
                  <w:pPr>
                    <w:pStyle w:val="169"/>
                  </w:pPr>
                </w:p>
              </w:tc>
              <w:tc>
                <w:tcPr>
                  <w:tcW w:w="769" w:type="pct"/>
                  <w:vAlign w:val="center"/>
                </w:tcPr>
                <w:p>
                  <w:pPr>
                    <w:pStyle w:val="169"/>
                  </w:pPr>
                  <w:r>
                    <w:rPr>
                      <w:rFonts w:hint="eastAsia"/>
                    </w:rPr>
                    <w:t>监测值</w:t>
                  </w:r>
                </w:p>
              </w:tc>
              <w:tc>
                <w:tcPr>
                  <w:tcW w:w="636" w:type="pct"/>
                  <w:vAlign w:val="center"/>
                </w:tcPr>
                <w:p>
                  <w:pPr>
                    <w:pStyle w:val="169"/>
                  </w:pPr>
                  <w:r>
                    <w:t>Pi</w:t>
                  </w:r>
                  <w:r>
                    <w:rPr>
                      <w:rFonts w:hint="eastAsia"/>
                    </w:rPr>
                    <w:t>值</w:t>
                  </w:r>
                </w:p>
              </w:tc>
              <w:tc>
                <w:tcPr>
                  <w:tcW w:w="910" w:type="pct"/>
                  <w:vAlign w:val="center"/>
                </w:tcPr>
                <w:p>
                  <w:pPr>
                    <w:pStyle w:val="169"/>
                  </w:pPr>
                  <w:r>
                    <w:rPr>
                      <w:rFonts w:hint="eastAsia"/>
                    </w:rPr>
                    <w:t>监测值</w:t>
                  </w:r>
                </w:p>
              </w:tc>
              <w:tc>
                <w:tcPr>
                  <w:tcW w:w="705" w:type="pct"/>
                  <w:vAlign w:val="center"/>
                </w:tcPr>
                <w:p>
                  <w:pPr>
                    <w:pStyle w:val="169"/>
                  </w:pPr>
                  <w:r>
                    <w:t>Pi</w:t>
                  </w:r>
                  <w:r>
                    <w:rPr>
                      <w:rFonts w:hint="eastAsia"/>
                    </w:rPr>
                    <w:t>值</w:t>
                  </w:r>
                </w:p>
              </w:tc>
              <w:tc>
                <w:tcPr>
                  <w:tcW w:w="607" w:type="pct"/>
                  <w:vMerge w:val="continue"/>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浑浊度</w:t>
                  </w:r>
                </w:p>
              </w:tc>
              <w:tc>
                <w:tcPr>
                  <w:tcW w:w="553" w:type="pct"/>
                  <w:vAlign w:val="center"/>
                </w:tcPr>
                <w:p>
                  <w:pPr>
                    <w:pStyle w:val="169"/>
                  </w:pPr>
                  <w:r>
                    <w:t>NTU</w:t>
                  </w:r>
                </w:p>
              </w:tc>
              <w:tc>
                <w:tcPr>
                  <w:tcW w:w="769" w:type="pct"/>
                  <w:vAlign w:val="center"/>
                </w:tcPr>
                <w:p>
                  <w:pPr>
                    <w:pStyle w:val="169"/>
                  </w:pPr>
                  <w:r>
                    <w:t>2</w:t>
                  </w:r>
                </w:p>
              </w:tc>
              <w:tc>
                <w:tcPr>
                  <w:tcW w:w="636" w:type="pct"/>
                  <w:vAlign w:val="center"/>
                </w:tcPr>
                <w:p>
                  <w:pPr>
                    <w:pStyle w:val="169"/>
                  </w:pPr>
                  <w:r>
                    <w:t>0.67</w:t>
                  </w:r>
                </w:p>
              </w:tc>
              <w:tc>
                <w:tcPr>
                  <w:tcW w:w="910" w:type="pct"/>
                  <w:vAlign w:val="center"/>
                </w:tcPr>
                <w:p>
                  <w:pPr>
                    <w:pStyle w:val="169"/>
                  </w:pPr>
                  <w:r>
                    <w:t>1</w:t>
                  </w:r>
                </w:p>
              </w:tc>
              <w:tc>
                <w:tcPr>
                  <w:tcW w:w="705" w:type="pct"/>
                  <w:vAlign w:val="center"/>
                </w:tcPr>
                <w:p>
                  <w:pPr>
                    <w:pStyle w:val="169"/>
                  </w:pPr>
                  <w:r>
                    <w:t>0.33</w:t>
                  </w:r>
                </w:p>
              </w:tc>
              <w:tc>
                <w:tcPr>
                  <w:tcW w:w="607" w:type="pct"/>
                  <w:vAlign w:val="center"/>
                </w:tcPr>
                <w:p>
                  <w:pPr>
                    <w:pStyle w:val="169"/>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pH</w:t>
                  </w:r>
                </w:p>
              </w:tc>
              <w:tc>
                <w:tcPr>
                  <w:tcW w:w="553" w:type="pct"/>
                  <w:vAlign w:val="center"/>
                </w:tcPr>
                <w:p>
                  <w:pPr>
                    <w:pStyle w:val="169"/>
                  </w:pPr>
                  <w:r>
                    <w:t>无量纲</w:t>
                  </w:r>
                </w:p>
              </w:tc>
              <w:tc>
                <w:tcPr>
                  <w:tcW w:w="769" w:type="pct"/>
                  <w:vAlign w:val="center"/>
                </w:tcPr>
                <w:p>
                  <w:pPr>
                    <w:pStyle w:val="169"/>
                  </w:pPr>
                  <w:r>
                    <w:t>7.12</w:t>
                  </w:r>
                </w:p>
              </w:tc>
              <w:tc>
                <w:tcPr>
                  <w:tcW w:w="636" w:type="pct"/>
                  <w:vAlign w:val="center"/>
                </w:tcPr>
                <w:p>
                  <w:pPr>
                    <w:pStyle w:val="169"/>
                  </w:pPr>
                  <w:r>
                    <w:t>0.08</w:t>
                  </w:r>
                </w:p>
              </w:tc>
              <w:tc>
                <w:tcPr>
                  <w:tcW w:w="910" w:type="pct"/>
                  <w:vAlign w:val="center"/>
                </w:tcPr>
                <w:p>
                  <w:pPr>
                    <w:pStyle w:val="169"/>
                  </w:pPr>
                  <w:r>
                    <w:t>7.26</w:t>
                  </w:r>
                </w:p>
              </w:tc>
              <w:tc>
                <w:tcPr>
                  <w:tcW w:w="705" w:type="pct"/>
                  <w:vAlign w:val="center"/>
                </w:tcPr>
                <w:p>
                  <w:pPr>
                    <w:pStyle w:val="169"/>
                  </w:pPr>
                  <w:r>
                    <w:t>0.17</w:t>
                  </w:r>
                </w:p>
              </w:tc>
              <w:tc>
                <w:tcPr>
                  <w:tcW w:w="607" w:type="pct"/>
                  <w:vAlign w:val="center"/>
                </w:tcPr>
                <w:p>
                  <w:pPr>
                    <w:pStyle w:val="169"/>
                  </w:pPr>
                  <w: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总硬度</w:t>
                  </w:r>
                </w:p>
              </w:tc>
              <w:tc>
                <w:tcPr>
                  <w:tcW w:w="553" w:type="pct"/>
                  <w:vAlign w:val="center"/>
                </w:tcPr>
                <w:p>
                  <w:pPr>
                    <w:pStyle w:val="169"/>
                  </w:pPr>
                  <w:r>
                    <w:t>mg/L</w:t>
                  </w:r>
                </w:p>
              </w:tc>
              <w:tc>
                <w:tcPr>
                  <w:tcW w:w="769" w:type="pct"/>
                  <w:vAlign w:val="center"/>
                </w:tcPr>
                <w:p>
                  <w:pPr>
                    <w:pStyle w:val="169"/>
                  </w:pPr>
                  <w:r>
                    <w:t>115</w:t>
                  </w:r>
                </w:p>
              </w:tc>
              <w:tc>
                <w:tcPr>
                  <w:tcW w:w="636" w:type="pct"/>
                  <w:vAlign w:val="center"/>
                </w:tcPr>
                <w:p>
                  <w:pPr>
                    <w:pStyle w:val="169"/>
                  </w:pPr>
                  <w:r>
                    <w:t>0.26</w:t>
                  </w:r>
                </w:p>
              </w:tc>
              <w:tc>
                <w:tcPr>
                  <w:tcW w:w="910" w:type="pct"/>
                  <w:vAlign w:val="center"/>
                </w:tcPr>
                <w:p>
                  <w:pPr>
                    <w:pStyle w:val="169"/>
                  </w:pPr>
                  <w:r>
                    <w:t>250</w:t>
                  </w:r>
                </w:p>
              </w:tc>
              <w:tc>
                <w:tcPr>
                  <w:tcW w:w="705" w:type="pct"/>
                  <w:vAlign w:val="center"/>
                </w:tcPr>
                <w:p>
                  <w:pPr>
                    <w:pStyle w:val="169"/>
                  </w:pPr>
                  <w:r>
                    <w:t>0.56</w:t>
                  </w:r>
                </w:p>
              </w:tc>
              <w:tc>
                <w:tcPr>
                  <w:tcW w:w="607" w:type="pct"/>
                  <w:vAlign w:val="center"/>
                </w:tcPr>
                <w:p>
                  <w:pPr>
                    <w:pStyle w:val="169"/>
                  </w:pPr>
                  <w: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20" w:type="pct"/>
                  <w:shd w:val="clear" w:color="auto" w:fill="auto"/>
                  <w:vAlign w:val="center"/>
                </w:tcPr>
                <w:p>
                  <w:pPr>
                    <w:pStyle w:val="169"/>
                  </w:pPr>
                  <w:r>
                    <w:t>溶解性总固体</w:t>
                  </w:r>
                </w:p>
              </w:tc>
              <w:tc>
                <w:tcPr>
                  <w:tcW w:w="553" w:type="pct"/>
                  <w:vAlign w:val="center"/>
                </w:tcPr>
                <w:p>
                  <w:pPr>
                    <w:pStyle w:val="169"/>
                  </w:pPr>
                  <w:r>
                    <w:t>mg/L</w:t>
                  </w:r>
                </w:p>
              </w:tc>
              <w:tc>
                <w:tcPr>
                  <w:tcW w:w="769" w:type="pct"/>
                  <w:vAlign w:val="center"/>
                </w:tcPr>
                <w:p>
                  <w:pPr>
                    <w:pStyle w:val="169"/>
                  </w:pPr>
                  <w:r>
                    <w:t>487</w:t>
                  </w:r>
                </w:p>
              </w:tc>
              <w:tc>
                <w:tcPr>
                  <w:tcW w:w="636" w:type="pct"/>
                  <w:vAlign w:val="center"/>
                </w:tcPr>
                <w:p>
                  <w:pPr>
                    <w:pStyle w:val="169"/>
                  </w:pPr>
                  <w:r>
                    <w:t>0.487</w:t>
                  </w:r>
                </w:p>
              </w:tc>
              <w:tc>
                <w:tcPr>
                  <w:tcW w:w="910" w:type="pct"/>
                  <w:vAlign w:val="center"/>
                </w:tcPr>
                <w:p>
                  <w:pPr>
                    <w:pStyle w:val="169"/>
                  </w:pPr>
                  <w:r>
                    <w:t>402</w:t>
                  </w:r>
                </w:p>
              </w:tc>
              <w:tc>
                <w:tcPr>
                  <w:tcW w:w="705" w:type="pct"/>
                  <w:vAlign w:val="center"/>
                </w:tcPr>
                <w:p>
                  <w:pPr>
                    <w:pStyle w:val="169"/>
                  </w:pPr>
                  <w:r>
                    <w:t>0.402</w:t>
                  </w:r>
                </w:p>
              </w:tc>
              <w:tc>
                <w:tcPr>
                  <w:tcW w:w="607" w:type="pct"/>
                  <w:vAlign w:val="center"/>
                </w:tcPr>
                <w:p>
                  <w:pPr>
                    <w:pStyle w:val="169"/>
                  </w:pP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20" w:type="pct"/>
                  <w:shd w:val="clear" w:color="auto" w:fill="auto"/>
                  <w:vAlign w:val="center"/>
                </w:tcPr>
                <w:p>
                  <w:pPr>
                    <w:pStyle w:val="169"/>
                  </w:pPr>
                  <w:r>
                    <w:t>硫酸盐</w:t>
                  </w:r>
                </w:p>
              </w:tc>
              <w:tc>
                <w:tcPr>
                  <w:tcW w:w="553" w:type="pct"/>
                  <w:vAlign w:val="center"/>
                </w:tcPr>
                <w:p>
                  <w:pPr>
                    <w:pStyle w:val="169"/>
                  </w:pPr>
                  <w:r>
                    <w:t>mg/L</w:t>
                  </w:r>
                </w:p>
              </w:tc>
              <w:tc>
                <w:tcPr>
                  <w:tcW w:w="769" w:type="pct"/>
                  <w:vAlign w:val="center"/>
                </w:tcPr>
                <w:p>
                  <w:pPr>
                    <w:pStyle w:val="169"/>
                  </w:pPr>
                  <w:r>
                    <w:t>33</w:t>
                  </w:r>
                </w:p>
              </w:tc>
              <w:tc>
                <w:tcPr>
                  <w:tcW w:w="636" w:type="pct"/>
                  <w:vAlign w:val="center"/>
                </w:tcPr>
                <w:p>
                  <w:pPr>
                    <w:pStyle w:val="169"/>
                  </w:pPr>
                  <w:r>
                    <w:t>0.13</w:t>
                  </w:r>
                </w:p>
              </w:tc>
              <w:tc>
                <w:tcPr>
                  <w:tcW w:w="910" w:type="pct"/>
                  <w:vAlign w:val="center"/>
                </w:tcPr>
                <w:p>
                  <w:pPr>
                    <w:pStyle w:val="169"/>
                  </w:pPr>
                  <w:r>
                    <w:t>62.3</w:t>
                  </w:r>
                </w:p>
              </w:tc>
              <w:tc>
                <w:tcPr>
                  <w:tcW w:w="705" w:type="pct"/>
                  <w:vAlign w:val="center"/>
                </w:tcPr>
                <w:p>
                  <w:pPr>
                    <w:pStyle w:val="169"/>
                  </w:pPr>
                  <w:r>
                    <w:t>0.25</w:t>
                  </w:r>
                </w:p>
              </w:tc>
              <w:tc>
                <w:tcPr>
                  <w:tcW w:w="607" w:type="pct"/>
                  <w:vAlign w:val="center"/>
                </w:tcPr>
                <w:p>
                  <w:pPr>
                    <w:pStyle w:val="169"/>
                  </w:pPr>
                  <w: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氯化物</w:t>
                  </w:r>
                </w:p>
              </w:tc>
              <w:tc>
                <w:tcPr>
                  <w:tcW w:w="553" w:type="pct"/>
                  <w:vAlign w:val="center"/>
                </w:tcPr>
                <w:p>
                  <w:pPr>
                    <w:pStyle w:val="169"/>
                  </w:pPr>
                  <w:r>
                    <w:t>mg/L</w:t>
                  </w:r>
                </w:p>
              </w:tc>
              <w:tc>
                <w:tcPr>
                  <w:tcW w:w="769" w:type="pct"/>
                  <w:vAlign w:val="center"/>
                </w:tcPr>
                <w:p>
                  <w:pPr>
                    <w:pStyle w:val="169"/>
                  </w:pPr>
                  <w:r>
                    <w:t>48.7</w:t>
                  </w:r>
                </w:p>
              </w:tc>
              <w:tc>
                <w:tcPr>
                  <w:tcW w:w="636" w:type="pct"/>
                  <w:vAlign w:val="center"/>
                </w:tcPr>
                <w:p>
                  <w:pPr>
                    <w:pStyle w:val="169"/>
                  </w:pPr>
                  <w:r>
                    <w:t>0.19</w:t>
                  </w:r>
                </w:p>
              </w:tc>
              <w:tc>
                <w:tcPr>
                  <w:tcW w:w="910" w:type="pct"/>
                  <w:vAlign w:val="center"/>
                </w:tcPr>
                <w:p>
                  <w:pPr>
                    <w:pStyle w:val="169"/>
                  </w:pPr>
                  <w:r>
                    <w:t>14.7</w:t>
                  </w:r>
                </w:p>
              </w:tc>
              <w:tc>
                <w:tcPr>
                  <w:tcW w:w="705" w:type="pct"/>
                  <w:vAlign w:val="center"/>
                </w:tcPr>
                <w:p>
                  <w:pPr>
                    <w:pStyle w:val="169"/>
                  </w:pPr>
                  <w:r>
                    <w:t>0.06</w:t>
                  </w:r>
                </w:p>
              </w:tc>
              <w:tc>
                <w:tcPr>
                  <w:tcW w:w="607" w:type="pct"/>
                  <w:vAlign w:val="center"/>
                </w:tcPr>
                <w:p>
                  <w:pPr>
                    <w:pStyle w:val="169"/>
                  </w:pPr>
                  <w: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铁</w:t>
                  </w:r>
                </w:p>
              </w:tc>
              <w:tc>
                <w:tcPr>
                  <w:tcW w:w="553" w:type="pct"/>
                  <w:vAlign w:val="center"/>
                </w:tcPr>
                <w:p>
                  <w:pPr>
                    <w:pStyle w:val="169"/>
                  </w:pPr>
                  <w:r>
                    <w:t>mg/L</w:t>
                  </w:r>
                </w:p>
              </w:tc>
              <w:tc>
                <w:tcPr>
                  <w:tcW w:w="769" w:type="pct"/>
                  <w:vAlign w:val="center"/>
                </w:tcPr>
                <w:p>
                  <w:pPr>
                    <w:pStyle w:val="169"/>
                  </w:pPr>
                  <w:r>
                    <w:t>0.03L</w:t>
                  </w:r>
                </w:p>
              </w:tc>
              <w:tc>
                <w:tcPr>
                  <w:tcW w:w="636" w:type="pct"/>
                  <w:vAlign w:val="center"/>
                </w:tcPr>
                <w:p>
                  <w:pPr>
                    <w:pStyle w:val="169"/>
                  </w:pPr>
                  <w:r>
                    <w:t>/</w:t>
                  </w:r>
                </w:p>
              </w:tc>
              <w:tc>
                <w:tcPr>
                  <w:tcW w:w="910" w:type="pct"/>
                  <w:vAlign w:val="center"/>
                </w:tcPr>
                <w:p>
                  <w:pPr>
                    <w:pStyle w:val="169"/>
                  </w:pPr>
                  <w:r>
                    <w:t>0.03L</w:t>
                  </w:r>
                </w:p>
              </w:tc>
              <w:tc>
                <w:tcPr>
                  <w:tcW w:w="705" w:type="pct"/>
                  <w:vAlign w:val="center"/>
                </w:tcPr>
                <w:p>
                  <w:pPr>
                    <w:pStyle w:val="169"/>
                  </w:pPr>
                  <w:r>
                    <w:t>/</w:t>
                  </w:r>
                </w:p>
              </w:tc>
              <w:tc>
                <w:tcPr>
                  <w:tcW w:w="607" w:type="pct"/>
                  <w:vAlign w:val="center"/>
                </w:tcPr>
                <w:p>
                  <w:pPr>
                    <w:pStyle w:val="169"/>
                  </w:pPr>
                  <w: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锰</w:t>
                  </w:r>
                </w:p>
              </w:tc>
              <w:tc>
                <w:tcPr>
                  <w:tcW w:w="553" w:type="pct"/>
                  <w:vAlign w:val="center"/>
                </w:tcPr>
                <w:p>
                  <w:pPr>
                    <w:pStyle w:val="169"/>
                  </w:pPr>
                  <w:r>
                    <w:t>mg/L</w:t>
                  </w:r>
                </w:p>
              </w:tc>
              <w:tc>
                <w:tcPr>
                  <w:tcW w:w="769" w:type="pct"/>
                  <w:vAlign w:val="center"/>
                </w:tcPr>
                <w:p>
                  <w:pPr>
                    <w:pStyle w:val="169"/>
                  </w:pPr>
                  <w:r>
                    <w:t>0.01L</w:t>
                  </w:r>
                </w:p>
              </w:tc>
              <w:tc>
                <w:tcPr>
                  <w:tcW w:w="636" w:type="pct"/>
                  <w:vAlign w:val="center"/>
                </w:tcPr>
                <w:p>
                  <w:pPr>
                    <w:pStyle w:val="169"/>
                  </w:pPr>
                  <w:r>
                    <w:t>/</w:t>
                  </w:r>
                </w:p>
              </w:tc>
              <w:tc>
                <w:tcPr>
                  <w:tcW w:w="910" w:type="pct"/>
                  <w:vAlign w:val="center"/>
                </w:tcPr>
                <w:p>
                  <w:pPr>
                    <w:pStyle w:val="169"/>
                  </w:pPr>
                  <w:r>
                    <w:t>0.01L</w:t>
                  </w:r>
                </w:p>
              </w:tc>
              <w:tc>
                <w:tcPr>
                  <w:tcW w:w="705" w:type="pct"/>
                  <w:vAlign w:val="center"/>
                </w:tcPr>
                <w:p>
                  <w:pPr>
                    <w:pStyle w:val="169"/>
                  </w:pPr>
                  <w:r>
                    <w:t>/</w:t>
                  </w:r>
                </w:p>
              </w:tc>
              <w:tc>
                <w:tcPr>
                  <w:tcW w:w="607" w:type="pct"/>
                  <w:vAlign w:val="center"/>
                </w:tcPr>
                <w:p>
                  <w:pPr>
                    <w:pStyle w:val="169"/>
                  </w:pPr>
                  <w: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20" w:type="pct"/>
                  <w:shd w:val="clear" w:color="auto" w:fill="auto"/>
                  <w:vAlign w:val="center"/>
                </w:tcPr>
                <w:p>
                  <w:pPr>
                    <w:pStyle w:val="169"/>
                  </w:pPr>
                  <w:r>
                    <w:t>挥发性酚类</w:t>
                  </w:r>
                </w:p>
              </w:tc>
              <w:tc>
                <w:tcPr>
                  <w:tcW w:w="553" w:type="pct"/>
                  <w:vAlign w:val="center"/>
                </w:tcPr>
                <w:p>
                  <w:pPr>
                    <w:pStyle w:val="169"/>
                  </w:pPr>
                  <w:r>
                    <w:t>mg/L</w:t>
                  </w:r>
                </w:p>
              </w:tc>
              <w:tc>
                <w:tcPr>
                  <w:tcW w:w="769" w:type="pct"/>
                  <w:vAlign w:val="center"/>
                </w:tcPr>
                <w:p>
                  <w:pPr>
                    <w:pStyle w:val="169"/>
                  </w:pPr>
                  <w:r>
                    <w:t>0.0003L</w:t>
                  </w:r>
                </w:p>
              </w:tc>
              <w:tc>
                <w:tcPr>
                  <w:tcW w:w="636" w:type="pct"/>
                  <w:vAlign w:val="center"/>
                </w:tcPr>
                <w:p>
                  <w:pPr>
                    <w:pStyle w:val="169"/>
                  </w:pPr>
                  <w:r>
                    <w:t>/</w:t>
                  </w:r>
                </w:p>
              </w:tc>
              <w:tc>
                <w:tcPr>
                  <w:tcW w:w="910" w:type="pct"/>
                  <w:vAlign w:val="center"/>
                </w:tcPr>
                <w:p>
                  <w:pPr>
                    <w:pStyle w:val="169"/>
                  </w:pPr>
                  <w:r>
                    <w:t>0.0003L</w:t>
                  </w:r>
                </w:p>
              </w:tc>
              <w:tc>
                <w:tcPr>
                  <w:tcW w:w="705" w:type="pct"/>
                  <w:vAlign w:val="center"/>
                </w:tcPr>
                <w:p>
                  <w:pPr>
                    <w:pStyle w:val="169"/>
                  </w:pPr>
                  <w:r>
                    <w:t>/</w:t>
                  </w:r>
                </w:p>
              </w:tc>
              <w:tc>
                <w:tcPr>
                  <w:tcW w:w="607" w:type="pct"/>
                  <w:vAlign w:val="center"/>
                </w:tcPr>
                <w:p>
                  <w:pPr>
                    <w:pStyle w:val="169"/>
                  </w:pPr>
                  <w: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20" w:type="pct"/>
                  <w:shd w:val="clear" w:color="auto" w:fill="auto"/>
                  <w:vAlign w:val="center"/>
                </w:tcPr>
                <w:p>
                  <w:pPr>
                    <w:pStyle w:val="169"/>
                  </w:pPr>
                  <w:r>
                    <w:t>阴离子表面活性剂</w:t>
                  </w:r>
                </w:p>
              </w:tc>
              <w:tc>
                <w:tcPr>
                  <w:tcW w:w="553" w:type="pct"/>
                  <w:vAlign w:val="center"/>
                </w:tcPr>
                <w:p>
                  <w:pPr>
                    <w:pStyle w:val="169"/>
                  </w:pPr>
                  <w:r>
                    <w:t>mg/L</w:t>
                  </w:r>
                </w:p>
              </w:tc>
              <w:tc>
                <w:tcPr>
                  <w:tcW w:w="769" w:type="pct"/>
                  <w:vAlign w:val="center"/>
                </w:tcPr>
                <w:p>
                  <w:pPr>
                    <w:pStyle w:val="169"/>
                  </w:pPr>
                  <w:r>
                    <w:t>0.05L</w:t>
                  </w:r>
                </w:p>
              </w:tc>
              <w:tc>
                <w:tcPr>
                  <w:tcW w:w="636" w:type="pct"/>
                  <w:vAlign w:val="center"/>
                </w:tcPr>
                <w:p>
                  <w:pPr>
                    <w:pStyle w:val="169"/>
                  </w:pPr>
                  <w:r>
                    <w:t>/</w:t>
                  </w:r>
                </w:p>
              </w:tc>
              <w:tc>
                <w:tcPr>
                  <w:tcW w:w="910" w:type="pct"/>
                  <w:vAlign w:val="center"/>
                </w:tcPr>
                <w:p>
                  <w:pPr>
                    <w:pStyle w:val="169"/>
                  </w:pPr>
                  <w:r>
                    <w:t>0.05L</w:t>
                  </w:r>
                </w:p>
              </w:tc>
              <w:tc>
                <w:tcPr>
                  <w:tcW w:w="705" w:type="pct"/>
                  <w:vAlign w:val="center"/>
                </w:tcPr>
                <w:p>
                  <w:pPr>
                    <w:pStyle w:val="169"/>
                  </w:pPr>
                  <w:r>
                    <w:t>/</w:t>
                  </w:r>
                </w:p>
              </w:tc>
              <w:tc>
                <w:tcPr>
                  <w:tcW w:w="607" w:type="pct"/>
                  <w:vAlign w:val="center"/>
                </w:tcPr>
                <w:p>
                  <w:pPr>
                    <w:pStyle w:val="169"/>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耗氧量</w:t>
                  </w:r>
                </w:p>
              </w:tc>
              <w:tc>
                <w:tcPr>
                  <w:tcW w:w="553" w:type="pct"/>
                  <w:vAlign w:val="center"/>
                </w:tcPr>
                <w:p>
                  <w:pPr>
                    <w:pStyle w:val="169"/>
                  </w:pPr>
                  <w:r>
                    <w:t>mg/L</w:t>
                  </w:r>
                </w:p>
              </w:tc>
              <w:tc>
                <w:tcPr>
                  <w:tcW w:w="769" w:type="pct"/>
                  <w:vAlign w:val="center"/>
                </w:tcPr>
                <w:p>
                  <w:pPr>
                    <w:pStyle w:val="169"/>
                  </w:pPr>
                  <w:r>
                    <w:t>1.61</w:t>
                  </w:r>
                </w:p>
              </w:tc>
              <w:tc>
                <w:tcPr>
                  <w:tcW w:w="636" w:type="pct"/>
                  <w:vAlign w:val="center"/>
                </w:tcPr>
                <w:p>
                  <w:pPr>
                    <w:pStyle w:val="169"/>
                  </w:pPr>
                  <w:r>
                    <w:t>0.54</w:t>
                  </w:r>
                </w:p>
              </w:tc>
              <w:tc>
                <w:tcPr>
                  <w:tcW w:w="910" w:type="pct"/>
                  <w:vAlign w:val="center"/>
                </w:tcPr>
                <w:p>
                  <w:pPr>
                    <w:pStyle w:val="169"/>
                  </w:pPr>
                  <w:r>
                    <w:t>2.02</w:t>
                  </w:r>
                </w:p>
              </w:tc>
              <w:tc>
                <w:tcPr>
                  <w:tcW w:w="705" w:type="pct"/>
                  <w:vAlign w:val="center"/>
                </w:tcPr>
                <w:p>
                  <w:pPr>
                    <w:pStyle w:val="169"/>
                  </w:pPr>
                  <w:r>
                    <w:t>0.67</w:t>
                  </w:r>
                </w:p>
              </w:tc>
              <w:tc>
                <w:tcPr>
                  <w:tcW w:w="607" w:type="pct"/>
                  <w:vAlign w:val="center"/>
                </w:tcPr>
                <w:p>
                  <w:pPr>
                    <w:pStyle w:val="169"/>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氨氮</w:t>
                  </w:r>
                </w:p>
              </w:tc>
              <w:tc>
                <w:tcPr>
                  <w:tcW w:w="553" w:type="pct"/>
                  <w:vAlign w:val="center"/>
                </w:tcPr>
                <w:p>
                  <w:pPr>
                    <w:pStyle w:val="169"/>
                  </w:pPr>
                  <w:r>
                    <w:t>mg/L</w:t>
                  </w:r>
                </w:p>
              </w:tc>
              <w:tc>
                <w:tcPr>
                  <w:tcW w:w="769" w:type="pct"/>
                  <w:vAlign w:val="center"/>
                </w:tcPr>
                <w:p>
                  <w:pPr>
                    <w:pStyle w:val="169"/>
                  </w:pPr>
                  <w:r>
                    <w:t>0.151</w:t>
                  </w:r>
                </w:p>
              </w:tc>
              <w:tc>
                <w:tcPr>
                  <w:tcW w:w="636" w:type="pct"/>
                  <w:vAlign w:val="center"/>
                </w:tcPr>
                <w:p>
                  <w:pPr>
                    <w:pStyle w:val="169"/>
                  </w:pPr>
                  <w:r>
                    <w:t>0.302</w:t>
                  </w:r>
                </w:p>
              </w:tc>
              <w:tc>
                <w:tcPr>
                  <w:tcW w:w="910" w:type="pct"/>
                  <w:vAlign w:val="center"/>
                </w:tcPr>
                <w:p>
                  <w:pPr>
                    <w:pStyle w:val="169"/>
                  </w:pPr>
                  <w:r>
                    <w:t>0.042</w:t>
                  </w:r>
                </w:p>
              </w:tc>
              <w:tc>
                <w:tcPr>
                  <w:tcW w:w="705" w:type="pct"/>
                  <w:vAlign w:val="center"/>
                </w:tcPr>
                <w:p>
                  <w:pPr>
                    <w:pStyle w:val="169"/>
                  </w:pPr>
                  <w:r>
                    <w:t>0.084</w:t>
                  </w:r>
                </w:p>
              </w:tc>
              <w:tc>
                <w:tcPr>
                  <w:tcW w:w="607" w:type="pct"/>
                  <w:vAlign w:val="center"/>
                </w:tcPr>
                <w:p>
                  <w:pPr>
                    <w:pStyle w:val="169"/>
                  </w:pPr>
                  <w: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20" w:type="pct"/>
                  <w:shd w:val="clear" w:color="auto" w:fill="auto"/>
                  <w:vAlign w:val="center"/>
                </w:tcPr>
                <w:p>
                  <w:pPr>
                    <w:pStyle w:val="169"/>
                  </w:pPr>
                  <w:r>
                    <w:t>硫化物</w:t>
                  </w:r>
                </w:p>
              </w:tc>
              <w:tc>
                <w:tcPr>
                  <w:tcW w:w="553" w:type="pct"/>
                  <w:vAlign w:val="center"/>
                </w:tcPr>
                <w:p>
                  <w:pPr>
                    <w:pStyle w:val="169"/>
                  </w:pPr>
                  <w:r>
                    <w:t>mg/L</w:t>
                  </w:r>
                </w:p>
              </w:tc>
              <w:tc>
                <w:tcPr>
                  <w:tcW w:w="769" w:type="pct"/>
                  <w:vAlign w:val="center"/>
                </w:tcPr>
                <w:p>
                  <w:pPr>
                    <w:pStyle w:val="169"/>
                  </w:pPr>
                  <w:r>
                    <w:t>0.01L</w:t>
                  </w:r>
                </w:p>
              </w:tc>
              <w:tc>
                <w:tcPr>
                  <w:tcW w:w="636" w:type="pct"/>
                  <w:vAlign w:val="center"/>
                </w:tcPr>
                <w:p>
                  <w:pPr>
                    <w:pStyle w:val="169"/>
                  </w:pPr>
                  <w:r>
                    <w:t>/</w:t>
                  </w:r>
                </w:p>
              </w:tc>
              <w:tc>
                <w:tcPr>
                  <w:tcW w:w="910" w:type="pct"/>
                  <w:vAlign w:val="center"/>
                </w:tcPr>
                <w:p>
                  <w:pPr>
                    <w:pStyle w:val="169"/>
                  </w:pPr>
                  <w:r>
                    <w:t>0.01L</w:t>
                  </w:r>
                </w:p>
              </w:tc>
              <w:tc>
                <w:tcPr>
                  <w:tcW w:w="705" w:type="pct"/>
                  <w:vAlign w:val="center"/>
                </w:tcPr>
                <w:p>
                  <w:pPr>
                    <w:pStyle w:val="169"/>
                  </w:pPr>
                  <w:r>
                    <w:t>/</w:t>
                  </w:r>
                </w:p>
              </w:tc>
              <w:tc>
                <w:tcPr>
                  <w:tcW w:w="607" w:type="pct"/>
                  <w:vAlign w:val="center"/>
                </w:tcPr>
                <w:p>
                  <w:pPr>
                    <w:pStyle w:val="169"/>
                  </w:pPr>
                  <w: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20" w:type="pct"/>
                  <w:shd w:val="clear" w:color="auto" w:fill="auto"/>
                  <w:vAlign w:val="center"/>
                </w:tcPr>
                <w:p>
                  <w:pPr>
                    <w:pStyle w:val="169"/>
                  </w:pPr>
                  <w:r>
                    <w:t>总大肠菌群</w:t>
                  </w:r>
                </w:p>
              </w:tc>
              <w:tc>
                <w:tcPr>
                  <w:tcW w:w="553" w:type="pct"/>
                  <w:vAlign w:val="center"/>
                </w:tcPr>
                <w:p>
                  <w:pPr>
                    <w:pStyle w:val="169"/>
                  </w:pPr>
                  <w:r>
                    <w:t>MPN/</w:t>
                  </w:r>
                </w:p>
                <w:p>
                  <w:pPr>
                    <w:pStyle w:val="169"/>
                  </w:pPr>
                  <w:r>
                    <w:t>100mL</w:t>
                  </w:r>
                </w:p>
              </w:tc>
              <w:tc>
                <w:tcPr>
                  <w:tcW w:w="769" w:type="pct"/>
                  <w:vAlign w:val="center"/>
                </w:tcPr>
                <w:p>
                  <w:pPr>
                    <w:pStyle w:val="169"/>
                  </w:pPr>
                  <w:r>
                    <w:t>未检出</w:t>
                  </w:r>
                </w:p>
              </w:tc>
              <w:tc>
                <w:tcPr>
                  <w:tcW w:w="636" w:type="pct"/>
                  <w:vAlign w:val="center"/>
                </w:tcPr>
                <w:p>
                  <w:pPr>
                    <w:pStyle w:val="169"/>
                  </w:pPr>
                  <w:r>
                    <w:t>/</w:t>
                  </w:r>
                </w:p>
              </w:tc>
              <w:tc>
                <w:tcPr>
                  <w:tcW w:w="910" w:type="pct"/>
                  <w:vAlign w:val="center"/>
                </w:tcPr>
                <w:p>
                  <w:pPr>
                    <w:pStyle w:val="169"/>
                  </w:pPr>
                  <w:r>
                    <w:t>未检出</w:t>
                  </w:r>
                </w:p>
              </w:tc>
              <w:tc>
                <w:tcPr>
                  <w:tcW w:w="705" w:type="pct"/>
                  <w:vAlign w:val="center"/>
                </w:tcPr>
                <w:p>
                  <w:pPr>
                    <w:pStyle w:val="169"/>
                  </w:pPr>
                  <w:r>
                    <w:t>/</w:t>
                  </w:r>
                </w:p>
              </w:tc>
              <w:tc>
                <w:tcPr>
                  <w:tcW w:w="607" w:type="pct"/>
                  <w:vAlign w:val="center"/>
                </w:tcPr>
                <w:p>
                  <w:pPr>
                    <w:pStyle w:val="169"/>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菌落总数</w:t>
                  </w:r>
                </w:p>
              </w:tc>
              <w:tc>
                <w:tcPr>
                  <w:tcW w:w="553" w:type="pct"/>
                  <w:vAlign w:val="center"/>
                </w:tcPr>
                <w:p>
                  <w:pPr>
                    <w:pStyle w:val="169"/>
                  </w:pPr>
                  <w:r>
                    <w:t>CFU/mL</w:t>
                  </w:r>
                </w:p>
              </w:tc>
              <w:tc>
                <w:tcPr>
                  <w:tcW w:w="769" w:type="pct"/>
                  <w:vAlign w:val="center"/>
                </w:tcPr>
                <w:p>
                  <w:pPr>
                    <w:pStyle w:val="169"/>
                  </w:pPr>
                  <w:r>
                    <w:t>35</w:t>
                  </w:r>
                </w:p>
              </w:tc>
              <w:tc>
                <w:tcPr>
                  <w:tcW w:w="636" w:type="pct"/>
                  <w:vAlign w:val="center"/>
                </w:tcPr>
                <w:p>
                  <w:pPr>
                    <w:pStyle w:val="169"/>
                  </w:pPr>
                  <w:r>
                    <w:t>0.35</w:t>
                  </w:r>
                </w:p>
              </w:tc>
              <w:tc>
                <w:tcPr>
                  <w:tcW w:w="910" w:type="pct"/>
                  <w:vAlign w:val="center"/>
                </w:tcPr>
                <w:p>
                  <w:pPr>
                    <w:pStyle w:val="169"/>
                  </w:pPr>
                  <w:r>
                    <w:t>34</w:t>
                  </w:r>
                </w:p>
              </w:tc>
              <w:tc>
                <w:tcPr>
                  <w:tcW w:w="705" w:type="pct"/>
                  <w:vAlign w:val="center"/>
                </w:tcPr>
                <w:p>
                  <w:pPr>
                    <w:pStyle w:val="169"/>
                  </w:pPr>
                  <w:r>
                    <w:t>0.34</w:t>
                  </w:r>
                </w:p>
              </w:tc>
              <w:tc>
                <w:tcPr>
                  <w:tcW w:w="607" w:type="pct"/>
                  <w:vAlign w:val="center"/>
                </w:tcPr>
                <w:p>
                  <w:pPr>
                    <w:pStyle w:val="169"/>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亚硝酸盐</w:t>
                  </w:r>
                </w:p>
              </w:tc>
              <w:tc>
                <w:tcPr>
                  <w:tcW w:w="553" w:type="pct"/>
                  <w:vAlign w:val="center"/>
                </w:tcPr>
                <w:p>
                  <w:pPr>
                    <w:pStyle w:val="169"/>
                  </w:pPr>
                  <w:r>
                    <w:t>mg/L</w:t>
                  </w:r>
                </w:p>
              </w:tc>
              <w:tc>
                <w:tcPr>
                  <w:tcW w:w="769" w:type="pct"/>
                  <w:vAlign w:val="center"/>
                </w:tcPr>
                <w:p>
                  <w:pPr>
                    <w:pStyle w:val="169"/>
                  </w:pPr>
                  <w:r>
                    <w:t>0.064</w:t>
                  </w:r>
                </w:p>
              </w:tc>
              <w:tc>
                <w:tcPr>
                  <w:tcW w:w="636" w:type="pct"/>
                  <w:vAlign w:val="center"/>
                </w:tcPr>
                <w:p>
                  <w:pPr>
                    <w:pStyle w:val="169"/>
                  </w:pPr>
                  <w:r>
                    <w:t>0.064</w:t>
                  </w:r>
                </w:p>
              </w:tc>
              <w:tc>
                <w:tcPr>
                  <w:tcW w:w="910" w:type="pct"/>
                  <w:vAlign w:val="center"/>
                </w:tcPr>
                <w:p>
                  <w:pPr>
                    <w:pStyle w:val="169"/>
                  </w:pPr>
                  <w:r>
                    <w:t>0.056</w:t>
                  </w:r>
                </w:p>
              </w:tc>
              <w:tc>
                <w:tcPr>
                  <w:tcW w:w="705" w:type="pct"/>
                  <w:vAlign w:val="center"/>
                </w:tcPr>
                <w:p>
                  <w:pPr>
                    <w:pStyle w:val="169"/>
                  </w:pPr>
                  <w:r>
                    <w:t>0.056</w:t>
                  </w:r>
                </w:p>
              </w:tc>
              <w:tc>
                <w:tcPr>
                  <w:tcW w:w="607" w:type="pct"/>
                  <w:vAlign w:val="center"/>
                </w:tcPr>
                <w:p>
                  <w:pPr>
                    <w:pStyle w:val="169"/>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硝酸盐</w:t>
                  </w:r>
                </w:p>
              </w:tc>
              <w:tc>
                <w:tcPr>
                  <w:tcW w:w="553" w:type="pct"/>
                  <w:vAlign w:val="center"/>
                </w:tcPr>
                <w:p>
                  <w:pPr>
                    <w:pStyle w:val="169"/>
                  </w:pPr>
                  <w:r>
                    <w:t>mg/L</w:t>
                  </w:r>
                </w:p>
              </w:tc>
              <w:tc>
                <w:tcPr>
                  <w:tcW w:w="769" w:type="pct"/>
                  <w:vAlign w:val="center"/>
                </w:tcPr>
                <w:p>
                  <w:pPr>
                    <w:pStyle w:val="169"/>
                  </w:pPr>
                  <w:r>
                    <w:t>0.143</w:t>
                  </w:r>
                </w:p>
              </w:tc>
              <w:tc>
                <w:tcPr>
                  <w:tcW w:w="636" w:type="pct"/>
                  <w:vAlign w:val="center"/>
                </w:tcPr>
                <w:p>
                  <w:pPr>
                    <w:pStyle w:val="169"/>
                  </w:pPr>
                  <w:r>
                    <w:t>0.01</w:t>
                  </w:r>
                </w:p>
              </w:tc>
              <w:tc>
                <w:tcPr>
                  <w:tcW w:w="910" w:type="pct"/>
                  <w:vAlign w:val="center"/>
                </w:tcPr>
                <w:p>
                  <w:pPr>
                    <w:pStyle w:val="169"/>
                  </w:pPr>
                  <w:r>
                    <w:t>1.02</w:t>
                  </w:r>
                </w:p>
              </w:tc>
              <w:tc>
                <w:tcPr>
                  <w:tcW w:w="705" w:type="pct"/>
                  <w:vAlign w:val="center"/>
                </w:tcPr>
                <w:p>
                  <w:pPr>
                    <w:pStyle w:val="169"/>
                  </w:pPr>
                  <w:r>
                    <w:t>0.05</w:t>
                  </w:r>
                </w:p>
              </w:tc>
              <w:tc>
                <w:tcPr>
                  <w:tcW w:w="607" w:type="pct"/>
                  <w:vAlign w:val="center"/>
                </w:tcPr>
                <w:p>
                  <w:pPr>
                    <w:pStyle w:val="169"/>
                  </w:pPr>
                  <w: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氰化物</w:t>
                  </w:r>
                </w:p>
              </w:tc>
              <w:tc>
                <w:tcPr>
                  <w:tcW w:w="553" w:type="pct"/>
                  <w:vAlign w:val="center"/>
                </w:tcPr>
                <w:p>
                  <w:pPr>
                    <w:pStyle w:val="169"/>
                  </w:pPr>
                  <w:r>
                    <w:t>mg/L</w:t>
                  </w:r>
                </w:p>
              </w:tc>
              <w:tc>
                <w:tcPr>
                  <w:tcW w:w="769" w:type="pct"/>
                  <w:vAlign w:val="center"/>
                </w:tcPr>
                <w:p>
                  <w:pPr>
                    <w:pStyle w:val="169"/>
                  </w:pPr>
                  <w:r>
                    <w:t>0.002L</w:t>
                  </w:r>
                </w:p>
              </w:tc>
              <w:tc>
                <w:tcPr>
                  <w:tcW w:w="636" w:type="pct"/>
                  <w:vAlign w:val="center"/>
                </w:tcPr>
                <w:p>
                  <w:pPr>
                    <w:pStyle w:val="169"/>
                  </w:pPr>
                  <w:r>
                    <w:rPr>
                      <w:rFonts w:hint="eastAsia"/>
                    </w:rPr>
                    <w:t>/</w:t>
                  </w:r>
                </w:p>
              </w:tc>
              <w:tc>
                <w:tcPr>
                  <w:tcW w:w="910" w:type="pct"/>
                  <w:vAlign w:val="center"/>
                </w:tcPr>
                <w:p>
                  <w:pPr>
                    <w:pStyle w:val="169"/>
                  </w:pPr>
                  <w:r>
                    <w:t>0.002L</w:t>
                  </w:r>
                </w:p>
              </w:tc>
              <w:tc>
                <w:tcPr>
                  <w:tcW w:w="705" w:type="pct"/>
                  <w:vAlign w:val="center"/>
                </w:tcPr>
                <w:p>
                  <w:pPr>
                    <w:pStyle w:val="169"/>
                  </w:pPr>
                  <w:r>
                    <w:rPr>
                      <w:rFonts w:hint="eastAsia"/>
                    </w:rPr>
                    <w:t>/</w:t>
                  </w:r>
                </w:p>
              </w:tc>
              <w:tc>
                <w:tcPr>
                  <w:tcW w:w="607" w:type="pct"/>
                  <w:vAlign w:val="center"/>
                </w:tcPr>
                <w:p>
                  <w:pPr>
                    <w:pStyle w:val="169"/>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20" w:type="pct"/>
                  <w:shd w:val="clear" w:color="auto" w:fill="auto"/>
                  <w:vAlign w:val="center"/>
                </w:tcPr>
                <w:p>
                  <w:pPr>
                    <w:pStyle w:val="169"/>
                  </w:pPr>
                  <w:r>
                    <w:t>氟化物</w:t>
                  </w:r>
                </w:p>
              </w:tc>
              <w:tc>
                <w:tcPr>
                  <w:tcW w:w="553" w:type="pct"/>
                  <w:vAlign w:val="center"/>
                </w:tcPr>
                <w:p>
                  <w:pPr>
                    <w:pStyle w:val="169"/>
                  </w:pPr>
                  <w:r>
                    <w:t>mg/L</w:t>
                  </w:r>
                </w:p>
              </w:tc>
              <w:tc>
                <w:tcPr>
                  <w:tcW w:w="769" w:type="pct"/>
                  <w:vAlign w:val="center"/>
                </w:tcPr>
                <w:p>
                  <w:pPr>
                    <w:pStyle w:val="169"/>
                  </w:pPr>
                  <w:r>
                    <w:t>0.205</w:t>
                  </w:r>
                </w:p>
              </w:tc>
              <w:tc>
                <w:tcPr>
                  <w:tcW w:w="636" w:type="pct"/>
                  <w:vAlign w:val="center"/>
                </w:tcPr>
                <w:p>
                  <w:pPr>
                    <w:pStyle w:val="169"/>
                  </w:pPr>
                  <w:r>
                    <w:t>0.205</w:t>
                  </w:r>
                </w:p>
              </w:tc>
              <w:tc>
                <w:tcPr>
                  <w:tcW w:w="910" w:type="pct"/>
                  <w:vAlign w:val="center"/>
                </w:tcPr>
                <w:p>
                  <w:pPr>
                    <w:pStyle w:val="169"/>
                  </w:pPr>
                  <w:r>
                    <w:t>0.17</w:t>
                  </w:r>
                </w:p>
              </w:tc>
              <w:tc>
                <w:tcPr>
                  <w:tcW w:w="705" w:type="pct"/>
                  <w:vAlign w:val="center"/>
                </w:tcPr>
                <w:p>
                  <w:pPr>
                    <w:pStyle w:val="169"/>
                  </w:pPr>
                  <w:r>
                    <w:t>0.17</w:t>
                  </w:r>
                </w:p>
              </w:tc>
              <w:tc>
                <w:tcPr>
                  <w:tcW w:w="607" w:type="pct"/>
                  <w:vAlign w:val="center"/>
                </w:tcPr>
                <w:p>
                  <w:pPr>
                    <w:pStyle w:val="169"/>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汞</w:t>
                  </w:r>
                </w:p>
              </w:tc>
              <w:tc>
                <w:tcPr>
                  <w:tcW w:w="553" w:type="pct"/>
                  <w:vAlign w:val="center"/>
                </w:tcPr>
                <w:p>
                  <w:pPr>
                    <w:pStyle w:val="169"/>
                  </w:pPr>
                  <w:r>
                    <w:t>mg/L</w:t>
                  </w:r>
                </w:p>
              </w:tc>
              <w:tc>
                <w:tcPr>
                  <w:tcW w:w="769" w:type="pct"/>
                  <w:vAlign w:val="center"/>
                </w:tcPr>
                <w:p>
                  <w:pPr>
                    <w:pStyle w:val="169"/>
                  </w:pPr>
                  <w:r>
                    <w:t>8.76×10</w:t>
                  </w:r>
                  <w:r>
                    <w:rPr>
                      <w:vertAlign w:val="superscript"/>
                    </w:rPr>
                    <w:t>-5</w:t>
                  </w:r>
                </w:p>
              </w:tc>
              <w:tc>
                <w:tcPr>
                  <w:tcW w:w="636" w:type="pct"/>
                  <w:vAlign w:val="center"/>
                </w:tcPr>
                <w:p>
                  <w:pPr>
                    <w:pStyle w:val="169"/>
                  </w:pPr>
                  <w:r>
                    <w:t>0.088</w:t>
                  </w:r>
                </w:p>
              </w:tc>
              <w:tc>
                <w:tcPr>
                  <w:tcW w:w="910" w:type="pct"/>
                  <w:vAlign w:val="center"/>
                </w:tcPr>
                <w:p>
                  <w:pPr>
                    <w:pStyle w:val="169"/>
                  </w:pPr>
                  <w:r>
                    <w:t>1.04×10</w:t>
                  </w:r>
                  <w:r>
                    <w:rPr>
                      <w:vertAlign w:val="superscript"/>
                    </w:rPr>
                    <w:t>-4</w:t>
                  </w:r>
                </w:p>
              </w:tc>
              <w:tc>
                <w:tcPr>
                  <w:tcW w:w="705" w:type="pct"/>
                  <w:vAlign w:val="center"/>
                </w:tcPr>
                <w:p>
                  <w:pPr>
                    <w:pStyle w:val="169"/>
                  </w:pPr>
                  <w:r>
                    <w:t>0.104</w:t>
                  </w:r>
                </w:p>
              </w:tc>
              <w:tc>
                <w:tcPr>
                  <w:tcW w:w="607" w:type="pct"/>
                  <w:vAlign w:val="center"/>
                </w:tcPr>
                <w:p>
                  <w:pPr>
                    <w:pStyle w:val="169"/>
                  </w:pPr>
                  <w: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砷</w:t>
                  </w:r>
                </w:p>
              </w:tc>
              <w:tc>
                <w:tcPr>
                  <w:tcW w:w="553" w:type="pct"/>
                  <w:vAlign w:val="center"/>
                </w:tcPr>
                <w:p>
                  <w:pPr>
                    <w:pStyle w:val="169"/>
                  </w:pPr>
                  <w:r>
                    <w:t>mg/L</w:t>
                  </w:r>
                </w:p>
              </w:tc>
              <w:tc>
                <w:tcPr>
                  <w:tcW w:w="769" w:type="pct"/>
                  <w:vAlign w:val="center"/>
                </w:tcPr>
                <w:p>
                  <w:pPr>
                    <w:pStyle w:val="169"/>
                  </w:pPr>
                  <w:r>
                    <w:t>3×10</w:t>
                  </w:r>
                  <w:r>
                    <w:rPr>
                      <w:vertAlign w:val="superscript"/>
                    </w:rPr>
                    <w:t>-4</w:t>
                  </w:r>
                  <w:r>
                    <w:t>L</w:t>
                  </w:r>
                </w:p>
              </w:tc>
              <w:tc>
                <w:tcPr>
                  <w:tcW w:w="636" w:type="pct"/>
                  <w:vAlign w:val="center"/>
                </w:tcPr>
                <w:p>
                  <w:pPr>
                    <w:pStyle w:val="169"/>
                  </w:pPr>
                  <w:r>
                    <w:rPr>
                      <w:rFonts w:hint="eastAsia"/>
                    </w:rPr>
                    <w:t>/</w:t>
                  </w:r>
                </w:p>
              </w:tc>
              <w:tc>
                <w:tcPr>
                  <w:tcW w:w="910" w:type="pct"/>
                  <w:vAlign w:val="center"/>
                </w:tcPr>
                <w:p>
                  <w:pPr>
                    <w:pStyle w:val="169"/>
                  </w:pPr>
                  <w:r>
                    <w:t>3×10</w:t>
                  </w:r>
                  <w:r>
                    <w:rPr>
                      <w:vertAlign w:val="superscript"/>
                    </w:rPr>
                    <w:t>-4</w:t>
                  </w:r>
                  <w:r>
                    <w:t>L</w:t>
                  </w:r>
                </w:p>
              </w:tc>
              <w:tc>
                <w:tcPr>
                  <w:tcW w:w="705" w:type="pct"/>
                  <w:vAlign w:val="center"/>
                </w:tcPr>
                <w:p>
                  <w:pPr>
                    <w:pStyle w:val="169"/>
                  </w:pPr>
                  <w:r>
                    <w:rPr>
                      <w:rFonts w:hint="eastAsia"/>
                    </w:rPr>
                    <w:t>/</w:t>
                  </w:r>
                </w:p>
              </w:tc>
              <w:tc>
                <w:tcPr>
                  <w:tcW w:w="607" w:type="pct"/>
                  <w:vAlign w:val="center"/>
                </w:tcPr>
                <w:p>
                  <w:pPr>
                    <w:pStyle w:val="169"/>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镉</w:t>
                  </w:r>
                </w:p>
              </w:tc>
              <w:tc>
                <w:tcPr>
                  <w:tcW w:w="553" w:type="pct"/>
                  <w:vAlign w:val="center"/>
                </w:tcPr>
                <w:p>
                  <w:pPr>
                    <w:pStyle w:val="169"/>
                  </w:pPr>
                  <w:r>
                    <w:t>mg/L</w:t>
                  </w:r>
                </w:p>
              </w:tc>
              <w:tc>
                <w:tcPr>
                  <w:tcW w:w="769" w:type="pct"/>
                  <w:vAlign w:val="center"/>
                </w:tcPr>
                <w:p>
                  <w:pPr>
                    <w:pStyle w:val="169"/>
                  </w:pPr>
                  <w:r>
                    <w:t>5.0×10</w:t>
                  </w:r>
                  <w:r>
                    <w:rPr>
                      <w:vertAlign w:val="superscript"/>
                    </w:rPr>
                    <w:t>-4</w:t>
                  </w:r>
                  <w:r>
                    <w:t>L</w:t>
                  </w:r>
                </w:p>
              </w:tc>
              <w:tc>
                <w:tcPr>
                  <w:tcW w:w="636" w:type="pct"/>
                  <w:vAlign w:val="center"/>
                </w:tcPr>
                <w:p>
                  <w:pPr>
                    <w:pStyle w:val="169"/>
                  </w:pPr>
                  <w:r>
                    <w:t>0.1</w:t>
                  </w:r>
                </w:p>
              </w:tc>
              <w:tc>
                <w:tcPr>
                  <w:tcW w:w="910" w:type="pct"/>
                  <w:vAlign w:val="center"/>
                </w:tcPr>
                <w:p>
                  <w:pPr>
                    <w:pStyle w:val="169"/>
                  </w:pPr>
                  <w:r>
                    <w:t>5.0×10</w:t>
                  </w:r>
                  <w:r>
                    <w:rPr>
                      <w:vertAlign w:val="superscript"/>
                    </w:rPr>
                    <w:t>-4</w:t>
                  </w:r>
                  <w:r>
                    <w:t>L</w:t>
                  </w:r>
                </w:p>
              </w:tc>
              <w:tc>
                <w:tcPr>
                  <w:tcW w:w="705" w:type="pct"/>
                  <w:vAlign w:val="center"/>
                </w:tcPr>
                <w:p>
                  <w:pPr>
                    <w:pStyle w:val="169"/>
                  </w:pPr>
                  <w:r>
                    <w:rPr>
                      <w:rFonts w:hint="eastAsia"/>
                    </w:rPr>
                    <w:t>/</w:t>
                  </w:r>
                </w:p>
              </w:tc>
              <w:tc>
                <w:tcPr>
                  <w:tcW w:w="607" w:type="pct"/>
                  <w:vAlign w:val="center"/>
                </w:tcPr>
                <w:p>
                  <w:pPr>
                    <w:pStyle w:val="169"/>
                  </w:pPr>
                  <w: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铬（六价）</w:t>
                  </w:r>
                </w:p>
              </w:tc>
              <w:tc>
                <w:tcPr>
                  <w:tcW w:w="553" w:type="pct"/>
                  <w:vAlign w:val="center"/>
                </w:tcPr>
                <w:p>
                  <w:pPr>
                    <w:pStyle w:val="169"/>
                  </w:pPr>
                  <w:r>
                    <w:t>mg/L</w:t>
                  </w:r>
                </w:p>
              </w:tc>
              <w:tc>
                <w:tcPr>
                  <w:tcW w:w="769" w:type="pct"/>
                  <w:vAlign w:val="center"/>
                </w:tcPr>
                <w:p>
                  <w:pPr>
                    <w:pStyle w:val="169"/>
                  </w:pPr>
                  <w:r>
                    <w:t>0.004L</w:t>
                  </w:r>
                </w:p>
              </w:tc>
              <w:tc>
                <w:tcPr>
                  <w:tcW w:w="636" w:type="pct"/>
                  <w:vAlign w:val="center"/>
                </w:tcPr>
                <w:p>
                  <w:pPr>
                    <w:pStyle w:val="169"/>
                  </w:pPr>
                  <w:r>
                    <w:rPr>
                      <w:rFonts w:hint="eastAsia"/>
                    </w:rPr>
                    <w:t>/</w:t>
                  </w:r>
                </w:p>
              </w:tc>
              <w:tc>
                <w:tcPr>
                  <w:tcW w:w="910" w:type="pct"/>
                  <w:vAlign w:val="center"/>
                </w:tcPr>
                <w:p>
                  <w:pPr>
                    <w:pStyle w:val="169"/>
                  </w:pPr>
                  <w:r>
                    <w:t>0.004L</w:t>
                  </w:r>
                </w:p>
              </w:tc>
              <w:tc>
                <w:tcPr>
                  <w:tcW w:w="705" w:type="pct"/>
                  <w:vAlign w:val="center"/>
                </w:tcPr>
                <w:p>
                  <w:pPr>
                    <w:pStyle w:val="169"/>
                  </w:pPr>
                  <w:r>
                    <w:rPr>
                      <w:rFonts w:hint="eastAsia"/>
                    </w:rPr>
                    <w:t>/</w:t>
                  </w:r>
                </w:p>
              </w:tc>
              <w:tc>
                <w:tcPr>
                  <w:tcW w:w="607" w:type="pct"/>
                  <w:vAlign w:val="center"/>
                </w:tcPr>
                <w:p>
                  <w:pPr>
                    <w:pStyle w:val="169"/>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铅</w:t>
                  </w:r>
                </w:p>
              </w:tc>
              <w:tc>
                <w:tcPr>
                  <w:tcW w:w="553" w:type="pct"/>
                  <w:vAlign w:val="center"/>
                </w:tcPr>
                <w:p>
                  <w:pPr>
                    <w:pStyle w:val="169"/>
                  </w:pPr>
                  <w:r>
                    <w:t>mg/L</w:t>
                  </w:r>
                </w:p>
              </w:tc>
              <w:tc>
                <w:tcPr>
                  <w:tcW w:w="769" w:type="pct"/>
                  <w:vAlign w:val="center"/>
                </w:tcPr>
                <w:p>
                  <w:pPr>
                    <w:pStyle w:val="169"/>
                  </w:pPr>
                  <w:r>
                    <w:t>2.5×10</w:t>
                  </w:r>
                  <w:r>
                    <w:rPr>
                      <w:vertAlign w:val="superscript"/>
                    </w:rPr>
                    <w:t>-3</w:t>
                  </w:r>
                  <w:r>
                    <w:t>L</w:t>
                  </w:r>
                </w:p>
              </w:tc>
              <w:tc>
                <w:tcPr>
                  <w:tcW w:w="636" w:type="pct"/>
                  <w:vAlign w:val="center"/>
                </w:tcPr>
                <w:p>
                  <w:pPr>
                    <w:pStyle w:val="169"/>
                  </w:pPr>
                  <w:r>
                    <w:rPr>
                      <w:rFonts w:hint="eastAsia"/>
                    </w:rPr>
                    <w:t>/</w:t>
                  </w:r>
                </w:p>
              </w:tc>
              <w:tc>
                <w:tcPr>
                  <w:tcW w:w="910" w:type="pct"/>
                  <w:vAlign w:val="center"/>
                </w:tcPr>
                <w:p>
                  <w:pPr>
                    <w:pStyle w:val="169"/>
                  </w:pPr>
                  <w:r>
                    <w:t>2.5×10</w:t>
                  </w:r>
                  <w:r>
                    <w:rPr>
                      <w:vertAlign w:val="superscript"/>
                    </w:rPr>
                    <w:t>-3</w:t>
                  </w:r>
                  <w:r>
                    <w:t>L</w:t>
                  </w:r>
                </w:p>
              </w:tc>
              <w:tc>
                <w:tcPr>
                  <w:tcW w:w="705" w:type="pct"/>
                  <w:vAlign w:val="center"/>
                </w:tcPr>
                <w:p>
                  <w:pPr>
                    <w:pStyle w:val="169"/>
                  </w:pPr>
                  <w:r>
                    <w:rPr>
                      <w:rFonts w:hint="eastAsia"/>
                    </w:rPr>
                    <w:t>/</w:t>
                  </w:r>
                </w:p>
              </w:tc>
              <w:tc>
                <w:tcPr>
                  <w:tcW w:w="607" w:type="pct"/>
                  <w:vAlign w:val="center"/>
                </w:tcPr>
                <w:p>
                  <w:pPr>
                    <w:pStyle w:val="169"/>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20" w:type="pct"/>
                  <w:shd w:val="clear" w:color="auto" w:fill="auto"/>
                  <w:vAlign w:val="center"/>
                </w:tcPr>
                <w:p>
                  <w:pPr>
                    <w:pStyle w:val="169"/>
                  </w:pPr>
                  <w:r>
                    <w:t>苯</w:t>
                  </w:r>
                </w:p>
              </w:tc>
              <w:tc>
                <w:tcPr>
                  <w:tcW w:w="553" w:type="pct"/>
                  <w:vAlign w:val="center"/>
                </w:tcPr>
                <w:p>
                  <w:pPr>
                    <w:pStyle w:val="169"/>
                  </w:pPr>
                  <w:r>
                    <w:t>mg/L</w:t>
                  </w:r>
                </w:p>
              </w:tc>
              <w:tc>
                <w:tcPr>
                  <w:tcW w:w="769" w:type="pct"/>
                  <w:vAlign w:val="center"/>
                </w:tcPr>
                <w:p>
                  <w:pPr>
                    <w:pStyle w:val="169"/>
                  </w:pPr>
                  <w:r>
                    <w:t>1.4×10</w:t>
                  </w:r>
                  <w:r>
                    <w:rPr>
                      <w:vertAlign w:val="superscript"/>
                    </w:rPr>
                    <w:t>-3</w:t>
                  </w:r>
                  <w:r>
                    <w:t>L</w:t>
                  </w:r>
                </w:p>
              </w:tc>
              <w:tc>
                <w:tcPr>
                  <w:tcW w:w="636" w:type="pct"/>
                  <w:vAlign w:val="center"/>
                </w:tcPr>
                <w:p>
                  <w:pPr>
                    <w:pStyle w:val="169"/>
                  </w:pPr>
                  <w:r>
                    <w:rPr>
                      <w:rFonts w:hint="eastAsia"/>
                    </w:rPr>
                    <w:t>/</w:t>
                  </w:r>
                </w:p>
              </w:tc>
              <w:tc>
                <w:tcPr>
                  <w:tcW w:w="910" w:type="pct"/>
                  <w:vAlign w:val="center"/>
                </w:tcPr>
                <w:p>
                  <w:pPr>
                    <w:pStyle w:val="169"/>
                  </w:pPr>
                  <w:r>
                    <w:t>1.4×10</w:t>
                  </w:r>
                  <w:r>
                    <w:rPr>
                      <w:vertAlign w:val="superscript"/>
                    </w:rPr>
                    <w:t>-3</w:t>
                  </w:r>
                  <w:r>
                    <w:t>L</w:t>
                  </w:r>
                </w:p>
              </w:tc>
              <w:tc>
                <w:tcPr>
                  <w:tcW w:w="705" w:type="pct"/>
                  <w:vAlign w:val="center"/>
                </w:tcPr>
                <w:p>
                  <w:pPr>
                    <w:pStyle w:val="169"/>
                  </w:pPr>
                  <w:r>
                    <w:rPr>
                      <w:rFonts w:hint="eastAsia"/>
                    </w:rPr>
                    <w:t>/</w:t>
                  </w:r>
                </w:p>
              </w:tc>
              <w:tc>
                <w:tcPr>
                  <w:tcW w:w="607" w:type="pct"/>
                  <w:vAlign w:val="center"/>
                </w:tcPr>
                <w:p>
                  <w:pPr>
                    <w:pStyle w:val="169"/>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0" w:type="pct"/>
                  <w:shd w:val="clear" w:color="auto" w:fill="auto"/>
                  <w:vAlign w:val="center"/>
                </w:tcPr>
                <w:p>
                  <w:pPr>
                    <w:pStyle w:val="169"/>
                  </w:pPr>
                  <w:r>
                    <w:t>甲苯</w:t>
                  </w:r>
                </w:p>
              </w:tc>
              <w:tc>
                <w:tcPr>
                  <w:tcW w:w="553" w:type="pct"/>
                  <w:vAlign w:val="center"/>
                </w:tcPr>
                <w:p>
                  <w:pPr>
                    <w:pStyle w:val="169"/>
                  </w:pPr>
                  <w:r>
                    <w:t>mg/L</w:t>
                  </w:r>
                </w:p>
              </w:tc>
              <w:tc>
                <w:tcPr>
                  <w:tcW w:w="769" w:type="pct"/>
                  <w:vAlign w:val="center"/>
                </w:tcPr>
                <w:p>
                  <w:pPr>
                    <w:pStyle w:val="169"/>
                  </w:pPr>
                  <w:r>
                    <w:t>1.4×10</w:t>
                  </w:r>
                  <w:r>
                    <w:rPr>
                      <w:vertAlign w:val="superscript"/>
                    </w:rPr>
                    <w:t>-3</w:t>
                  </w:r>
                  <w:r>
                    <w:t>L</w:t>
                  </w:r>
                </w:p>
              </w:tc>
              <w:tc>
                <w:tcPr>
                  <w:tcW w:w="636" w:type="pct"/>
                  <w:vAlign w:val="center"/>
                </w:tcPr>
                <w:p>
                  <w:pPr>
                    <w:pStyle w:val="169"/>
                  </w:pPr>
                  <w:r>
                    <w:rPr>
                      <w:rFonts w:hint="eastAsia"/>
                    </w:rPr>
                    <w:t>/</w:t>
                  </w:r>
                </w:p>
              </w:tc>
              <w:tc>
                <w:tcPr>
                  <w:tcW w:w="910" w:type="pct"/>
                  <w:vAlign w:val="center"/>
                </w:tcPr>
                <w:p>
                  <w:pPr>
                    <w:pStyle w:val="169"/>
                  </w:pPr>
                  <w:r>
                    <w:t>1.4×10</w:t>
                  </w:r>
                  <w:r>
                    <w:rPr>
                      <w:vertAlign w:val="superscript"/>
                    </w:rPr>
                    <w:t>-3</w:t>
                  </w:r>
                  <w:r>
                    <w:t>L</w:t>
                  </w:r>
                </w:p>
              </w:tc>
              <w:tc>
                <w:tcPr>
                  <w:tcW w:w="705" w:type="pct"/>
                  <w:vAlign w:val="center"/>
                </w:tcPr>
                <w:p>
                  <w:pPr>
                    <w:pStyle w:val="169"/>
                  </w:pPr>
                  <w:r>
                    <w:rPr>
                      <w:rFonts w:hint="eastAsia"/>
                    </w:rPr>
                    <w:t>/</w:t>
                  </w:r>
                </w:p>
              </w:tc>
              <w:tc>
                <w:tcPr>
                  <w:tcW w:w="607" w:type="pct"/>
                  <w:vAlign w:val="center"/>
                </w:tcPr>
                <w:p>
                  <w:pPr>
                    <w:pStyle w:val="169"/>
                  </w:pPr>
                  <w: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0" w:type="pct"/>
                  <w:shd w:val="clear" w:color="auto" w:fill="auto"/>
                  <w:vAlign w:val="center"/>
                </w:tcPr>
                <w:p>
                  <w:pPr>
                    <w:pStyle w:val="169"/>
                  </w:pPr>
                  <w:r>
                    <w:t>石油类</w:t>
                  </w:r>
                </w:p>
              </w:tc>
              <w:tc>
                <w:tcPr>
                  <w:tcW w:w="553" w:type="pct"/>
                  <w:vAlign w:val="center"/>
                </w:tcPr>
                <w:p>
                  <w:pPr>
                    <w:pStyle w:val="169"/>
                  </w:pPr>
                  <w:r>
                    <w:t>mg/L</w:t>
                  </w:r>
                </w:p>
              </w:tc>
              <w:tc>
                <w:tcPr>
                  <w:tcW w:w="769" w:type="pct"/>
                  <w:vAlign w:val="center"/>
                </w:tcPr>
                <w:p>
                  <w:pPr>
                    <w:pStyle w:val="169"/>
                  </w:pPr>
                  <w:r>
                    <w:t>0.01L</w:t>
                  </w:r>
                </w:p>
              </w:tc>
              <w:tc>
                <w:tcPr>
                  <w:tcW w:w="636" w:type="pct"/>
                  <w:vAlign w:val="center"/>
                </w:tcPr>
                <w:p>
                  <w:pPr>
                    <w:pStyle w:val="169"/>
                  </w:pPr>
                  <w:r>
                    <w:rPr>
                      <w:rFonts w:hint="eastAsia"/>
                    </w:rPr>
                    <w:t>/</w:t>
                  </w:r>
                </w:p>
              </w:tc>
              <w:tc>
                <w:tcPr>
                  <w:tcW w:w="910" w:type="pct"/>
                  <w:vAlign w:val="center"/>
                </w:tcPr>
                <w:p>
                  <w:pPr>
                    <w:pStyle w:val="169"/>
                  </w:pPr>
                  <w:r>
                    <w:t>0.01L</w:t>
                  </w:r>
                </w:p>
              </w:tc>
              <w:tc>
                <w:tcPr>
                  <w:tcW w:w="705" w:type="pct"/>
                  <w:vAlign w:val="center"/>
                </w:tcPr>
                <w:p>
                  <w:pPr>
                    <w:pStyle w:val="169"/>
                  </w:pPr>
                  <w:r>
                    <w:rPr>
                      <w:rFonts w:hint="eastAsia"/>
                    </w:rPr>
                    <w:t>/</w:t>
                  </w:r>
                </w:p>
              </w:tc>
              <w:tc>
                <w:tcPr>
                  <w:tcW w:w="607" w:type="pct"/>
                  <w:vAlign w:val="center"/>
                </w:tcPr>
                <w:p>
                  <w:pPr>
                    <w:pStyle w:val="169"/>
                  </w:pPr>
                  <w:r>
                    <w:t>0.05</w:t>
                  </w:r>
                </w:p>
              </w:tc>
            </w:tr>
          </w:tbl>
          <w:p/>
          <w:p>
            <w:pPr>
              <w:pStyle w:val="178"/>
              <w:ind w:firstLine="420"/>
              <w:rPr>
                <w:rFonts w:eastAsia="宋体"/>
                <w:color w:val="auto"/>
                <w:szCs w:val="21"/>
              </w:rPr>
            </w:pPr>
            <w:r>
              <w:rPr>
                <w:rFonts w:hint="eastAsia" w:eastAsia="宋体"/>
                <w:color w:val="auto"/>
                <w:szCs w:val="21"/>
              </w:rPr>
              <w:t xml:space="preserve">表3.4-4    地下水现状监测及评价结果 </w:t>
            </w:r>
            <w:r>
              <w:rPr>
                <w:rFonts w:eastAsia="宋体"/>
                <w:color w:val="auto"/>
                <w:szCs w:val="21"/>
              </w:rPr>
              <w:t xml:space="preserve">       </w:t>
            </w:r>
            <w:r>
              <w:rPr>
                <w:rFonts w:hint="eastAsia" w:eastAsia="宋体"/>
                <w:color w:val="auto"/>
                <w:szCs w:val="21"/>
              </w:rPr>
              <w:t xml:space="preserve">单位：mg/L  </w:t>
            </w:r>
          </w:p>
          <w:tbl>
            <w:tblPr>
              <w:tblStyle w:val="88"/>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157"/>
              <w:gridCol w:w="2262"/>
              <w:gridCol w:w="176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blHeader/>
                <w:jc w:val="center"/>
              </w:trPr>
              <w:tc>
                <w:tcPr>
                  <w:tcW w:w="987" w:type="pct"/>
                  <w:vMerge w:val="restart"/>
                  <w:shd w:val="clear" w:color="auto" w:fill="auto"/>
                  <w:vAlign w:val="center"/>
                </w:tcPr>
                <w:p>
                  <w:pPr>
                    <w:pStyle w:val="169"/>
                  </w:pPr>
                  <w:r>
                    <w:t>项目</w:t>
                  </w:r>
                </w:p>
              </w:tc>
              <w:tc>
                <w:tcPr>
                  <w:tcW w:w="692" w:type="pct"/>
                  <w:vMerge w:val="restart"/>
                  <w:vAlign w:val="center"/>
                </w:tcPr>
                <w:p>
                  <w:pPr>
                    <w:pStyle w:val="169"/>
                  </w:pPr>
                  <w:r>
                    <w:t>单位</w:t>
                  </w:r>
                </w:p>
              </w:tc>
              <w:tc>
                <w:tcPr>
                  <w:tcW w:w="2409" w:type="pct"/>
                  <w:gridSpan w:val="2"/>
                </w:tcPr>
                <w:p>
                  <w:pPr>
                    <w:pStyle w:val="169"/>
                  </w:pPr>
                  <w:r>
                    <w:t>D6</w:t>
                  </w:r>
                </w:p>
              </w:tc>
              <w:tc>
                <w:tcPr>
                  <w:tcW w:w="912" w:type="pct"/>
                  <w:vMerge w:val="restart"/>
                  <w:vAlign w:val="center"/>
                </w:tcPr>
                <w:p>
                  <w:pPr>
                    <w:pStyle w:val="169"/>
                  </w:pPr>
                  <w: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blHeader/>
                <w:jc w:val="center"/>
              </w:trPr>
              <w:tc>
                <w:tcPr>
                  <w:tcW w:w="987" w:type="pct"/>
                  <w:vMerge w:val="continue"/>
                  <w:shd w:val="clear" w:color="auto" w:fill="auto"/>
                  <w:vAlign w:val="center"/>
                </w:tcPr>
                <w:p>
                  <w:pPr>
                    <w:pStyle w:val="169"/>
                  </w:pPr>
                </w:p>
              </w:tc>
              <w:tc>
                <w:tcPr>
                  <w:tcW w:w="692" w:type="pct"/>
                  <w:vMerge w:val="continue"/>
                  <w:vAlign w:val="center"/>
                </w:tcPr>
                <w:p>
                  <w:pPr>
                    <w:pStyle w:val="169"/>
                  </w:pPr>
                </w:p>
              </w:tc>
              <w:tc>
                <w:tcPr>
                  <w:tcW w:w="1353" w:type="pct"/>
                  <w:vAlign w:val="center"/>
                </w:tcPr>
                <w:p>
                  <w:pPr>
                    <w:pStyle w:val="169"/>
                  </w:pPr>
                  <w:r>
                    <w:rPr>
                      <w:rFonts w:hint="eastAsia"/>
                    </w:rPr>
                    <w:t>监测值</w:t>
                  </w:r>
                </w:p>
              </w:tc>
              <w:tc>
                <w:tcPr>
                  <w:tcW w:w="1056" w:type="pct"/>
                  <w:vAlign w:val="center"/>
                </w:tcPr>
                <w:p>
                  <w:pPr>
                    <w:pStyle w:val="169"/>
                  </w:pPr>
                  <w:r>
                    <w:t>Pi</w:t>
                  </w:r>
                  <w:r>
                    <w:rPr>
                      <w:rFonts w:hint="eastAsia"/>
                    </w:rPr>
                    <w:t>值</w:t>
                  </w:r>
                </w:p>
              </w:tc>
              <w:tc>
                <w:tcPr>
                  <w:tcW w:w="912" w:type="pct"/>
                  <w:vMerge w:val="continue"/>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pH</w:t>
                  </w:r>
                </w:p>
              </w:tc>
              <w:tc>
                <w:tcPr>
                  <w:tcW w:w="692" w:type="pct"/>
                  <w:vAlign w:val="center"/>
                </w:tcPr>
                <w:p>
                  <w:pPr>
                    <w:pStyle w:val="169"/>
                  </w:pPr>
                  <w:r>
                    <w:t>无量纲</w:t>
                  </w:r>
                </w:p>
              </w:tc>
              <w:tc>
                <w:tcPr>
                  <w:tcW w:w="1353" w:type="pct"/>
                  <w:vAlign w:val="center"/>
                </w:tcPr>
                <w:p>
                  <w:pPr>
                    <w:pStyle w:val="169"/>
                  </w:pPr>
                  <w:r>
                    <w:t>6.78</w:t>
                  </w:r>
                </w:p>
              </w:tc>
              <w:tc>
                <w:tcPr>
                  <w:tcW w:w="1056" w:type="pct"/>
                  <w:vAlign w:val="center"/>
                </w:tcPr>
                <w:p>
                  <w:pPr>
                    <w:pStyle w:val="169"/>
                  </w:pPr>
                  <w:r>
                    <w:t>0.44</w:t>
                  </w:r>
                </w:p>
              </w:tc>
              <w:tc>
                <w:tcPr>
                  <w:tcW w:w="912" w:type="pct"/>
                  <w:vAlign w:val="center"/>
                </w:tcPr>
                <w:p>
                  <w:pPr>
                    <w:pStyle w:val="169"/>
                  </w:pPr>
                  <w: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87" w:type="pct"/>
                  <w:shd w:val="clear" w:color="auto" w:fill="auto"/>
                  <w:vAlign w:val="center"/>
                </w:tcPr>
                <w:p>
                  <w:pPr>
                    <w:pStyle w:val="169"/>
                  </w:pPr>
                  <w:r>
                    <w:t>总硬度</w:t>
                  </w:r>
                </w:p>
              </w:tc>
              <w:tc>
                <w:tcPr>
                  <w:tcW w:w="692" w:type="pct"/>
                  <w:vAlign w:val="center"/>
                </w:tcPr>
                <w:p>
                  <w:pPr>
                    <w:pStyle w:val="169"/>
                  </w:pPr>
                  <w:r>
                    <w:t>mg/L</w:t>
                  </w:r>
                </w:p>
              </w:tc>
              <w:tc>
                <w:tcPr>
                  <w:tcW w:w="1353" w:type="pct"/>
                  <w:vAlign w:val="center"/>
                </w:tcPr>
                <w:p>
                  <w:pPr>
                    <w:pStyle w:val="169"/>
                  </w:pPr>
                  <w:r>
                    <w:t>267</w:t>
                  </w:r>
                </w:p>
              </w:tc>
              <w:tc>
                <w:tcPr>
                  <w:tcW w:w="1056" w:type="pct"/>
                  <w:vAlign w:val="center"/>
                </w:tcPr>
                <w:p>
                  <w:pPr>
                    <w:pStyle w:val="169"/>
                  </w:pPr>
                  <w:r>
                    <w:t>0.593</w:t>
                  </w:r>
                </w:p>
              </w:tc>
              <w:tc>
                <w:tcPr>
                  <w:tcW w:w="912" w:type="pct"/>
                  <w:vAlign w:val="center"/>
                </w:tcPr>
                <w:p>
                  <w:pPr>
                    <w:pStyle w:val="169"/>
                  </w:pPr>
                  <w: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7" w:type="pct"/>
                  <w:shd w:val="clear" w:color="auto" w:fill="auto"/>
                  <w:vAlign w:val="center"/>
                </w:tcPr>
                <w:p>
                  <w:pPr>
                    <w:pStyle w:val="169"/>
                  </w:pPr>
                  <w:r>
                    <w:t>溶解性总固体</w:t>
                  </w:r>
                </w:p>
              </w:tc>
              <w:tc>
                <w:tcPr>
                  <w:tcW w:w="692" w:type="pct"/>
                  <w:vAlign w:val="center"/>
                </w:tcPr>
                <w:p>
                  <w:pPr>
                    <w:pStyle w:val="169"/>
                  </w:pPr>
                  <w:r>
                    <w:t>mg/L</w:t>
                  </w:r>
                </w:p>
              </w:tc>
              <w:tc>
                <w:tcPr>
                  <w:tcW w:w="1353" w:type="pct"/>
                  <w:vAlign w:val="center"/>
                </w:tcPr>
                <w:p>
                  <w:pPr>
                    <w:pStyle w:val="169"/>
                  </w:pPr>
                  <w:r>
                    <w:t>367</w:t>
                  </w:r>
                </w:p>
              </w:tc>
              <w:tc>
                <w:tcPr>
                  <w:tcW w:w="1056" w:type="pct"/>
                  <w:vAlign w:val="center"/>
                </w:tcPr>
                <w:p>
                  <w:pPr>
                    <w:pStyle w:val="169"/>
                  </w:pPr>
                  <w:r>
                    <w:t>0.367</w:t>
                  </w:r>
                </w:p>
              </w:tc>
              <w:tc>
                <w:tcPr>
                  <w:tcW w:w="912" w:type="pct"/>
                  <w:vAlign w:val="center"/>
                </w:tcPr>
                <w:p>
                  <w:pPr>
                    <w:pStyle w:val="169"/>
                  </w:pP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硫酸盐</w:t>
                  </w:r>
                </w:p>
              </w:tc>
              <w:tc>
                <w:tcPr>
                  <w:tcW w:w="692" w:type="pct"/>
                  <w:vAlign w:val="center"/>
                </w:tcPr>
                <w:p>
                  <w:pPr>
                    <w:pStyle w:val="169"/>
                  </w:pPr>
                  <w:r>
                    <w:t>mg/L</w:t>
                  </w:r>
                </w:p>
              </w:tc>
              <w:tc>
                <w:tcPr>
                  <w:tcW w:w="1353" w:type="pct"/>
                  <w:vAlign w:val="center"/>
                </w:tcPr>
                <w:p>
                  <w:pPr>
                    <w:pStyle w:val="169"/>
                  </w:pPr>
                  <w:r>
                    <w:t>60</w:t>
                  </w:r>
                </w:p>
              </w:tc>
              <w:tc>
                <w:tcPr>
                  <w:tcW w:w="1056" w:type="pct"/>
                  <w:vAlign w:val="center"/>
                </w:tcPr>
                <w:p>
                  <w:pPr>
                    <w:pStyle w:val="169"/>
                  </w:pPr>
                  <w:r>
                    <w:t>0.24</w:t>
                  </w:r>
                </w:p>
              </w:tc>
              <w:tc>
                <w:tcPr>
                  <w:tcW w:w="912" w:type="pct"/>
                  <w:vAlign w:val="center"/>
                </w:tcPr>
                <w:p>
                  <w:pPr>
                    <w:pStyle w:val="169"/>
                  </w:pPr>
                  <w: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氯化物</w:t>
                  </w:r>
                </w:p>
              </w:tc>
              <w:tc>
                <w:tcPr>
                  <w:tcW w:w="692" w:type="pct"/>
                  <w:vAlign w:val="center"/>
                </w:tcPr>
                <w:p>
                  <w:pPr>
                    <w:pStyle w:val="169"/>
                  </w:pPr>
                  <w:r>
                    <w:t>mg/L</w:t>
                  </w:r>
                </w:p>
              </w:tc>
              <w:tc>
                <w:tcPr>
                  <w:tcW w:w="1353" w:type="pct"/>
                  <w:vAlign w:val="center"/>
                </w:tcPr>
                <w:p>
                  <w:pPr>
                    <w:pStyle w:val="169"/>
                  </w:pPr>
                  <w:r>
                    <w:t>16.9</w:t>
                  </w:r>
                </w:p>
              </w:tc>
              <w:tc>
                <w:tcPr>
                  <w:tcW w:w="1056" w:type="pct"/>
                  <w:vAlign w:val="center"/>
                </w:tcPr>
                <w:p>
                  <w:pPr>
                    <w:pStyle w:val="169"/>
                  </w:pPr>
                  <w:r>
                    <w:t>0.068</w:t>
                  </w:r>
                </w:p>
              </w:tc>
              <w:tc>
                <w:tcPr>
                  <w:tcW w:w="912" w:type="pct"/>
                  <w:vAlign w:val="center"/>
                </w:tcPr>
                <w:p>
                  <w:pPr>
                    <w:pStyle w:val="169"/>
                  </w:pPr>
                  <w: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铁</w:t>
                  </w:r>
                </w:p>
              </w:tc>
              <w:tc>
                <w:tcPr>
                  <w:tcW w:w="692" w:type="pct"/>
                  <w:vAlign w:val="center"/>
                </w:tcPr>
                <w:p>
                  <w:pPr>
                    <w:pStyle w:val="169"/>
                  </w:pPr>
                  <w:r>
                    <w:t>mg/L</w:t>
                  </w:r>
                </w:p>
              </w:tc>
              <w:tc>
                <w:tcPr>
                  <w:tcW w:w="1353" w:type="pct"/>
                  <w:vAlign w:val="center"/>
                </w:tcPr>
                <w:p>
                  <w:pPr>
                    <w:pStyle w:val="169"/>
                  </w:pPr>
                  <w:r>
                    <w:t>0.03L</w:t>
                  </w:r>
                </w:p>
              </w:tc>
              <w:tc>
                <w:tcPr>
                  <w:tcW w:w="1056" w:type="pct"/>
                  <w:vAlign w:val="center"/>
                </w:tcPr>
                <w:p>
                  <w:pPr>
                    <w:pStyle w:val="169"/>
                  </w:pPr>
                  <w:r>
                    <w:t>/</w:t>
                  </w:r>
                </w:p>
              </w:tc>
              <w:tc>
                <w:tcPr>
                  <w:tcW w:w="912" w:type="pct"/>
                  <w:vAlign w:val="center"/>
                </w:tcPr>
                <w:p>
                  <w:pPr>
                    <w:pStyle w:val="169"/>
                  </w:pPr>
                  <w: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锰</w:t>
                  </w:r>
                </w:p>
              </w:tc>
              <w:tc>
                <w:tcPr>
                  <w:tcW w:w="692" w:type="pct"/>
                  <w:vAlign w:val="center"/>
                </w:tcPr>
                <w:p>
                  <w:pPr>
                    <w:pStyle w:val="169"/>
                  </w:pPr>
                  <w:r>
                    <w:t>mg/L</w:t>
                  </w:r>
                </w:p>
              </w:tc>
              <w:tc>
                <w:tcPr>
                  <w:tcW w:w="1353" w:type="pct"/>
                  <w:vAlign w:val="center"/>
                </w:tcPr>
                <w:p>
                  <w:pPr>
                    <w:pStyle w:val="169"/>
                  </w:pPr>
                  <w:r>
                    <w:t>0.01L</w:t>
                  </w:r>
                </w:p>
              </w:tc>
              <w:tc>
                <w:tcPr>
                  <w:tcW w:w="1056" w:type="pct"/>
                  <w:vAlign w:val="center"/>
                </w:tcPr>
                <w:p>
                  <w:pPr>
                    <w:pStyle w:val="169"/>
                  </w:pPr>
                  <w:r>
                    <w:t>/</w:t>
                  </w:r>
                </w:p>
              </w:tc>
              <w:tc>
                <w:tcPr>
                  <w:tcW w:w="912" w:type="pct"/>
                  <w:vAlign w:val="center"/>
                </w:tcPr>
                <w:p>
                  <w:pPr>
                    <w:pStyle w:val="169"/>
                  </w:pPr>
                  <w: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87" w:type="pct"/>
                  <w:shd w:val="clear" w:color="auto" w:fill="auto"/>
                  <w:vAlign w:val="center"/>
                </w:tcPr>
                <w:p>
                  <w:pPr>
                    <w:pStyle w:val="169"/>
                  </w:pPr>
                  <w:r>
                    <w:t>挥发性酚类</w:t>
                  </w:r>
                </w:p>
              </w:tc>
              <w:tc>
                <w:tcPr>
                  <w:tcW w:w="692" w:type="pct"/>
                  <w:vAlign w:val="center"/>
                </w:tcPr>
                <w:p>
                  <w:pPr>
                    <w:pStyle w:val="169"/>
                  </w:pPr>
                  <w:r>
                    <w:t>mg/L</w:t>
                  </w:r>
                </w:p>
              </w:tc>
              <w:tc>
                <w:tcPr>
                  <w:tcW w:w="1353" w:type="pct"/>
                  <w:vAlign w:val="center"/>
                </w:tcPr>
                <w:p>
                  <w:pPr>
                    <w:pStyle w:val="169"/>
                  </w:pPr>
                  <w:r>
                    <w:t>0.0007</w:t>
                  </w:r>
                </w:p>
              </w:tc>
              <w:tc>
                <w:tcPr>
                  <w:tcW w:w="1056" w:type="pct"/>
                  <w:vAlign w:val="center"/>
                </w:tcPr>
                <w:p>
                  <w:pPr>
                    <w:pStyle w:val="169"/>
                  </w:pPr>
                  <w:r>
                    <w:t>0.35</w:t>
                  </w:r>
                </w:p>
              </w:tc>
              <w:tc>
                <w:tcPr>
                  <w:tcW w:w="912" w:type="pct"/>
                  <w:vAlign w:val="center"/>
                </w:tcPr>
                <w:p>
                  <w:pPr>
                    <w:pStyle w:val="169"/>
                  </w:pPr>
                  <w: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87" w:type="pct"/>
                  <w:shd w:val="clear" w:color="auto" w:fill="auto"/>
                  <w:vAlign w:val="center"/>
                </w:tcPr>
                <w:p>
                  <w:pPr>
                    <w:pStyle w:val="169"/>
                  </w:pPr>
                  <w:r>
                    <w:t>耗氧量</w:t>
                  </w:r>
                </w:p>
              </w:tc>
              <w:tc>
                <w:tcPr>
                  <w:tcW w:w="692" w:type="pct"/>
                  <w:vAlign w:val="center"/>
                </w:tcPr>
                <w:p>
                  <w:pPr>
                    <w:pStyle w:val="169"/>
                  </w:pPr>
                  <w:r>
                    <w:t>mg/L</w:t>
                  </w:r>
                </w:p>
              </w:tc>
              <w:tc>
                <w:tcPr>
                  <w:tcW w:w="1353" w:type="pct"/>
                  <w:vAlign w:val="center"/>
                </w:tcPr>
                <w:p>
                  <w:pPr>
                    <w:pStyle w:val="169"/>
                  </w:pPr>
                  <w:r>
                    <w:t>1.32</w:t>
                  </w:r>
                </w:p>
              </w:tc>
              <w:tc>
                <w:tcPr>
                  <w:tcW w:w="1056" w:type="pct"/>
                  <w:vAlign w:val="center"/>
                </w:tcPr>
                <w:p>
                  <w:pPr>
                    <w:pStyle w:val="169"/>
                  </w:pPr>
                  <w:r>
                    <w:t>0.44</w:t>
                  </w:r>
                </w:p>
              </w:tc>
              <w:tc>
                <w:tcPr>
                  <w:tcW w:w="912" w:type="pct"/>
                  <w:vAlign w:val="center"/>
                </w:tcPr>
                <w:p>
                  <w:pPr>
                    <w:pStyle w:val="169"/>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氨氮</w:t>
                  </w:r>
                </w:p>
              </w:tc>
              <w:tc>
                <w:tcPr>
                  <w:tcW w:w="692" w:type="pct"/>
                  <w:vAlign w:val="center"/>
                </w:tcPr>
                <w:p>
                  <w:pPr>
                    <w:pStyle w:val="169"/>
                  </w:pPr>
                  <w:r>
                    <w:t>mg/L</w:t>
                  </w:r>
                </w:p>
              </w:tc>
              <w:tc>
                <w:tcPr>
                  <w:tcW w:w="1353" w:type="pct"/>
                  <w:vAlign w:val="center"/>
                </w:tcPr>
                <w:p>
                  <w:pPr>
                    <w:pStyle w:val="169"/>
                  </w:pPr>
                  <w:r>
                    <w:t>0.355</w:t>
                  </w:r>
                </w:p>
              </w:tc>
              <w:tc>
                <w:tcPr>
                  <w:tcW w:w="1056" w:type="pct"/>
                  <w:vAlign w:val="center"/>
                </w:tcPr>
                <w:p>
                  <w:pPr>
                    <w:pStyle w:val="169"/>
                  </w:pPr>
                  <w:r>
                    <w:t>0.71</w:t>
                  </w:r>
                </w:p>
              </w:tc>
              <w:tc>
                <w:tcPr>
                  <w:tcW w:w="912" w:type="pct"/>
                  <w:vAlign w:val="center"/>
                </w:tcPr>
                <w:p>
                  <w:pPr>
                    <w:pStyle w:val="169"/>
                  </w:pPr>
                  <w: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87" w:type="pct"/>
                  <w:shd w:val="clear" w:color="auto" w:fill="auto"/>
                  <w:vAlign w:val="center"/>
                </w:tcPr>
                <w:p>
                  <w:pPr>
                    <w:pStyle w:val="169"/>
                  </w:pPr>
                  <w:r>
                    <w:t>亚硝酸盐</w:t>
                  </w:r>
                </w:p>
              </w:tc>
              <w:tc>
                <w:tcPr>
                  <w:tcW w:w="692" w:type="pct"/>
                  <w:vAlign w:val="center"/>
                </w:tcPr>
                <w:p>
                  <w:pPr>
                    <w:pStyle w:val="169"/>
                  </w:pPr>
                  <w:r>
                    <w:t>mg/L</w:t>
                  </w:r>
                </w:p>
              </w:tc>
              <w:tc>
                <w:tcPr>
                  <w:tcW w:w="1353" w:type="pct"/>
                  <w:vAlign w:val="center"/>
                </w:tcPr>
                <w:p>
                  <w:pPr>
                    <w:pStyle w:val="169"/>
                  </w:pPr>
                  <w:r>
                    <w:t>0.054</w:t>
                  </w:r>
                </w:p>
              </w:tc>
              <w:tc>
                <w:tcPr>
                  <w:tcW w:w="1056" w:type="pct"/>
                  <w:vAlign w:val="center"/>
                </w:tcPr>
                <w:p>
                  <w:pPr>
                    <w:pStyle w:val="169"/>
                  </w:pPr>
                  <w:r>
                    <w:t>0.054</w:t>
                  </w:r>
                </w:p>
              </w:tc>
              <w:tc>
                <w:tcPr>
                  <w:tcW w:w="912" w:type="pct"/>
                  <w:vAlign w:val="center"/>
                </w:tcPr>
                <w:p>
                  <w:pPr>
                    <w:pStyle w:val="169"/>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硝酸盐</w:t>
                  </w:r>
                </w:p>
              </w:tc>
              <w:tc>
                <w:tcPr>
                  <w:tcW w:w="692" w:type="pct"/>
                  <w:vAlign w:val="center"/>
                </w:tcPr>
                <w:p>
                  <w:pPr>
                    <w:pStyle w:val="169"/>
                  </w:pPr>
                  <w:r>
                    <w:t>mg/L</w:t>
                  </w:r>
                </w:p>
              </w:tc>
              <w:tc>
                <w:tcPr>
                  <w:tcW w:w="1353" w:type="pct"/>
                  <w:vAlign w:val="center"/>
                </w:tcPr>
                <w:p>
                  <w:pPr>
                    <w:pStyle w:val="169"/>
                  </w:pPr>
                  <w:r>
                    <w:t>0.85</w:t>
                  </w:r>
                </w:p>
              </w:tc>
              <w:tc>
                <w:tcPr>
                  <w:tcW w:w="1056" w:type="pct"/>
                  <w:vAlign w:val="center"/>
                </w:tcPr>
                <w:p>
                  <w:pPr>
                    <w:pStyle w:val="169"/>
                  </w:pPr>
                  <w:r>
                    <w:t>0.0425</w:t>
                  </w:r>
                </w:p>
              </w:tc>
              <w:tc>
                <w:tcPr>
                  <w:tcW w:w="912" w:type="pct"/>
                  <w:vAlign w:val="center"/>
                </w:tcPr>
                <w:p>
                  <w:pPr>
                    <w:pStyle w:val="169"/>
                  </w:pPr>
                  <w: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氰化物</w:t>
                  </w:r>
                </w:p>
              </w:tc>
              <w:tc>
                <w:tcPr>
                  <w:tcW w:w="692" w:type="pct"/>
                  <w:vAlign w:val="center"/>
                </w:tcPr>
                <w:p>
                  <w:pPr>
                    <w:pStyle w:val="169"/>
                  </w:pPr>
                  <w:r>
                    <w:t>mg/L</w:t>
                  </w:r>
                </w:p>
              </w:tc>
              <w:tc>
                <w:tcPr>
                  <w:tcW w:w="1353" w:type="pct"/>
                  <w:vAlign w:val="center"/>
                </w:tcPr>
                <w:p>
                  <w:pPr>
                    <w:pStyle w:val="169"/>
                  </w:pPr>
                  <w:r>
                    <w:t>0.002L</w:t>
                  </w:r>
                </w:p>
              </w:tc>
              <w:tc>
                <w:tcPr>
                  <w:tcW w:w="1056" w:type="pct"/>
                  <w:vAlign w:val="center"/>
                </w:tcPr>
                <w:p>
                  <w:pPr>
                    <w:pStyle w:val="169"/>
                  </w:pPr>
                  <w:r>
                    <w:rPr>
                      <w:rFonts w:hint="eastAsia"/>
                    </w:rPr>
                    <w:t>/</w:t>
                  </w:r>
                </w:p>
              </w:tc>
              <w:tc>
                <w:tcPr>
                  <w:tcW w:w="912" w:type="pct"/>
                  <w:vAlign w:val="center"/>
                </w:tcPr>
                <w:p>
                  <w:pPr>
                    <w:pStyle w:val="169"/>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氟化物</w:t>
                  </w:r>
                </w:p>
              </w:tc>
              <w:tc>
                <w:tcPr>
                  <w:tcW w:w="692" w:type="pct"/>
                  <w:vAlign w:val="center"/>
                </w:tcPr>
                <w:p>
                  <w:pPr>
                    <w:pStyle w:val="169"/>
                  </w:pPr>
                  <w:r>
                    <w:t>mg/L</w:t>
                  </w:r>
                </w:p>
              </w:tc>
              <w:tc>
                <w:tcPr>
                  <w:tcW w:w="1353" w:type="pct"/>
                  <w:vAlign w:val="center"/>
                </w:tcPr>
                <w:p>
                  <w:pPr>
                    <w:pStyle w:val="169"/>
                  </w:pPr>
                  <w:r>
                    <w:t>0.4</w:t>
                  </w:r>
                </w:p>
              </w:tc>
              <w:tc>
                <w:tcPr>
                  <w:tcW w:w="1056" w:type="pct"/>
                  <w:vAlign w:val="center"/>
                </w:tcPr>
                <w:p>
                  <w:pPr>
                    <w:pStyle w:val="169"/>
                  </w:pPr>
                  <w:r>
                    <w:t>0.4</w:t>
                  </w:r>
                </w:p>
              </w:tc>
              <w:tc>
                <w:tcPr>
                  <w:tcW w:w="912" w:type="pct"/>
                  <w:vAlign w:val="center"/>
                </w:tcPr>
                <w:p>
                  <w:pPr>
                    <w:pStyle w:val="169"/>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汞</w:t>
                  </w:r>
                </w:p>
              </w:tc>
              <w:tc>
                <w:tcPr>
                  <w:tcW w:w="692" w:type="pct"/>
                  <w:vAlign w:val="center"/>
                </w:tcPr>
                <w:p>
                  <w:pPr>
                    <w:pStyle w:val="169"/>
                  </w:pPr>
                  <w:r>
                    <w:t>mg/L</w:t>
                  </w:r>
                </w:p>
              </w:tc>
              <w:tc>
                <w:tcPr>
                  <w:tcW w:w="1353" w:type="pct"/>
                  <w:vAlign w:val="center"/>
                </w:tcPr>
                <w:p>
                  <w:pPr>
                    <w:pStyle w:val="169"/>
                  </w:pPr>
                  <w:r>
                    <w:t>4.0×10</w:t>
                  </w:r>
                  <w:r>
                    <w:rPr>
                      <w:vertAlign w:val="superscript"/>
                    </w:rPr>
                    <w:t>-5</w:t>
                  </w:r>
                  <w:r>
                    <w:t>L</w:t>
                  </w:r>
                </w:p>
              </w:tc>
              <w:tc>
                <w:tcPr>
                  <w:tcW w:w="1056" w:type="pct"/>
                  <w:vAlign w:val="center"/>
                </w:tcPr>
                <w:p>
                  <w:pPr>
                    <w:pStyle w:val="169"/>
                  </w:pPr>
                  <w:r>
                    <w:t>/</w:t>
                  </w:r>
                </w:p>
              </w:tc>
              <w:tc>
                <w:tcPr>
                  <w:tcW w:w="912" w:type="pct"/>
                  <w:vAlign w:val="center"/>
                </w:tcPr>
                <w:p>
                  <w:pPr>
                    <w:pStyle w:val="169"/>
                  </w:pPr>
                  <w: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87" w:type="pct"/>
                  <w:shd w:val="clear" w:color="auto" w:fill="auto"/>
                  <w:vAlign w:val="center"/>
                </w:tcPr>
                <w:p>
                  <w:pPr>
                    <w:pStyle w:val="169"/>
                  </w:pPr>
                  <w:r>
                    <w:t>砷</w:t>
                  </w:r>
                </w:p>
              </w:tc>
              <w:tc>
                <w:tcPr>
                  <w:tcW w:w="692" w:type="pct"/>
                  <w:vAlign w:val="center"/>
                </w:tcPr>
                <w:p>
                  <w:pPr>
                    <w:pStyle w:val="169"/>
                  </w:pPr>
                  <w:r>
                    <w:t>mg/L</w:t>
                  </w:r>
                </w:p>
              </w:tc>
              <w:tc>
                <w:tcPr>
                  <w:tcW w:w="1353" w:type="pct"/>
                  <w:vAlign w:val="center"/>
                </w:tcPr>
                <w:p>
                  <w:pPr>
                    <w:pStyle w:val="169"/>
                  </w:pPr>
                  <w:r>
                    <w:t>3×10</w:t>
                  </w:r>
                  <w:r>
                    <w:rPr>
                      <w:vertAlign w:val="superscript"/>
                    </w:rPr>
                    <w:t>-4</w:t>
                  </w:r>
                  <w:r>
                    <w:t>L</w:t>
                  </w:r>
                </w:p>
              </w:tc>
              <w:tc>
                <w:tcPr>
                  <w:tcW w:w="1056" w:type="pct"/>
                  <w:vAlign w:val="center"/>
                </w:tcPr>
                <w:p>
                  <w:pPr>
                    <w:pStyle w:val="169"/>
                  </w:pPr>
                  <w:r>
                    <w:rPr>
                      <w:rFonts w:hint="eastAsia"/>
                    </w:rPr>
                    <w:t>/</w:t>
                  </w:r>
                </w:p>
              </w:tc>
              <w:tc>
                <w:tcPr>
                  <w:tcW w:w="912" w:type="pct"/>
                  <w:vAlign w:val="center"/>
                </w:tcPr>
                <w:p>
                  <w:pPr>
                    <w:pStyle w:val="169"/>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镉</w:t>
                  </w:r>
                </w:p>
              </w:tc>
              <w:tc>
                <w:tcPr>
                  <w:tcW w:w="692" w:type="pct"/>
                  <w:vAlign w:val="center"/>
                </w:tcPr>
                <w:p>
                  <w:pPr>
                    <w:pStyle w:val="169"/>
                  </w:pPr>
                  <w:r>
                    <w:t>mg/L</w:t>
                  </w:r>
                </w:p>
              </w:tc>
              <w:tc>
                <w:tcPr>
                  <w:tcW w:w="1353" w:type="pct"/>
                  <w:vAlign w:val="center"/>
                </w:tcPr>
                <w:p>
                  <w:pPr>
                    <w:pStyle w:val="169"/>
                  </w:pPr>
                  <w:r>
                    <w:t>1.0×10</w:t>
                  </w:r>
                  <w:r>
                    <w:rPr>
                      <w:vertAlign w:val="superscript"/>
                    </w:rPr>
                    <w:t>-4</w:t>
                  </w:r>
                  <w:r>
                    <w:t>L</w:t>
                  </w:r>
                </w:p>
              </w:tc>
              <w:tc>
                <w:tcPr>
                  <w:tcW w:w="1056" w:type="pct"/>
                  <w:vAlign w:val="center"/>
                </w:tcPr>
                <w:p>
                  <w:pPr>
                    <w:pStyle w:val="169"/>
                  </w:pPr>
                  <w:r>
                    <w:rPr>
                      <w:rFonts w:hint="eastAsia"/>
                    </w:rPr>
                    <w:t>/</w:t>
                  </w:r>
                </w:p>
              </w:tc>
              <w:tc>
                <w:tcPr>
                  <w:tcW w:w="912" w:type="pct"/>
                  <w:vAlign w:val="center"/>
                </w:tcPr>
                <w:p>
                  <w:pPr>
                    <w:pStyle w:val="169"/>
                  </w:pPr>
                  <w: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铬（六价）</w:t>
                  </w:r>
                </w:p>
              </w:tc>
              <w:tc>
                <w:tcPr>
                  <w:tcW w:w="692" w:type="pct"/>
                  <w:vAlign w:val="center"/>
                </w:tcPr>
                <w:p>
                  <w:pPr>
                    <w:pStyle w:val="169"/>
                  </w:pPr>
                  <w:r>
                    <w:t>mg/L</w:t>
                  </w:r>
                </w:p>
              </w:tc>
              <w:tc>
                <w:tcPr>
                  <w:tcW w:w="1353" w:type="pct"/>
                  <w:vAlign w:val="center"/>
                </w:tcPr>
                <w:p>
                  <w:pPr>
                    <w:pStyle w:val="169"/>
                  </w:pPr>
                  <w:r>
                    <w:t>0.004L</w:t>
                  </w:r>
                </w:p>
              </w:tc>
              <w:tc>
                <w:tcPr>
                  <w:tcW w:w="1056" w:type="pct"/>
                  <w:vAlign w:val="center"/>
                </w:tcPr>
                <w:p>
                  <w:pPr>
                    <w:pStyle w:val="169"/>
                  </w:pPr>
                  <w:r>
                    <w:rPr>
                      <w:rFonts w:hint="eastAsia"/>
                    </w:rPr>
                    <w:t>/</w:t>
                  </w:r>
                </w:p>
              </w:tc>
              <w:tc>
                <w:tcPr>
                  <w:tcW w:w="912" w:type="pct"/>
                  <w:vAlign w:val="center"/>
                </w:tcPr>
                <w:p>
                  <w:pPr>
                    <w:pStyle w:val="169"/>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铅</w:t>
                  </w:r>
                </w:p>
              </w:tc>
              <w:tc>
                <w:tcPr>
                  <w:tcW w:w="692" w:type="pct"/>
                  <w:vAlign w:val="center"/>
                </w:tcPr>
                <w:p>
                  <w:pPr>
                    <w:pStyle w:val="169"/>
                  </w:pPr>
                  <w:r>
                    <w:t>mg/L</w:t>
                  </w:r>
                </w:p>
              </w:tc>
              <w:tc>
                <w:tcPr>
                  <w:tcW w:w="1353" w:type="pct"/>
                  <w:vAlign w:val="center"/>
                </w:tcPr>
                <w:p>
                  <w:pPr>
                    <w:pStyle w:val="169"/>
                  </w:pPr>
                  <w:r>
                    <w:t>1.2×10</w:t>
                  </w:r>
                  <w:r>
                    <w:rPr>
                      <w:vertAlign w:val="superscript"/>
                    </w:rPr>
                    <w:t>-3</w:t>
                  </w:r>
                  <w:r>
                    <w:t>L</w:t>
                  </w:r>
                </w:p>
              </w:tc>
              <w:tc>
                <w:tcPr>
                  <w:tcW w:w="1056" w:type="pct"/>
                  <w:vAlign w:val="center"/>
                </w:tcPr>
                <w:p>
                  <w:pPr>
                    <w:pStyle w:val="169"/>
                  </w:pPr>
                  <w:r>
                    <w:rPr>
                      <w:rFonts w:hint="eastAsia"/>
                    </w:rPr>
                    <w:t>/</w:t>
                  </w:r>
                </w:p>
              </w:tc>
              <w:tc>
                <w:tcPr>
                  <w:tcW w:w="912" w:type="pct"/>
                  <w:vAlign w:val="center"/>
                </w:tcPr>
                <w:p>
                  <w:pPr>
                    <w:pStyle w:val="169"/>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镍</w:t>
                  </w:r>
                </w:p>
              </w:tc>
              <w:tc>
                <w:tcPr>
                  <w:tcW w:w="692" w:type="pct"/>
                </w:tcPr>
                <w:p>
                  <w:pPr>
                    <w:pStyle w:val="169"/>
                  </w:pPr>
                  <w:r>
                    <w:t>mg/L</w:t>
                  </w:r>
                </w:p>
              </w:tc>
              <w:tc>
                <w:tcPr>
                  <w:tcW w:w="1353" w:type="pct"/>
                  <w:vAlign w:val="center"/>
                </w:tcPr>
                <w:p>
                  <w:pPr>
                    <w:pStyle w:val="169"/>
                  </w:pPr>
                  <w:r>
                    <w:t>5×10</w:t>
                  </w:r>
                  <w:r>
                    <w:rPr>
                      <w:vertAlign w:val="superscript"/>
                    </w:rPr>
                    <w:t>-3</w:t>
                  </w:r>
                  <w:r>
                    <w:t>L</w:t>
                  </w:r>
                </w:p>
              </w:tc>
              <w:tc>
                <w:tcPr>
                  <w:tcW w:w="1056" w:type="pct"/>
                </w:tcPr>
                <w:p>
                  <w:pPr>
                    <w:pStyle w:val="169"/>
                  </w:pPr>
                  <w:r>
                    <w:rPr>
                      <w:rFonts w:hint="eastAsia"/>
                    </w:rPr>
                    <w:t>/</w:t>
                  </w:r>
                </w:p>
              </w:tc>
              <w:tc>
                <w:tcPr>
                  <w:tcW w:w="912" w:type="pct"/>
                  <w:vAlign w:val="center"/>
                </w:tcPr>
                <w:p>
                  <w:pPr>
                    <w:pStyle w:val="169"/>
                  </w:pPr>
                  <w:r>
                    <w:rPr>
                      <w:rFonts w:hint="eastAsia"/>
                    </w:rPr>
                    <w:t>0</w:t>
                  </w: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87" w:type="pct"/>
                  <w:shd w:val="clear" w:color="auto" w:fill="auto"/>
                  <w:vAlign w:val="center"/>
                </w:tcPr>
                <w:p>
                  <w:pPr>
                    <w:pStyle w:val="169"/>
                  </w:pPr>
                  <w:r>
                    <w:t>铜</w:t>
                  </w:r>
                </w:p>
              </w:tc>
              <w:tc>
                <w:tcPr>
                  <w:tcW w:w="692" w:type="pct"/>
                </w:tcPr>
                <w:p>
                  <w:pPr>
                    <w:pStyle w:val="169"/>
                  </w:pPr>
                  <w:r>
                    <w:t>mg/L</w:t>
                  </w:r>
                </w:p>
              </w:tc>
              <w:tc>
                <w:tcPr>
                  <w:tcW w:w="1353" w:type="pct"/>
                  <w:vAlign w:val="center"/>
                </w:tcPr>
                <w:p>
                  <w:pPr>
                    <w:pStyle w:val="169"/>
                  </w:pPr>
                  <w:r>
                    <w:rPr>
                      <w:rFonts w:hint="eastAsia"/>
                    </w:rPr>
                    <w:t>0</w:t>
                  </w:r>
                  <w:r>
                    <w:t>.05L</w:t>
                  </w:r>
                </w:p>
              </w:tc>
              <w:tc>
                <w:tcPr>
                  <w:tcW w:w="1056" w:type="pct"/>
                </w:tcPr>
                <w:p>
                  <w:pPr>
                    <w:pStyle w:val="169"/>
                  </w:pPr>
                  <w:r>
                    <w:rPr>
                      <w:rFonts w:hint="eastAsia"/>
                    </w:rPr>
                    <w:t>/</w:t>
                  </w:r>
                </w:p>
              </w:tc>
              <w:tc>
                <w:tcPr>
                  <w:tcW w:w="912" w:type="pct"/>
                  <w:vAlign w:val="center"/>
                </w:tcPr>
                <w:p>
                  <w:pPr>
                    <w:pStyle w:val="169"/>
                  </w:pPr>
                  <w:r>
                    <w:rPr>
                      <w:rFonts w:hint="eastAsia"/>
                    </w:rPr>
                    <w:t>1</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7" w:type="pct"/>
                  <w:shd w:val="clear" w:color="auto" w:fill="auto"/>
                  <w:vAlign w:val="center"/>
                </w:tcPr>
                <w:p>
                  <w:pPr>
                    <w:pStyle w:val="169"/>
                  </w:pPr>
                  <w:r>
                    <w:t>锌</w:t>
                  </w:r>
                </w:p>
              </w:tc>
              <w:tc>
                <w:tcPr>
                  <w:tcW w:w="692" w:type="pct"/>
                </w:tcPr>
                <w:p>
                  <w:pPr>
                    <w:pStyle w:val="169"/>
                  </w:pPr>
                  <w:r>
                    <w:t>mg/L</w:t>
                  </w:r>
                </w:p>
              </w:tc>
              <w:tc>
                <w:tcPr>
                  <w:tcW w:w="1353" w:type="pct"/>
                  <w:vAlign w:val="center"/>
                </w:tcPr>
                <w:p>
                  <w:pPr>
                    <w:pStyle w:val="169"/>
                  </w:pPr>
                  <w:r>
                    <w:rPr>
                      <w:rFonts w:hint="eastAsia"/>
                    </w:rPr>
                    <w:t>0</w:t>
                  </w:r>
                  <w:r>
                    <w:t>.02L</w:t>
                  </w:r>
                </w:p>
              </w:tc>
              <w:tc>
                <w:tcPr>
                  <w:tcW w:w="1056" w:type="pct"/>
                </w:tcPr>
                <w:p>
                  <w:pPr>
                    <w:pStyle w:val="169"/>
                  </w:pPr>
                  <w:r>
                    <w:rPr>
                      <w:rFonts w:hint="eastAsia"/>
                    </w:rPr>
                    <w:t>/</w:t>
                  </w:r>
                </w:p>
              </w:tc>
              <w:tc>
                <w:tcPr>
                  <w:tcW w:w="912" w:type="pct"/>
                  <w:vAlign w:val="center"/>
                </w:tcPr>
                <w:p>
                  <w:pPr>
                    <w:pStyle w:val="169"/>
                  </w:pPr>
                  <w:r>
                    <w:rPr>
                      <w:rFonts w:hint="eastAsia"/>
                    </w:rPr>
                    <w:t>1</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87" w:type="pct"/>
                  <w:shd w:val="clear" w:color="auto" w:fill="auto"/>
                  <w:vAlign w:val="center"/>
                </w:tcPr>
                <w:p>
                  <w:pPr>
                    <w:pStyle w:val="169"/>
                  </w:pPr>
                  <w:r>
                    <w:t>石油类</w:t>
                  </w:r>
                </w:p>
              </w:tc>
              <w:tc>
                <w:tcPr>
                  <w:tcW w:w="692" w:type="pct"/>
                  <w:vAlign w:val="center"/>
                </w:tcPr>
                <w:p>
                  <w:pPr>
                    <w:pStyle w:val="169"/>
                  </w:pPr>
                  <w:r>
                    <w:t>mg/L</w:t>
                  </w:r>
                </w:p>
              </w:tc>
              <w:tc>
                <w:tcPr>
                  <w:tcW w:w="1353" w:type="pct"/>
                  <w:vAlign w:val="center"/>
                </w:tcPr>
                <w:p>
                  <w:pPr>
                    <w:pStyle w:val="169"/>
                  </w:pPr>
                  <w:r>
                    <w:t>0.04</w:t>
                  </w:r>
                </w:p>
              </w:tc>
              <w:tc>
                <w:tcPr>
                  <w:tcW w:w="1056" w:type="pct"/>
                  <w:vAlign w:val="center"/>
                </w:tcPr>
                <w:p>
                  <w:pPr>
                    <w:pStyle w:val="169"/>
                  </w:pPr>
                  <w:r>
                    <w:t>0.8</w:t>
                  </w:r>
                </w:p>
              </w:tc>
              <w:tc>
                <w:tcPr>
                  <w:tcW w:w="912" w:type="pct"/>
                  <w:vAlign w:val="center"/>
                </w:tcPr>
                <w:p>
                  <w:pPr>
                    <w:pStyle w:val="169"/>
                  </w:pPr>
                  <w:r>
                    <w:t>0.05</w:t>
                  </w:r>
                </w:p>
              </w:tc>
            </w:tr>
          </w:tbl>
          <w:p/>
          <w:p>
            <w:pPr>
              <w:pStyle w:val="178"/>
              <w:ind w:firstLine="420"/>
              <w:rPr>
                <w:rFonts w:eastAsia="宋体"/>
                <w:color w:val="auto"/>
                <w:szCs w:val="21"/>
              </w:rPr>
            </w:pPr>
            <w:r>
              <w:rPr>
                <w:rFonts w:hint="eastAsia" w:eastAsia="宋体"/>
                <w:color w:val="auto"/>
                <w:szCs w:val="21"/>
              </w:rPr>
              <w:t xml:space="preserve">表3.4-5    地下水现状监测及评价结果 </w:t>
            </w:r>
            <w:r>
              <w:rPr>
                <w:rFonts w:eastAsia="宋体"/>
                <w:color w:val="auto"/>
                <w:szCs w:val="21"/>
              </w:rPr>
              <w:t xml:space="preserve">       </w:t>
            </w:r>
            <w:r>
              <w:rPr>
                <w:rFonts w:hint="eastAsia" w:eastAsia="宋体"/>
                <w:color w:val="auto"/>
                <w:szCs w:val="21"/>
              </w:rPr>
              <w:t>单位：mg/L</w:t>
            </w:r>
          </w:p>
          <w:tbl>
            <w:tblPr>
              <w:tblStyle w:val="88"/>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992"/>
              <w:gridCol w:w="1276"/>
              <w:gridCol w:w="1207"/>
              <w:gridCol w:w="1306"/>
              <w:gridCol w:w="1072"/>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blHeader/>
                <w:jc w:val="center"/>
              </w:trPr>
              <w:tc>
                <w:tcPr>
                  <w:tcW w:w="910" w:type="pct"/>
                  <w:vMerge w:val="restart"/>
                  <w:shd w:val="clear" w:color="auto" w:fill="auto"/>
                  <w:vAlign w:val="center"/>
                </w:tcPr>
                <w:p>
                  <w:pPr>
                    <w:pStyle w:val="169"/>
                  </w:pPr>
                  <w:r>
                    <w:t>项目</w:t>
                  </w:r>
                </w:p>
              </w:tc>
              <w:tc>
                <w:tcPr>
                  <w:tcW w:w="590" w:type="pct"/>
                  <w:vMerge w:val="restart"/>
                  <w:vAlign w:val="center"/>
                </w:tcPr>
                <w:p>
                  <w:pPr>
                    <w:pStyle w:val="169"/>
                  </w:pPr>
                  <w:r>
                    <w:t>单位</w:t>
                  </w:r>
                </w:p>
              </w:tc>
              <w:tc>
                <w:tcPr>
                  <w:tcW w:w="1477" w:type="pct"/>
                  <w:gridSpan w:val="2"/>
                  <w:vAlign w:val="center"/>
                </w:tcPr>
                <w:p>
                  <w:pPr>
                    <w:pStyle w:val="169"/>
                  </w:pPr>
                  <w:r>
                    <w:t>D7</w:t>
                  </w:r>
                </w:p>
              </w:tc>
              <w:tc>
                <w:tcPr>
                  <w:tcW w:w="1415" w:type="pct"/>
                  <w:gridSpan w:val="2"/>
                  <w:vAlign w:val="center"/>
                </w:tcPr>
                <w:p>
                  <w:pPr>
                    <w:pStyle w:val="169"/>
                  </w:pPr>
                  <w:r>
                    <w:t>D8</w:t>
                  </w:r>
                </w:p>
              </w:tc>
              <w:tc>
                <w:tcPr>
                  <w:tcW w:w="607" w:type="pct"/>
                  <w:vMerge w:val="restart"/>
                  <w:vAlign w:val="center"/>
                </w:tcPr>
                <w:p>
                  <w:pPr>
                    <w:pStyle w:val="169"/>
                  </w:pPr>
                  <w: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Header/>
                <w:jc w:val="center"/>
              </w:trPr>
              <w:tc>
                <w:tcPr>
                  <w:tcW w:w="910" w:type="pct"/>
                  <w:vMerge w:val="continue"/>
                  <w:shd w:val="clear" w:color="auto" w:fill="auto"/>
                  <w:vAlign w:val="center"/>
                </w:tcPr>
                <w:p>
                  <w:pPr>
                    <w:pStyle w:val="169"/>
                  </w:pPr>
                </w:p>
              </w:tc>
              <w:tc>
                <w:tcPr>
                  <w:tcW w:w="590" w:type="pct"/>
                  <w:vMerge w:val="continue"/>
                  <w:vAlign w:val="center"/>
                </w:tcPr>
                <w:p>
                  <w:pPr>
                    <w:pStyle w:val="169"/>
                  </w:pPr>
                </w:p>
              </w:tc>
              <w:tc>
                <w:tcPr>
                  <w:tcW w:w="759" w:type="pct"/>
                  <w:vAlign w:val="center"/>
                </w:tcPr>
                <w:p>
                  <w:pPr>
                    <w:pStyle w:val="169"/>
                  </w:pPr>
                  <w:r>
                    <w:rPr>
                      <w:rFonts w:hint="eastAsia"/>
                    </w:rPr>
                    <w:t>监测值</w:t>
                  </w:r>
                </w:p>
              </w:tc>
              <w:tc>
                <w:tcPr>
                  <w:tcW w:w="718" w:type="pct"/>
                  <w:vAlign w:val="center"/>
                </w:tcPr>
                <w:p>
                  <w:pPr>
                    <w:pStyle w:val="169"/>
                  </w:pPr>
                  <w:r>
                    <w:t>Pi</w:t>
                  </w:r>
                  <w:r>
                    <w:rPr>
                      <w:rFonts w:hint="eastAsia"/>
                    </w:rPr>
                    <w:t>值</w:t>
                  </w:r>
                </w:p>
              </w:tc>
              <w:tc>
                <w:tcPr>
                  <w:tcW w:w="777" w:type="pct"/>
                  <w:vAlign w:val="center"/>
                </w:tcPr>
                <w:p>
                  <w:pPr>
                    <w:pStyle w:val="169"/>
                  </w:pPr>
                  <w:r>
                    <w:rPr>
                      <w:rFonts w:hint="eastAsia"/>
                    </w:rPr>
                    <w:t>监测值</w:t>
                  </w:r>
                </w:p>
              </w:tc>
              <w:tc>
                <w:tcPr>
                  <w:tcW w:w="638" w:type="pct"/>
                  <w:vAlign w:val="center"/>
                </w:tcPr>
                <w:p>
                  <w:pPr>
                    <w:pStyle w:val="169"/>
                  </w:pPr>
                  <w:r>
                    <w:t>Pi</w:t>
                  </w:r>
                  <w:r>
                    <w:rPr>
                      <w:rFonts w:hint="eastAsia"/>
                    </w:rPr>
                    <w:t>值</w:t>
                  </w:r>
                </w:p>
              </w:tc>
              <w:tc>
                <w:tcPr>
                  <w:tcW w:w="607" w:type="pct"/>
                  <w:vMerge w:val="continue"/>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10" w:type="pct"/>
                  <w:shd w:val="clear" w:color="auto" w:fill="auto"/>
                  <w:vAlign w:val="center"/>
                </w:tcPr>
                <w:p>
                  <w:pPr>
                    <w:pStyle w:val="169"/>
                  </w:pPr>
                  <w:r>
                    <w:t>pH</w:t>
                  </w:r>
                </w:p>
              </w:tc>
              <w:tc>
                <w:tcPr>
                  <w:tcW w:w="590" w:type="pct"/>
                  <w:vAlign w:val="center"/>
                </w:tcPr>
                <w:p>
                  <w:pPr>
                    <w:pStyle w:val="169"/>
                  </w:pPr>
                  <w:r>
                    <w:t>无量纲</w:t>
                  </w:r>
                </w:p>
              </w:tc>
              <w:tc>
                <w:tcPr>
                  <w:tcW w:w="759" w:type="pct"/>
                  <w:vAlign w:val="center"/>
                </w:tcPr>
                <w:p>
                  <w:pPr>
                    <w:pStyle w:val="169"/>
                  </w:pPr>
                  <w:r>
                    <w:t>7.5</w:t>
                  </w:r>
                </w:p>
              </w:tc>
              <w:tc>
                <w:tcPr>
                  <w:tcW w:w="718" w:type="pct"/>
                  <w:vAlign w:val="center"/>
                </w:tcPr>
                <w:p>
                  <w:pPr>
                    <w:pStyle w:val="169"/>
                  </w:pPr>
                  <w:r>
                    <w:t>0.33</w:t>
                  </w:r>
                </w:p>
              </w:tc>
              <w:tc>
                <w:tcPr>
                  <w:tcW w:w="777" w:type="pct"/>
                  <w:vAlign w:val="center"/>
                </w:tcPr>
                <w:p>
                  <w:pPr>
                    <w:pStyle w:val="169"/>
                  </w:pPr>
                  <w:r>
                    <w:t>7.4</w:t>
                  </w:r>
                </w:p>
              </w:tc>
              <w:tc>
                <w:tcPr>
                  <w:tcW w:w="638" w:type="pct"/>
                  <w:vAlign w:val="center"/>
                </w:tcPr>
                <w:p>
                  <w:pPr>
                    <w:pStyle w:val="169"/>
                  </w:pPr>
                  <w:r>
                    <w:t>0.27</w:t>
                  </w:r>
                </w:p>
              </w:tc>
              <w:tc>
                <w:tcPr>
                  <w:tcW w:w="607" w:type="pct"/>
                  <w:vAlign w:val="center"/>
                </w:tcPr>
                <w:p>
                  <w:pPr>
                    <w:pStyle w:val="169"/>
                  </w:pPr>
                  <w: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总硬度</w:t>
                  </w:r>
                </w:p>
              </w:tc>
              <w:tc>
                <w:tcPr>
                  <w:tcW w:w="590" w:type="pct"/>
                  <w:vAlign w:val="center"/>
                </w:tcPr>
                <w:p>
                  <w:pPr>
                    <w:pStyle w:val="169"/>
                  </w:pPr>
                  <w:r>
                    <w:t>mg/L</w:t>
                  </w:r>
                </w:p>
              </w:tc>
              <w:tc>
                <w:tcPr>
                  <w:tcW w:w="759" w:type="pct"/>
                  <w:vAlign w:val="center"/>
                </w:tcPr>
                <w:p>
                  <w:pPr>
                    <w:pStyle w:val="169"/>
                  </w:pPr>
                  <w:r>
                    <w:t>167</w:t>
                  </w:r>
                </w:p>
              </w:tc>
              <w:tc>
                <w:tcPr>
                  <w:tcW w:w="718" w:type="pct"/>
                  <w:vAlign w:val="center"/>
                </w:tcPr>
                <w:p>
                  <w:pPr>
                    <w:pStyle w:val="169"/>
                  </w:pPr>
                  <w:r>
                    <w:t>0.37</w:t>
                  </w:r>
                </w:p>
              </w:tc>
              <w:tc>
                <w:tcPr>
                  <w:tcW w:w="777" w:type="pct"/>
                  <w:vAlign w:val="center"/>
                </w:tcPr>
                <w:p>
                  <w:pPr>
                    <w:pStyle w:val="169"/>
                  </w:pPr>
                  <w:r>
                    <w:t>152</w:t>
                  </w:r>
                </w:p>
              </w:tc>
              <w:tc>
                <w:tcPr>
                  <w:tcW w:w="638" w:type="pct"/>
                  <w:vAlign w:val="center"/>
                </w:tcPr>
                <w:p>
                  <w:pPr>
                    <w:pStyle w:val="169"/>
                  </w:pPr>
                  <w:r>
                    <w:t>0.34</w:t>
                  </w:r>
                </w:p>
              </w:tc>
              <w:tc>
                <w:tcPr>
                  <w:tcW w:w="607" w:type="pct"/>
                  <w:vAlign w:val="center"/>
                </w:tcPr>
                <w:p>
                  <w:pPr>
                    <w:pStyle w:val="169"/>
                  </w:pPr>
                  <w: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10" w:type="pct"/>
                  <w:shd w:val="clear" w:color="auto" w:fill="auto"/>
                  <w:vAlign w:val="center"/>
                </w:tcPr>
                <w:p>
                  <w:pPr>
                    <w:pStyle w:val="169"/>
                  </w:pPr>
                  <w:r>
                    <w:t>溶解性总固体</w:t>
                  </w:r>
                </w:p>
              </w:tc>
              <w:tc>
                <w:tcPr>
                  <w:tcW w:w="590" w:type="pct"/>
                  <w:vAlign w:val="center"/>
                </w:tcPr>
                <w:p>
                  <w:pPr>
                    <w:pStyle w:val="169"/>
                  </w:pPr>
                  <w:r>
                    <w:t>mg/L</w:t>
                  </w:r>
                </w:p>
              </w:tc>
              <w:tc>
                <w:tcPr>
                  <w:tcW w:w="759" w:type="pct"/>
                  <w:vAlign w:val="center"/>
                </w:tcPr>
                <w:p>
                  <w:pPr>
                    <w:pStyle w:val="169"/>
                  </w:pPr>
                  <w:r>
                    <w:t>254</w:t>
                  </w:r>
                </w:p>
              </w:tc>
              <w:tc>
                <w:tcPr>
                  <w:tcW w:w="718" w:type="pct"/>
                  <w:vAlign w:val="center"/>
                </w:tcPr>
                <w:p>
                  <w:pPr>
                    <w:pStyle w:val="169"/>
                  </w:pPr>
                  <w:r>
                    <w:t>0.254</w:t>
                  </w:r>
                </w:p>
              </w:tc>
              <w:tc>
                <w:tcPr>
                  <w:tcW w:w="777" w:type="pct"/>
                  <w:vAlign w:val="center"/>
                </w:tcPr>
                <w:p>
                  <w:pPr>
                    <w:pStyle w:val="169"/>
                  </w:pPr>
                  <w:r>
                    <w:t>270</w:t>
                  </w:r>
                </w:p>
              </w:tc>
              <w:tc>
                <w:tcPr>
                  <w:tcW w:w="638" w:type="pct"/>
                  <w:vAlign w:val="center"/>
                </w:tcPr>
                <w:p>
                  <w:pPr>
                    <w:pStyle w:val="169"/>
                  </w:pPr>
                  <w:r>
                    <w:t>0.27</w:t>
                  </w:r>
                </w:p>
              </w:tc>
              <w:tc>
                <w:tcPr>
                  <w:tcW w:w="607" w:type="pct"/>
                  <w:vAlign w:val="center"/>
                </w:tcPr>
                <w:p>
                  <w:pPr>
                    <w:pStyle w:val="169"/>
                  </w:pP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硫酸盐</w:t>
                  </w:r>
                </w:p>
              </w:tc>
              <w:tc>
                <w:tcPr>
                  <w:tcW w:w="590" w:type="pct"/>
                  <w:vAlign w:val="center"/>
                </w:tcPr>
                <w:p>
                  <w:pPr>
                    <w:pStyle w:val="169"/>
                  </w:pPr>
                  <w:r>
                    <w:t>mg/L</w:t>
                  </w:r>
                </w:p>
              </w:tc>
              <w:tc>
                <w:tcPr>
                  <w:tcW w:w="759" w:type="pct"/>
                  <w:vAlign w:val="center"/>
                </w:tcPr>
                <w:p>
                  <w:pPr>
                    <w:pStyle w:val="169"/>
                  </w:pPr>
                  <w:r>
                    <w:t>29.5</w:t>
                  </w:r>
                </w:p>
              </w:tc>
              <w:tc>
                <w:tcPr>
                  <w:tcW w:w="718" w:type="pct"/>
                  <w:vAlign w:val="center"/>
                </w:tcPr>
                <w:p>
                  <w:pPr>
                    <w:pStyle w:val="169"/>
                  </w:pPr>
                  <w:r>
                    <w:t>0.118</w:t>
                  </w:r>
                </w:p>
              </w:tc>
              <w:tc>
                <w:tcPr>
                  <w:tcW w:w="777" w:type="pct"/>
                  <w:vAlign w:val="center"/>
                </w:tcPr>
                <w:p>
                  <w:pPr>
                    <w:pStyle w:val="169"/>
                  </w:pPr>
                  <w:r>
                    <w:t>20.5</w:t>
                  </w:r>
                </w:p>
              </w:tc>
              <w:tc>
                <w:tcPr>
                  <w:tcW w:w="638" w:type="pct"/>
                  <w:vAlign w:val="center"/>
                </w:tcPr>
                <w:p>
                  <w:pPr>
                    <w:pStyle w:val="169"/>
                  </w:pPr>
                  <w:r>
                    <w:t>0.082</w:t>
                  </w:r>
                </w:p>
              </w:tc>
              <w:tc>
                <w:tcPr>
                  <w:tcW w:w="607" w:type="pct"/>
                  <w:vAlign w:val="center"/>
                </w:tcPr>
                <w:p>
                  <w:pPr>
                    <w:pStyle w:val="169"/>
                  </w:pPr>
                  <w: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氯化物</w:t>
                  </w:r>
                </w:p>
              </w:tc>
              <w:tc>
                <w:tcPr>
                  <w:tcW w:w="590" w:type="pct"/>
                  <w:vAlign w:val="center"/>
                </w:tcPr>
                <w:p>
                  <w:pPr>
                    <w:pStyle w:val="169"/>
                  </w:pPr>
                  <w:r>
                    <w:t>mg/L</w:t>
                  </w:r>
                </w:p>
              </w:tc>
              <w:tc>
                <w:tcPr>
                  <w:tcW w:w="759" w:type="pct"/>
                  <w:vAlign w:val="center"/>
                </w:tcPr>
                <w:p>
                  <w:pPr>
                    <w:pStyle w:val="169"/>
                  </w:pPr>
                  <w:r>
                    <w:t>19.4</w:t>
                  </w:r>
                </w:p>
              </w:tc>
              <w:tc>
                <w:tcPr>
                  <w:tcW w:w="718" w:type="pct"/>
                  <w:vAlign w:val="center"/>
                </w:tcPr>
                <w:p>
                  <w:pPr>
                    <w:pStyle w:val="169"/>
                  </w:pPr>
                  <w:r>
                    <w:t>0.078</w:t>
                  </w:r>
                </w:p>
              </w:tc>
              <w:tc>
                <w:tcPr>
                  <w:tcW w:w="777" w:type="pct"/>
                  <w:vAlign w:val="center"/>
                </w:tcPr>
                <w:p>
                  <w:pPr>
                    <w:pStyle w:val="169"/>
                  </w:pPr>
                  <w:r>
                    <w:t>28.5</w:t>
                  </w:r>
                </w:p>
              </w:tc>
              <w:tc>
                <w:tcPr>
                  <w:tcW w:w="638" w:type="pct"/>
                  <w:vAlign w:val="center"/>
                </w:tcPr>
                <w:p>
                  <w:pPr>
                    <w:pStyle w:val="169"/>
                  </w:pPr>
                  <w:r>
                    <w:t>0.114</w:t>
                  </w:r>
                </w:p>
              </w:tc>
              <w:tc>
                <w:tcPr>
                  <w:tcW w:w="607" w:type="pct"/>
                  <w:vAlign w:val="center"/>
                </w:tcPr>
                <w:p>
                  <w:pPr>
                    <w:pStyle w:val="169"/>
                  </w:pPr>
                  <w: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铁</w:t>
                  </w:r>
                </w:p>
              </w:tc>
              <w:tc>
                <w:tcPr>
                  <w:tcW w:w="590" w:type="pct"/>
                  <w:vAlign w:val="center"/>
                </w:tcPr>
                <w:p>
                  <w:pPr>
                    <w:pStyle w:val="169"/>
                  </w:pPr>
                  <w:r>
                    <w:t>mg/L</w:t>
                  </w:r>
                </w:p>
              </w:tc>
              <w:tc>
                <w:tcPr>
                  <w:tcW w:w="759" w:type="pct"/>
                  <w:vAlign w:val="center"/>
                </w:tcPr>
                <w:p>
                  <w:pPr>
                    <w:pStyle w:val="169"/>
                  </w:pPr>
                  <w:r>
                    <w:t>8.63×10</w:t>
                  </w:r>
                  <w:r>
                    <w:rPr>
                      <w:vertAlign w:val="superscript"/>
                    </w:rPr>
                    <w:t>-3</w:t>
                  </w:r>
                </w:p>
              </w:tc>
              <w:tc>
                <w:tcPr>
                  <w:tcW w:w="718" w:type="pct"/>
                  <w:vAlign w:val="center"/>
                </w:tcPr>
                <w:p>
                  <w:pPr>
                    <w:pStyle w:val="169"/>
                  </w:pPr>
                  <w:r>
                    <w:t>0.029</w:t>
                  </w:r>
                </w:p>
              </w:tc>
              <w:tc>
                <w:tcPr>
                  <w:tcW w:w="777" w:type="pct"/>
                  <w:vAlign w:val="center"/>
                </w:tcPr>
                <w:p>
                  <w:pPr>
                    <w:pStyle w:val="169"/>
                  </w:pPr>
                  <w:r>
                    <w:t>21×10</w:t>
                  </w:r>
                  <w:r>
                    <w:rPr>
                      <w:vertAlign w:val="superscript"/>
                    </w:rPr>
                    <w:t>-3</w:t>
                  </w:r>
                </w:p>
              </w:tc>
              <w:tc>
                <w:tcPr>
                  <w:tcW w:w="638" w:type="pct"/>
                  <w:vAlign w:val="center"/>
                </w:tcPr>
                <w:p>
                  <w:pPr>
                    <w:pStyle w:val="169"/>
                  </w:pPr>
                  <w:r>
                    <w:t>0.07</w:t>
                  </w:r>
                </w:p>
              </w:tc>
              <w:tc>
                <w:tcPr>
                  <w:tcW w:w="607" w:type="pct"/>
                  <w:vAlign w:val="center"/>
                </w:tcPr>
                <w:p>
                  <w:pPr>
                    <w:pStyle w:val="169"/>
                  </w:pPr>
                  <w: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10" w:type="pct"/>
                  <w:shd w:val="clear" w:color="auto" w:fill="auto"/>
                  <w:vAlign w:val="center"/>
                </w:tcPr>
                <w:p>
                  <w:pPr>
                    <w:pStyle w:val="169"/>
                  </w:pPr>
                  <w:r>
                    <w:t>锰</w:t>
                  </w:r>
                </w:p>
              </w:tc>
              <w:tc>
                <w:tcPr>
                  <w:tcW w:w="590" w:type="pct"/>
                  <w:vAlign w:val="center"/>
                </w:tcPr>
                <w:p>
                  <w:pPr>
                    <w:pStyle w:val="169"/>
                  </w:pPr>
                  <w:r>
                    <w:t>mg/L</w:t>
                  </w:r>
                </w:p>
              </w:tc>
              <w:tc>
                <w:tcPr>
                  <w:tcW w:w="759" w:type="pct"/>
                  <w:vAlign w:val="center"/>
                </w:tcPr>
                <w:p>
                  <w:pPr>
                    <w:pStyle w:val="169"/>
                  </w:pPr>
                  <w:r>
                    <w:t>0.65×10</w:t>
                  </w:r>
                  <w:r>
                    <w:rPr>
                      <w:vertAlign w:val="superscript"/>
                    </w:rPr>
                    <w:t>-3</w:t>
                  </w:r>
                </w:p>
              </w:tc>
              <w:tc>
                <w:tcPr>
                  <w:tcW w:w="718" w:type="pct"/>
                  <w:vAlign w:val="center"/>
                </w:tcPr>
                <w:p>
                  <w:pPr>
                    <w:pStyle w:val="169"/>
                  </w:pPr>
                  <w:r>
                    <w:t>0.0065</w:t>
                  </w:r>
                </w:p>
              </w:tc>
              <w:tc>
                <w:tcPr>
                  <w:tcW w:w="777" w:type="pct"/>
                  <w:vAlign w:val="center"/>
                </w:tcPr>
                <w:p>
                  <w:pPr>
                    <w:pStyle w:val="169"/>
                  </w:pPr>
                  <w:r>
                    <w:t>0.24×10</w:t>
                  </w:r>
                  <w:r>
                    <w:rPr>
                      <w:vertAlign w:val="superscript"/>
                    </w:rPr>
                    <w:t>-3</w:t>
                  </w:r>
                </w:p>
              </w:tc>
              <w:tc>
                <w:tcPr>
                  <w:tcW w:w="638" w:type="pct"/>
                  <w:vAlign w:val="center"/>
                </w:tcPr>
                <w:p>
                  <w:pPr>
                    <w:pStyle w:val="169"/>
                  </w:pPr>
                  <w:r>
                    <w:t>0.0024</w:t>
                  </w:r>
                </w:p>
              </w:tc>
              <w:tc>
                <w:tcPr>
                  <w:tcW w:w="607" w:type="pct"/>
                  <w:vAlign w:val="center"/>
                </w:tcPr>
                <w:p>
                  <w:pPr>
                    <w:pStyle w:val="169"/>
                  </w:pPr>
                  <w: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10" w:type="pct"/>
                  <w:shd w:val="clear" w:color="auto" w:fill="auto"/>
                  <w:vAlign w:val="center"/>
                </w:tcPr>
                <w:p>
                  <w:pPr>
                    <w:pStyle w:val="169"/>
                  </w:pPr>
                  <w:r>
                    <w:t>挥发性酚类</w:t>
                  </w:r>
                </w:p>
              </w:tc>
              <w:tc>
                <w:tcPr>
                  <w:tcW w:w="590" w:type="pct"/>
                  <w:vAlign w:val="center"/>
                </w:tcPr>
                <w:p>
                  <w:pPr>
                    <w:pStyle w:val="169"/>
                  </w:pPr>
                  <w:r>
                    <w:t>mg/L</w:t>
                  </w:r>
                </w:p>
              </w:tc>
              <w:tc>
                <w:tcPr>
                  <w:tcW w:w="759" w:type="pct"/>
                  <w:vAlign w:val="center"/>
                </w:tcPr>
                <w:p>
                  <w:pPr>
                    <w:pStyle w:val="169"/>
                  </w:pPr>
                  <w:r>
                    <w:t>0.0012</w:t>
                  </w:r>
                </w:p>
              </w:tc>
              <w:tc>
                <w:tcPr>
                  <w:tcW w:w="718" w:type="pct"/>
                  <w:vAlign w:val="center"/>
                </w:tcPr>
                <w:p>
                  <w:pPr>
                    <w:pStyle w:val="169"/>
                  </w:pPr>
                  <w:r>
                    <w:t>0.6</w:t>
                  </w:r>
                </w:p>
              </w:tc>
              <w:tc>
                <w:tcPr>
                  <w:tcW w:w="777" w:type="pct"/>
                  <w:vAlign w:val="center"/>
                </w:tcPr>
                <w:p>
                  <w:pPr>
                    <w:pStyle w:val="169"/>
                  </w:pPr>
                  <w:r>
                    <w:t>0.0013</w:t>
                  </w:r>
                </w:p>
              </w:tc>
              <w:tc>
                <w:tcPr>
                  <w:tcW w:w="638" w:type="pct"/>
                  <w:vAlign w:val="center"/>
                </w:tcPr>
                <w:p>
                  <w:pPr>
                    <w:pStyle w:val="169"/>
                  </w:pPr>
                  <w:r>
                    <w:t>0.65</w:t>
                  </w:r>
                </w:p>
              </w:tc>
              <w:tc>
                <w:tcPr>
                  <w:tcW w:w="607" w:type="pct"/>
                  <w:vAlign w:val="center"/>
                </w:tcPr>
                <w:p>
                  <w:pPr>
                    <w:pStyle w:val="169"/>
                  </w:pPr>
                  <w: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0" w:type="pct"/>
                  <w:shd w:val="clear" w:color="auto" w:fill="auto"/>
                  <w:vAlign w:val="center"/>
                </w:tcPr>
                <w:p>
                  <w:pPr>
                    <w:pStyle w:val="169"/>
                  </w:pPr>
                  <w:r>
                    <w:t>阴离子表面活性剂</w:t>
                  </w:r>
                </w:p>
              </w:tc>
              <w:tc>
                <w:tcPr>
                  <w:tcW w:w="590" w:type="pct"/>
                  <w:vAlign w:val="center"/>
                </w:tcPr>
                <w:p>
                  <w:pPr>
                    <w:pStyle w:val="169"/>
                  </w:pPr>
                  <w:r>
                    <w:t>mg/L</w:t>
                  </w:r>
                </w:p>
              </w:tc>
              <w:tc>
                <w:tcPr>
                  <w:tcW w:w="759" w:type="pct"/>
                  <w:vAlign w:val="center"/>
                </w:tcPr>
                <w:p>
                  <w:pPr>
                    <w:pStyle w:val="169"/>
                  </w:pPr>
                  <w:r>
                    <w:t>0.05L</w:t>
                  </w:r>
                </w:p>
              </w:tc>
              <w:tc>
                <w:tcPr>
                  <w:tcW w:w="718" w:type="pct"/>
                  <w:vAlign w:val="center"/>
                </w:tcPr>
                <w:p>
                  <w:pPr>
                    <w:pStyle w:val="169"/>
                  </w:pPr>
                  <w:r>
                    <w:t>/</w:t>
                  </w:r>
                </w:p>
              </w:tc>
              <w:tc>
                <w:tcPr>
                  <w:tcW w:w="777" w:type="pct"/>
                  <w:vAlign w:val="center"/>
                </w:tcPr>
                <w:p>
                  <w:pPr>
                    <w:pStyle w:val="169"/>
                  </w:pPr>
                  <w:r>
                    <w:t>0.05L</w:t>
                  </w:r>
                </w:p>
              </w:tc>
              <w:tc>
                <w:tcPr>
                  <w:tcW w:w="638" w:type="pct"/>
                  <w:vAlign w:val="center"/>
                </w:tcPr>
                <w:p>
                  <w:pPr>
                    <w:pStyle w:val="169"/>
                  </w:pPr>
                  <w:r>
                    <w:t>/</w:t>
                  </w:r>
                </w:p>
              </w:tc>
              <w:tc>
                <w:tcPr>
                  <w:tcW w:w="607" w:type="pct"/>
                  <w:vAlign w:val="center"/>
                </w:tcPr>
                <w:p>
                  <w:pPr>
                    <w:pStyle w:val="169"/>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耗氧量</w:t>
                  </w:r>
                </w:p>
              </w:tc>
              <w:tc>
                <w:tcPr>
                  <w:tcW w:w="590" w:type="pct"/>
                  <w:vAlign w:val="center"/>
                </w:tcPr>
                <w:p>
                  <w:pPr>
                    <w:pStyle w:val="169"/>
                  </w:pPr>
                  <w:r>
                    <w:t>mg/L</w:t>
                  </w:r>
                </w:p>
              </w:tc>
              <w:tc>
                <w:tcPr>
                  <w:tcW w:w="759" w:type="pct"/>
                  <w:vAlign w:val="center"/>
                </w:tcPr>
                <w:p>
                  <w:pPr>
                    <w:pStyle w:val="169"/>
                  </w:pPr>
                  <w:r>
                    <w:t>1.2</w:t>
                  </w:r>
                </w:p>
              </w:tc>
              <w:tc>
                <w:tcPr>
                  <w:tcW w:w="718" w:type="pct"/>
                  <w:vAlign w:val="center"/>
                </w:tcPr>
                <w:p>
                  <w:pPr>
                    <w:pStyle w:val="169"/>
                  </w:pPr>
                  <w:r>
                    <w:t>0.4</w:t>
                  </w:r>
                </w:p>
              </w:tc>
              <w:tc>
                <w:tcPr>
                  <w:tcW w:w="777" w:type="pct"/>
                  <w:vAlign w:val="center"/>
                </w:tcPr>
                <w:p>
                  <w:pPr>
                    <w:pStyle w:val="169"/>
                  </w:pPr>
                  <w:r>
                    <w:t>1.6</w:t>
                  </w:r>
                </w:p>
              </w:tc>
              <w:tc>
                <w:tcPr>
                  <w:tcW w:w="638" w:type="pct"/>
                  <w:vAlign w:val="center"/>
                </w:tcPr>
                <w:p>
                  <w:pPr>
                    <w:pStyle w:val="169"/>
                  </w:pPr>
                  <w:r>
                    <w:t>0.53</w:t>
                  </w:r>
                </w:p>
              </w:tc>
              <w:tc>
                <w:tcPr>
                  <w:tcW w:w="607" w:type="pct"/>
                  <w:vAlign w:val="center"/>
                </w:tcPr>
                <w:p>
                  <w:pPr>
                    <w:pStyle w:val="169"/>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氨氮</w:t>
                  </w:r>
                </w:p>
              </w:tc>
              <w:tc>
                <w:tcPr>
                  <w:tcW w:w="590" w:type="pct"/>
                  <w:vAlign w:val="center"/>
                </w:tcPr>
                <w:p>
                  <w:pPr>
                    <w:pStyle w:val="169"/>
                  </w:pPr>
                  <w:r>
                    <w:t>mg/L</w:t>
                  </w:r>
                </w:p>
              </w:tc>
              <w:tc>
                <w:tcPr>
                  <w:tcW w:w="759" w:type="pct"/>
                  <w:vAlign w:val="center"/>
                </w:tcPr>
                <w:p>
                  <w:pPr>
                    <w:pStyle w:val="169"/>
                  </w:pPr>
                  <w:r>
                    <w:t>0.242</w:t>
                  </w:r>
                </w:p>
              </w:tc>
              <w:tc>
                <w:tcPr>
                  <w:tcW w:w="718" w:type="pct"/>
                  <w:vAlign w:val="center"/>
                </w:tcPr>
                <w:p>
                  <w:pPr>
                    <w:pStyle w:val="169"/>
                  </w:pPr>
                  <w:r>
                    <w:t>0.484</w:t>
                  </w:r>
                </w:p>
              </w:tc>
              <w:tc>
                <w:tcPr>
                  <w:tcW w:w="777" w:type="pct"/>
                  <w:vAlign w:val="center"/>
                </w:tcPr>
                <w:p>
                  <w:pPr>
                    <w:pStyle w:val="169"/>
                  </w:pPr>
                  <w:r>
                    <w:t>0.209</w:t>
                  </w:r>
                </w:p>
              </w:tc>
              <w:tc>
                <w:tcPr>
                  <w:tcW w:w="638" w:type="pct"/>
                  <w:vAlign w:val="center"/>
                </w:tcPr>
                <w:p>
                  <w:pPr>
                    <w:pStyle w:val="169"/>
                  </w:pPr>
                  <w:r>
                    <w:t>0.418</w:t>
                  </w:r>
                </w:p>
              </w:tc>
              <w:tc>
                <w:tcPr>
                  <w:tcW w:w="607" w:type="pct"/>
                  <w:vAlign w:val="center"/>
                </w:tcPr>
                <w:p>
                  <w:pPr>
                    <w:pStyle w:val="169"/>
                  </w:pPr>
                  <w: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硫化物</w:t>
                  </w:r>
                </w:p>
              </w:tc>
              <w:tc>
                <w:tcPr>
                  <w:tcW w:w="590" w:type="pct"/>
                  <w:vAlign w:val="center"/>
                </w:tcPr>
                <w:p>
                  <w:pPr>
                    <w:pStyle w:val="169"/>
                  </w:pPr>
                  <w:r>
                    <w:t>mg/L</w:t>
                  </w:r>
                </w:p>
              </w:tc>
              <w:tc>
                <w:tcPr>
                  <w:tcW w:w="759" w:type="pct"/>
                  <w:vAlign w:val="center"/>
                </w:tcPr>
                <w:p>
                  <w:pPr>
                    <w:pStyle w:val="169"/>
                  </w:pPr>
                  <w:r>
                    <w:t>0.003L</w:t>
                  </w:r>
                </w:p>
              </w:tc>
              <w:tc>
                <w:tcPr>
                  <w:tcW w:w="718" w:type="pct"/>
                  <w:vAlign w:val="center"/>
                </w:tcPr>
                <w:p>
                  <w:pPr>
                    <w:pStyle w:val="169"/>
                  </w:pPr>
                  <w:r>
                    <w:t>/</w:t>
                  </w:r>
                </w:p>
              </w:tc>
              <w:tc>
                <w:tcPr>
                  <w:tcW w:w="777" w:type="pct"/>
                  <w:vAlign w:val="center"/>
                </w:tcPr>
                <w:p>
                  <w:pPr>
                    <w:pStyle w:val="169"/>
                  </w:pPr>
                  <w:r>
                    <w:t>0.003L</w:t>
                  </w:r>
                </w:p>
              </w:tc>
              <w:tc>
                <w:tcPr>
                  <w:tcW w:w="638" w:type="pct"/>
                  <w:vAlign w:val="center"/>
                </w:tcPr>
                <w:p>
                  <w:pPr>
                    <w:pStyle w:val="169"/>
                  </w:pPr>
                  <w:r>
                    <w:t>/</w:t>
                  </w:r>
                </w:p>
              </w:tc>
              <w:tc>
                <w:tcPr>
                  <w:tcW w:w="607" w:type="pct"/>
                  <w:vAlign w:val="center"/>
                </w:tcPr>
                <w:p>
                  <w:pPr>
                    <w:pStyle w:val="169"/>
                  </w:pPr>
                  <w: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总大肠菌群</w:t>
                  </w:r>
                </w:p>
              </w:tc>
              <w:tc>
                <w:tcPr>
                  <w:tcW w:w="590" w:type="pct"/>
                  <w:vAlign w:val="center"/>
                </w:tcPr>
                <w:p>
                  <w:pPr>
                    <w:pStyle w:val="169"/>
                  </w:pPr>
                  <w:r>
                    <w:t>MPN/</w:t>
                  </w:r>
                </w:p>
                <w:p>
                  <w:pPr>
                    <w:pStyle w:val="169"/>
                  </w:pPr>
                  <w:r>
                    <w:t>100mL</w:t>
                  </w:r>
                </w:p>
              </w:tc>
              <w:tc>
                <w:tcPr>
                  <w:tcW w:w="759" w:type="pct"/>
                  <w:vAlign w:val="center"/>
                </w:tcPr>
                <w:p>
                  <w:pPr>
                    <w:pStyle w:val="169"/>
                  </w:pPr>
                  <w:r>
                    <w:t>未检出</w:t>
                  </w:r>
                </w:p>
              </w:tc>
              <w:tc>
                <w:tcPr>
                  <w:tcW w:w="718" w:type="pct"/>
                  <w:vAlign w:val="center"/>
                </w:tcPr>
                <w:p>
                  <w:pPr>
                    <w:pStyle w:val="169"/>
                  </w:pPr>
                  <w:r>
                    <w:t>/</w:t>
                  </w:r>
                </w:p>
              </w:tc>
              <w:tc>
                <w:tcPr>
                  <w:tcW w:w="777" w:type="pct"/>
                  <w:vAlign w:val="center"/>
                </w:tcPr>
                <w:p>
                  <w:pPr>
                    <w:pStyle w:val="169"/>
                  </w:pPr>
                  <w:r>
                    <w:t>未检出</w:t>
                  </w:r>
                </w:p>
              </w:tc>
              <w:tc>
                <w:tcPr>
                  <w:tcW w:w="638" w:type="pct"/>
                  <w:vAlign w:val="center"/>
                </w:tcPr>
                <w:p>
                  <w:pPr>
                    <w:pStyle w:val="169"/>
                  </w:pPr>
                  <w:r>
                    <w:t>/</w:t>
                  </w:r>
                </w:p>
              </w:tc>
              <w:tc>
                <w:tcPr>
                  <w:tcW w:w="607" w:type="pct"/>
                  <w:vAlign w:val="center"/>
                </w:tcPr>
                <w:p>
                  <w:pPr>
                    <w:pStyle w:val="169"/>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菌落总数</w:t>
                  </w:r>
                </w:p>
              </w:tc>
              <w:tc>
                <w:tcPr>
                  <w:tcW w:w="590" w:type="pct"/>
                  <w:vAlign w:val="center"/>
                </w:tcPr>
                <w:p>
                  <w:pPr>
                    <w:pStyle w:val="169"/>
                  </w:pPr>
                  <w:r>
                    <w:t>CFU/mL</w:t>
                  </w:r>
                </w:p>
              </w:tc>
              <w:tc>
                <w:tcPr>
                  <w:tcW w:w="759" w:type="pct"/>
                  <w:vAlign w:val="center"/>
                </w:tcPr>
                <w:p>
                  <w:pPr>
                    <w:pStyle w:val="169"/>
                  </w:pPr>
                  <w:r>
                    <w:t>95</w:t>
                  </w:r>
                </w:p>
              </w:tc>
              <w:tc>
                <w:tcPr>
                  <w:tcW w:w="718" w:type="pct"/>
                  <w:vAlign w:val="center"/>
                </w:tcPr>
                <w:p>
                  <w:pPr>
                    <w:pStyle w:val="169"/>
                  </w:pPr>
                  <w:r>
                    <w:t>0.95</w:t>
                  </w:r>
                </w:p>
              </w:tc>
              <w:tc>
                <w:tcPr>
                  <w:tcW w:w="777" w:type="pct"/>
                  <w:vAlign w:val="center"/>
                </w:tcPr>
                <w:p>
                  <w:pPr>
                    <w:pStyle w:val="169"/>
                  </w:pPr>
                  <w:r>
                    <w:t>88</w:t>
                  </w:r>
                </w:p>
              </w:tc>
              <w:tc>
                <w:tcPr>
                  <w:tcW w:w="638" w:type="pct"/>
                  <w:vAlign w:val="center"/>
                </w:tcPr>
                <w:p>
                  <w:pPr>
                    <w:pStyle w:val="169"/>
                  </w:pPr>
                  <w:r>
                    <w:t>0.88</w:t>
                  </w:r>
                </w:p>
              </w:tc>
              <w:tc>
                <w:tcPr>
                  <w:tcW w:w="607" w:type="pct"/>
                  <w:vAlign w:val="center"/>
                </w:tcPr>
                <w:p>
                  <w:pPr>
                    <w:pStyle w:val="169"/>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10" w:type="pct"/>
                  <w:shd w:val="clear" w:color="auto" w:fill="auto"/>
                  <w:vAlign w:val="center"/>
                </w:tcPr>
                <w:p>
                  <w:pPr>
                    <w:pStyle w:val="169"/>
                  </w:pPr>
                  <w:r>
                    <w:t>亚硝酸盐</w:t>
                  </w:r>
                </w:p>
              </w:tc>
              <w:tc>
                <w:tcPr>
                  <w:tcW w:w="590" w:type="pct"/>
                  <w:vAlign w:val="center"/>
                </w:tcPr>
                <w:p>
                  <w:pPr>
                    <w:pStyle w:val="169"/>
                  </w:pPr>
                  <w:r>
                    <w:t>mg/L</w:t>
                  </w:r>
                </w:p>
              </w:tc>
              <w:tc>
                <w:tcPr>
                  <w:tcW w:w="759" w:type="pct"/>
                  <w:vAlign w:val="center"/>
                </w:tcPr>
                <w:p>
                  <w:pPr>
                    <w:pStyle w:val="169"/>
                  </w:pPr>
                  <w:r>
                    <w:t>0.068</w:t>
                  </w:r>
                </w:p>
              </w:tc>
              <w:tc>
                <w:tcPr>
                  <w:tcW w:w="718" w:type="pct"/>
                  <w:vAlign w:val="center"/>
                </w:tcPr>
                <w:p>
                  <w:pPr>
                    <w:pStyle w:val="169"/>
                  </w:pPr>
                  <w:r>
                    <w:t>0.068</w:t>
                  </w:r>
                </w:p>
              </w:tc>
              <w:tc>
                <w:tcPr>
                  <w:tcW w:w="777" w:type="pct"/>
                  <w:vAlign w:val="center"/>
                </w:tcPr>
                <w:p>
                  <w:pPr>
                    <w:pStyle w:val="169"/>
                  </w:pPr>
                  <w:r>
                    <w:t>0.076</w:t>
                  </w:r>
                </w:p>
              </w:tc>
              <w:tc>
                <w:tcPr>
                  <w:tcW w:w="638" w:type="pct"/>
                  <w:vAlign w:val="center"/>
                </w:tcPr>
                <w:p>
                  <w:pPr>
                    <w:pStyle w:val="169"/>
                  </w:pPr>
                  <w:r>
                    <w:t>0.076</w:t>
                  </w:r>
                </w:p>
              </w:tc>
              <w:tc>
                <w:tcPr>
                  <w:tcW w:w="607" w:type="pct"/>
                  <w:vAlign w:val="center"/>
                </w:tcPr>
                <w:p>
                  <w:pPr>
                    <w:pStyle w:val="169"/>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硝酸盐</w:t>
                  </w:r>
                </w:p>
              </w:tc>
              <w:tc>
                <w:tcPr>
                  <w:tcW w:w="590" w:type="pct"/>
                  <w:vAlign w:val="center"/>
                </w:tcPr>
                <w:p>
                  <w:pPr>
                    <w:pStyle w:val="169"/>
                  </w:pPr>
                  <w:r>
                    <w:t>mg/L</w:t>
                  </w:r>
                </w:p>
              </w:tc>
              <w:tc>
                <w:tcPr>
                  <w:tcW w:w="759" w:type="pct"/>
                  <w:vAlign w:val="center"/>
                </w:tcPr>
                <w:p>
                  <w:pPr>
                    <w:pStyle w:val="169"/>
                  </w:pPr>
                  <w:r>
                    <w:t>4.61</w:t>
                  </w:r>
                </w:p>
              </w:tc>
              <w:tc>
                <w:tcPr>
                  <w:tcW w:w="718" w:type="pct"/>
                  <w:vAlign w:val="center"/>
                </w:tcPr>
                <w:p>
                  <w:pPr>
                    <w:pStyle w:val="169"/>
                  </w:pPr>
                  <w:r>
                    <w:t>0.23</w:t>
                  </w:r>
                </w:p>
              </w:tc>
              <w:tc>
                <w:tcPr>
                  <w:tcW w:w="777" w:type="pct"/>
                  <w:vAlign w:val="center"/>
                </w:tcPr>
                <w:p>
                  <w:pPr>
                    <w:pStyle w:val="169"/>
                  </w:pPr>
                  <w:r>
                    <w:t>1.16</w:t>
                  </w:r>
                </w:p>
              </w:tc>
              <w:tc>
                <w:tcPr>
                  <w:tcW w:w="638" w:type="pct"/>
                  <w:vAlign w:val="center"/>
                </w:tcPr>
                <w:p>
                  <w:pPr>
                    <w:pStyle w:val="169"/>
                  </w:pPr>
                  <w:r>
                    <w:t>0.058</w:t>
                  </w:r>
                </w:p>
              </w:tc>
              <w:tc>
                <w:tcPr>
                  <w:tcW w:w="607" w:type="pct"/>
                  <w:vAlign w:val="center"/>
                </w:tcPr>
                <w:p>
                  <w:pPr>
                    <w:pStyle w:val="169"/>
                  </w:pPr>
                  <w: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氰化物</w:t>
                  </w:r>
                </w:p>
              </w:tc>
              <w:tc>
                <w:tcPr>
                  <w:tcW w:w="590" w:type="pct"/>
                  <w:vAlign w:val="center"/>
                </w:tcPr>
                <w:p>
                  <w:pPr>
                    <w:pStyle w:val="169"/>
                  </w:pPr>
                  <w:r>
                    <w:t>mg/L</w:t>
                  </w:r>
                </w:p>
              </w:tc>
              <w:tc>
                <w:tcPr>
                  <w:tcW w:w="759" w:type="pct"/>
                  <w:vAlign w:val="center"/>
                </w:tcPr>
                <w:p>
                  <w:pPr>
                    <w:pStyle w:val="169"/>
                  </w:pPr>
                  <w:r>
                    <w:t>0.002L</w:t>
                  </w:r>
                </w:p>
              </w:tc>
              <w:tc>
                <w:tcPr>
                  <w:tcW w:w="718" w:type="pct"/>
                  <w:vAlign w:val="center"/>
                </w:tcPr>
                <w:p>
                  <w:pPr>
                    <w:pStyle w:val="169"/>
                  </w:pPr>
                  <w:r>
                    <w:rPr>
                      <w:rFonts w:hint="eastAsia"/>
                    </w:rPr>
                    <w:t>/</w:t>
                  </w:r>
                </w:p>
              </w:tc>
              <w:tc>
                <w:tcPr>
                  <w:tcW w:w="777" w:type="pct"/>
                  <w:vAlign w:val="center"/>
                </w:tcPr>
                <w:p>
                  <w:pPr>
                    <w:pStyle w:val="169"/>
                  </w:pPr>
                  <w:r>
                    <w:t>0.002L</w:t>
                  </w:r>
                </w:p>
              </w:tc>
              <w:tc>
                <w:tcPr>
                  <w:tcW w:w="638" w:type="pct"/>
                  <w:vAlign w:val="center"/>
                </w:tcPr>
                <w:p>
                  <w:pPr>
                    <w:pStyle w:val="169"/>
                  </w:pPr>
                  <w:r>
                    <w:rPr>
                      <w:rFonts w:hint="eastAsia"/>
                    </w:rPr>
                    <w:t>/</w:t>
                  </w:r>
                </w:p>
              </w:tc>
              <w:tc>
                <w:tcPr>
                  <w:tcW w:w="607" w:type="pct"/>
                  <w:vAlign w:val="center"/>
                </w:tcPr>
                <w:p>
                  <w:pPr>
                    <w:pStyle w:val="169"/>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氟化物</w:t>
                  </w:r>
                </w:p>
              </w:tc>
              <w:tc>
                <w:tcPr>
                  <w:tcW w:w="590" w:type="pct"/>
                  <w:vAlign w:val="center"/>
                </w:tcPr>
                <w:p>
                  <w:pPr>
                    <w:pStyle w:val="169"/>
                  </w:pPr>
                  <w:r>
                    <w:t>mg/L</w:t>
                  </w:r>
                </w:p>
              </w:tc>
              <w:tc>
                <w:tcPr>
                  <w:tcW w:w="759" w:type="pct"/>
                  <w:vAlign w:val="center"/>
                </w:tcPr>
                <w:p>
                  <w:pPr>
                    <w:pStyle w:val="169"/>
                  </w:pPr>
                  <w:r>
                    <w:t>0.098</w:t>
                  </w:r>
                </w:p>
              </w:tc>
              <w:tc>
                <w:tcPr>
                  <w:tcW w:w="718" w:type="pct"/>
                  <w:vAlign w:val="center"/>
                </w:tcPr>
                <w:p>
                  <w:pPr>
                    <w:pStyle w:val="169"/>
                  </w:pPr>
                  <w:r>
                    <w:t>0.098</w:t>
                  </w:r>
                </w:p>
              </w:tc>
              <w:tc>
                <w:tcPr>
                  <w:tcW w:w="777" w:type="pct"/>
                  <w:vAlign w:val="center"/>
                </w:tcPr>
                <w:p>
                  <w:pPr>
                    <w:pStyle w:val="169"/>
                  </w:pPr>
                  <w:r>
                    <w:t>0.193</w:t>
                  </w:r>
                </w:p>
              </w:tc>
              <w:tc>
                <w:tcPr>
                  <w:tcW w:w="638" w:type="pct"/>
                  <w:vAlign w:val="center"/>
                </w:tcPr>
                <w:p>
                  <w:pPr>
                    <w:pStyle w:val="169"/>
                  </w:pPr>
                  <w:r>
                    <w:t>0.193</w:t>
                  </w:r>
                </w:p>
              </w:tc>
              <w:tc>
                <w:tcPr>
                  <w:tcW w:w="607" w:type="pct"/>
                  <w:vAlign w:val="center"/>
                </w:tcPr>
                <w:p>
                  <w:pPr>
                    <w:pStyle w:val="169"/>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汞</w:t>
                  </w:r>
                </w:p>
              </w:tc>
              <w:tc>
                <w:tcPr>
                  <w:tcW w:w="590" w:type="pct"/>
                  <w:vAlign w:val="center"/>
                </w:tcPr>
                <w:p>
                  <w:pPr>
                    <w:pStyle w:val="169"/>
                  </w:pPr>
                  <w:r>
                    <w:t>mg/L</w:t>
                  </w:r>
                </w:p>
              </w:tc>
              <w:tc>
                <w:tcPr>
                  <w:tcW w:w="759" w:type="pct"/>
                  <w:vAlign w:val="center"/>
                </w:tcPr>
                <w:p>
                  <w:pPr>
                    <w:pStyle w:val="169"/>
                  </w:pPr>
                  <w:r>
                    <w:t>2.3×10</w:t>
                  </w:r>
                  <w:r>
                    <w:rPr>
                      <w:vertAlign w:val="superscript"/>
                    </w:rPr>
                    <w:t>-4</w:t>
                  </w:r>
                </w:p>
              </w:tc>
              <w:tc>
                <w:tcPr>
                  <w:tcW w:w="718" w:type="pct"/>
                  <w:vAlign w:val="center"/>
                </w:tcPr>
                <w:p>
                  <w:pPr>
                    <w:pStyle w:val="169"/>
                  </w:pPr>
                  <w:r>
                    <w:t>0.23</w:t>
                  </w:r>
                </w:p>
              </w:tc>
              <w:tc>
                <w:tcPr>
                  <w:tcW w:w="777" w:type="pct"/>
                  <w:vAlign w:val="center"/>
                </w:tcPr>
                <w:p>
                  <w:pPr>
                    <w:pStyle w:val="169"/>
                  </w:pPr>
                  <w:r>
                    <w:t>1.2×10</w:t>
                  </w:r>
                  <w:r>
                    <w:rPr>
                      <w:vertAlign w:val="superscript"/>
                    </w:rPr>
                    <w:t>-4</w:t>
                  </w:r>
                </w:p>
              </w:tc>
              <w:tc>
                <w:tcPr>
                  <w:tcW w:w="638" w:type="pct"/>
                  <w:vAlign w:val="center"/>
                </w:tcPr>
                <w:p>
                  <w:pPr>
                    <w:pStyle w:val="169"/>
                  </w:pPr>
                  <w:r>
                    <w:t>0.12</w:t>
                  </w:r>
                </w:p>
              </w:tc>
              <w:tc>
                <w:tcPr>
                  <w:tcW w:w="607" w:type="pct"/>
                  <w:vAlign w:val="center"/>
                </w:tcPr>
                <w:p>
                  <w:pPr>
                    <w:pStyle w:val="169"/>
                  </w:pPr>
                  <w: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砷</w:t>
                  </w:r>
                </w:p>
              </w:tc>
              <w:tc>
                <w:tcPr>
                  <w:tcW w:w="590" w:type="pct"/>
                  <w:vAlign w:val="center"/>
                </w:tcPr>
                <w:p>
                  <w:pPr>
                    <w:pStyle w:val="169"/>
                  </w:pPr>
                  <w:r>
                    <w:t>mg/L</w:t>
                  </w:r>
                </w:p>
              </w:tc>
              <w:tc>
                <w:tcPr>
                  <w:tcW w:w="759" w:type="pct"/>
                  <w:vAlign w:val="center"/>
                </w:tcPr>
                <w:p>
                  <w:pPr>
                    <w:pStyle w:val="169"/>
                  </w:pPr>
                  <w:r>
                    <w:t>3×10</w:t>
                  </w:r>
                  <w:r>
                    <w:rPr>
                      <w:vertAlign w:val="superscript"/>
                    </w:rPr>
                    <w:t>-4</w:t>
                  </w:r>
                  <w:r>
                    <w:t>L</w:t>
                  </w:r>
                </w:p>
              </w:tc>
              <w:tc>
                <w:tcPr>
                  <w:tcW w:w="718" w:type="pct"/>
                  <w:vAlign w:val="center"/>
                </w:tcPr>
                <w:p>
                  <w:pPr>
                    <w:pStyle w:val="169"/>
                  </w:pPr>
                  <w:r>
                    <w:rPr>
                      <w:rFonts w:hint="eastAsia"/>
                    </w:rPr>
                    <w:t>/</w:t>
                  </w:r>
                </w:p>
              </w:tc>
              <w:tc>
                <w:tcPr>
                  <w:tcW w:w="777" w:type="pct"/>
                  <w:vAlign w:val="center"/>
                </w:tcPr>
                <w:p>
                  <w:pPr>
                    <w:pStyle w:val="169"/>
                  </w:pPr>
                  <w:r>
                    <w:t>3×10</w:t>
                  </w:r>
                  <w:r>
                    <w:rPr>
                      <w:vertAlign w:val="superscript"/>
                    </w:rPr>
                    <w:t>-4</w:t>
                  </w:r>
                </w:p>
              </w:tc>
              <w:tc>
                <w:tcPr>
                  <w:tcW w:w="638" w:type="pct"/>
                  <w:vAlign w:val="center"/>
                </w:tcPr>
                <w:p>
                  <w:pPr>
                    <w:pStyle w:val="169"/>
                  </w:pPr>
                  <w:r>
                    <w:t>0.03</w:t>
                  </w:r>
                </w:p>
              </w:tc>
              <w:tc>
                <w:tcPr>
                  <w:tcW w:w="607" w:type="pct"/>
                  <w:vAlign w:val="center"/>
                </w:tcPr>
                <w:p>
                  <w:pPr>
                    <w:pStyle w:val="169"/>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10" w:type="pct"/>
                  <w:shd w:val="clear" w:color="auto" w:fill="auto"/>
                  <w:vAlign w:val="center"/>
                </w:tcPr>
                <w:p>
                  <w:pPr>
                    <w:pStyle w:val="169"/>
                  </w:pPr>
                  <w:r>
                    <w:t>镉</w:t>
                  </w:r>
                </w:p>
              </w:tc>
              <w:tc>
                <w:tcPr>
                  <w:tcW w:w="590" w:type="pct"/>
                  <w:vAlign w:val="center"/>
                </w:tcPr>
                <w:p>
                  <w:pPr>
                    <w:pStyle w:val="169"/>
                  </w:pPr>
                  <w:r>
                    <w:t>mg/L</w:t>
                  </w:r>
                </w:p>
              </w:tc>
              <w:tc>
                <w:tcPr>
                  <w:tcW w:w="759" w:type="pct"/>
                  <w:vAlign w:val="center"/>
                </w:tcPr>
                <w:p>
                  <w:pPr>
                    <w:pStyle w:val="169"/>
                  </w:pPr>
                  <w:r>
                    <w:t>6×10-5</w:t>
                  </w:r>
                </w:p>
              </w:tc>
              <w:tc>
                <w:tcPr>
                  <w:tcW w:w="718" w:type="pct"/>
                  <w:vAlign w:val="center"/>
                </w:tcPr>
                <w:p>
                  <w:pPr>
                    <w:pStyle w:val="169"/>
                  </w:pPr>
                  <w:r>
                    <w:t>0.012</w:t>
                  </w:r>
                </w:p>
              </w:tc>
              <w:tc>
                <w:tcPr>
                  <w:tcW w:w="777" w:type="pct"/>
                  <w:vAlign w:val="center"/>
                </w:tcPr>
                <w:p>
                  <w:pPr>
                    <w:pStyle w:val="169"/>
                  </w:pPr>
                  <w:r>
                    <w:t>1.45×10</w:t>
                  </w:r>
                  <w:r>
                    <w:rPr>
                      <w:vertAlign w:val="superscript"/>
                    </w:rPr>
                    <w:t>-3</w:t>
                  </w:r>
                </w:p>
              </w:tc>
              <w:tc>
                <w:tcPr>
                  <w:tcW w:w="638" w:type="pct"/>
                  <w:vAlign w:val="center"/>
                </w:tcPr>
                <w:p>
                  <w:pPr>
                    <w:pStyle w:val="169"/>
                  </w:pPr>
                  <w:r>
                    <w:t>0.29</w:t>
                  </w:r>
                </w:p>
              </w:tc>
              <w:tc>
                <w:tcPr>
                  <w:tcW w:w="607" w:type="pct"/>
                  <w:vAlign w:val="center"/>
                </w:tcPr>
                <w:p>
                  <w:pPr>
                    <w:pStyle w:val="169"/>
                  </w:pPr>
                  <w: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铬（六价）</w:t>
                  </w:r>
                </w:p>
              </w:tc>
              <w:tc>
                <w:tcPr>
                  <w:tcW w:w="590" w:type="pct"/>
                  <w:vAlign w:val="center"/>
                </w:tcPr>
                <w:p>
                  <w:pPr>
                    <w:pStyle w:val="169"/>
                  </w:pPr>
                  <w:r>
                    <w:t>mg/L</w:t>
                  </w:r>
                </w:p>
              </w:tc>
              <w:tc>
                <w:tcPr>
                  <w:tcW w:w="759" w:type="pct"/>
                  <w:vAlign w:val="center"/>
                </w:tcPr>
                <w:p>
                  <w:pPr>
                    <w:pStyle w:val="169"/>
                  </w:pPr>
                  <w:r>
                    <w:t>0.004L</w:t>
                  </w:r>
                </w:p>
              </w:tc>
              <w:tc>
                <w:tcPr>
                  <w:tcW w:w="718" w:type="pct"/>
                  <w:vAlign w:val="center"/>
                </w:tcPr>
                <w:p>
                  <w:pPr>
                    <w:pStyle w:val="169"/>
                  </w:pPr>
                  <w:r>
                    <w:rPr>
                      <w:rFonts w:hint="eastAsia"/>
                    </w:rPr>
                    <w:t>/</w:t>
                  </w:r>
                </w:p>
              </w:tc>
              <w:tc>
                <w:tcPr>
                  <w:tcW w:w="777" w:type="pct"/>
                  <w:vAlign w:val="center"/>
                </w:tcPr>
                <w:p>
                  <w:pPr>
                    <w:pStyle w:val="169"/>
                  </w:pPr>
                  <w:r>
                    <w:t>0.004L</w:t>
                  </w:r>
                </w:p>
              </w:tc>
              <w:tc>
                <w:tcPr>
                  <w:tcW w:w="638" w:type="pct"/>
                  <w:vAlign w:val="center"/>
                </w:tcPr>
                <w:p>
                  <w:pPr>
                    <w:pStyle w:val="169"/>
                  </w:pPr>
                  <w:r>
                    <w:rPr>
                      <w:rFonts w:hint="eastAsia"/>
                    </w:rPr>
                    <w:t>/</w:t>
                  </w:r>
                </w:p>
              </w:tc>
              <w:tc>
                <w:tcPr>
                  <w:tcW w:w="607" w:type="pct"/>
                  <w:vAlign w:val="center"/>
                </w:tcPr>
                <w:p>
                  <w:pPr>
                    <w:pStyle w:val="169"/>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铅</w:t>
                  </w:r>
                </w:p>
              </w:tc>
              <w:tc>
                <w:tcPr>
                  <w:tcW w:w="590" w:type="pct"/>
                  <w:vAlign w:val="center"/>
                </w:tcPr>
                <w:p>
                  <w:pPr>
                    <w:pStyle w:val="169"/>
                  </w:pPr>
                  <w:r>
                    <w:t>mg/L</w:t>
                  </w:r>
                </w:p>
              </w:tc>
              <w:tc>
                <w:tcPr>
                  <w:tcW w:w="759" w:type="pct"/>
                  <w:vAlign w:val="center"/>
                </w:tcPr>
                <w:p>
                  <w:pPr>
                    <w:pStyle w:val="169"/>
                  </w:pPr>
                  <w:r>
                    <w:t>2.05×10</w:t>
                  </w:r>
                  <w:r>
                    <w:rPr>
                      <w:vertAlign w:val="superscript"/>
                    </w:rPr>
                    <w:t>-3</w:t>
                  </w:r>
                </w:p>
              </w:tc>
              <w:tc>
                <w:tcPr>
                  <w:tcW w:w="718" w:type="pct"/>
                  <w:vAlign w:val="center"/>
                </w:tcPr>
                <w:p>
                  <w:pPr>
                    <w:pStyle w:val="169"/>
                  </w:pPr>
                  <w:r>
                    <w:t>0.205</w:t>
                  </w:r>
                </w:p>
              </w:tc>
              <w:tc>
                <w:tcPr>
                  <w:tcW w:w="777" w:type="pct"/>
                  <w:vAlign w:val="center"/>
                </w:tcPr>
                <w:p>
                  <w:pPr>
                    <w:pStyle w:val="169"/>
                  </w:pPr>
                  <w:r>
                    <w:t>1.01×10</w:t>
                  </w:r>
                  <w:r>
                    <w:rPr>
                      <w:vertAlign w:val="superscript"/>
                    </w:rPr>
                    <w:t>-3</w:t>
                  </w:r>
                </w:p>
              </w:tc>
              <w:tc>
                <w:tcPr>
                  <w:tcW w:w="638" w:type="pct"/>
                  <w:vAlign w:val="center"/>
                </w:tcPr>
                <w:p>
                  <w:pPr>
                    <w:pStyle w:val="169"/>
                  </w:pPr>
                  <w:r>
                    <w:t>0.101</w:t>
                  </w:r>
                </w:p>
              </w:tc>
              <w:tc>
                <w:tcPr>
                  <w:tcW w:w="607" w:type="pct"/>
                  <w:vAlign w:val="center"/>
                </w:tcPr>
                <w:p>
                  <w:pPr>
                    <w:pStyle w:val="169"/>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甲苯</w:t>
                  </w:r>
                </w:p>
              </w:tc>
              <w:tc>
                <w:tcPr>
                  <w:tcW w:w="590" w:type="pct"/>
                  <w:vAlign w:val="center"/>
                </w:tcPr>
                <w:p>
                  <w:pPr>
                    <w:pStyle w:val="169"/>
                  </w:pPr>
                  <w:r>
                    <w:t>mg/L</w:t>
                  </w:r>
                </w:p>
              </w:tc>
              <w:tc>
                <w:tcPr>
                  <w:tcW w:w="759" w:type="pct"/>
                  <w:vAlign w:val="center"/>
                </w:tcPr>
                <w:p>
                  <w:pPr>
                    <w:pStyle w:val="169"/>
                  </w:pPr>
                  <w:r>
                    <w:t>1.4×10</w:t>
                  </w:r>
                  <w:r>
                    <w:rPr>
                      <w:vertAlign w:val="superscript"/>
                    </w:rPr>
                    <w:t>-3</w:t>
                  </w:r>
                  <w:r>
                    <w:t>L</w:t>
                  </w:r>
                </w:p>
              </w:tc>
              <w:tc>
                <w:tcPr>
                  <w:tcW w:w="718" w:type="pct"/>
                  <w:vAlign w:val="center"/>
                </w:tcPr>
                <w:p>
                  <w:pPr>
                    <w:pStyle w:val="169"/>
                  </w:pPr>
                  <w:r>
                    <w:rPr>
                      <w:rFonts w:hint="eastAsia"/>
                    </w:rPr>
                    <w:t>/</w:t>
                  </w:r>
                </w:p>
              </w:tc>
              <w:tc>
                <w:tcPr>
                  <w:tcW w:w="777" w:type="pct"/>
                  <w:vAlign w:val="center"/>
                </w:tcPr>
                <w:p>
                  <w:pPr>
                    <w:pStyle w:val="169"/>
                  </w:pPr>
                  <w:r>
                    <w:t>1.4×10</w:t>
                  </w:r>
                  <w:r>
                    <w:rPr>
                      <w:vertAlign w:val="superscript"/>
                    </w:rPr>
                    <w:t>-3</w:t>
                  </w:r>
                  <w:r>
                    <w:t>L</w:t>
                  </w:r>
                </w:p>
              </w:tc>
              <w:tc>
                <w:tcPr>
                  <w:tcW w:w="638" w:type="pct"/>
                  <w:vAlign w:val="center"/>
                </w:tcPr>
                <w:p>
                  <w:pPr>
                    <w:pStyle w:val="169"/>
                  </w:pPr>
                  <w:r>
                    <w:rPr>
                      <w:rFonts w:hint="eastAsia"/>
                    </w:rPr>
                    <w:t>/</w:t>
                  </w:r>
                </w:p>
              </w:tc>
              <w:tc>
                <w:tcPr>
                  <w:tcW w:w="607" w:type="pct"/>
                  <w:vAlign w:val="center"/>
                </w:tcPr>
                <w:p>
                  <w:pPr>
                    <w:pStyle w:val="169"/>
                  </w:pPr>
                  <w: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0" w:type="pct"/>
                  <w:shd w:val="clear" w:color="auto" w:fill="auto"/>
                  <w:vAlign w:val="center"/>
                </w:tcPr>
                <w:p>
                  <w:pPr>
                    <w:pStyle w:val="169"/>
                  </w:pPr>
                  <w:r>
                    <w:t>间</w:t>
                  </w:r>
                  <w:r>
                    <w:rPr>
                      <w:rFonts w:hint="eastAsia"/>
                    </w:rPr>
                    <w:t>，</w:t>
                  </w:r>
                  <w:r>
                    <w:t>对二甲苯</w:t>
                  </w:r>
                </w:p>
              </w:tc>
              <w:tc>
                <w:tcPr>
                  <w:tcW w:w="590" w:type="pct"/>
                  <w:vAlign w:val="center"/>
                </w:tcPr>
                <w:p>
                  <w:pPr>
                    <w:pStyle w:val="169"/>
                  </w:pPr>
                  <w:r>
                    <w:t>mg/L</w:t>
                  </w:r>
                </w:p>
              </w:tc>
              <w:tc>
                <w:tcPr>
                  <w:tcW w:w="759" w:type="pct"/>
                  <w:vAlign w:val="center"/>
                </w:tcPr>
                <w:p>
                  <w:pPr>
                    <w:pStyle w:val="169"/>
                  </w:pPr>
                  <w:r>
                    <w:rPr>
                      <w:rFonts w:hint="eastAsia"/>
                    </w:rPr>
                    <w:t>2</w:t>
                  </w:r>
                  <w:r>
                    <w:t>.2×10</w:t>
                  </w:r>
                  <w:r>
                    <w:rPr>
                      <w:vertAlign w:val="superscript"/>
                    </w:rPr>
                    <w:t>-3</w:t>
                  </w:r>
                  <w:r>
                    <w:t>L</w:t>
                  </w:r>
                </w:p>
              </w:tc>
              <w:tc>
                <w:tcPr>
                  <w:tcW w:w="718" w:type="pct"/>
                  <w:vAlign w:val="center"/>
                </w:tcPr>
                <w:p>
                  <w:pPr>
                    <w:pStyle w:val="169"/>
                  </w:pPr>
                  <w:r>
                    <w:rPr>
                      <w:rFonts w:hint="eastAsia"/>
                    </w:rPr>
                    <w:t>/</w:t>
                  </w:r>
                </w:p>
              </w:tc>
              <w:tc>
                <w:tcPr>
                  <w:tcW w:w="777" w:type="pct"/>
                  <w:vAlign w:val="center"/>
                </w:tcPr>
                <w:p>
                  <w:pPr>
                    <w:pStyle w:val="169"/>
                  </w:pPr>
                  <w:r>
                    <w:rPr>
                      <w:rFonts w:hint="eastAsia"/>
                    </w:rPr>
                    <w:t>2</w:t>
                  </w:r>
                  <w:r>
                    <w:t>.2×10</w:t>
                  </w:r>
                  <w:r>
                    <w:rPr>
                      <w:vertAlign w:val="superscript"/>
                    </w:rPr>
                    <w:t>-3</w:t>
                  </w:r>
                  <w:r>
                    <w:t>L</w:t>
                  </w:r>
                </w:p>
              </w:tc>
              <w:tc>
                <w:tcPr>
                  <w:tcW w:w="638" w:type="pct"/>
                  <w:vAlign w:val="center"/>
                </w:tcPr>
                <w:p>
                  <w:pPr>
                    <w:pStyle w:val="169"/>
                  </w:pPr>
                  <w:r>
                    <w:rPr>
                      <w:rFonts w:hint="eastAsia"/>
                    </w:rPr>
                    <w:t>/</w:t>
                  </w:r>
                </w:p>
              </w:tc>
              <w:tc>
                <w:tcPr>
                  <w:tcW w:w="607" w:type="pct"/>
                  <w:vMerge w:val="restart"/>
                  <w:vAlign w:val="center"/>
                </w:tcPr>
                <w:p>
                  <w:pPr>
                    <w:pStyle w:val="169"/>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邻二甲苯</w:t>
                  </w:r>
                </w:p>
              </w:tc>
              <w:tc>
                <w:tcPr>
                  <w:tcW w:w="590" w:type="pct"/>
                  <w:vAlign w:val="center"/>
                </w:tcPr>
                <w:p>
                  <w:pPr>
                    <w:pStyle w:val="169"/>
                  </w:pPr>
                  <w:r>
                    <w:t>mg/L</w:t>
                  </w:r>
                </w:p>
              </w:tc>
              <w:tc>
                <w:tcPr>
                  <w:tcW w:w="759" w:type="pct"/>
                  <w:vAlign w:val="center"/>
                </w:tcPr>
                <w:p>
                  <w:pPr>
                    <w:pStyle w:val="169"/>
                  </w:pPr>
                  <w:r>
                    <w:t>1.4×10</w:t>
                  </w:r>
                  <w:r>
                    <w:rPr>
                      <w:vertAlign w:val="superscript"/>
                    </w:rPr>
                    <w:t>-3</w:t>
                  </w:r>
                  <w:r>
                    <w:t>L</w:t>
                  </w:r>
                </w:p>
              </w:tc>
              <w:tc>
                <w:tcPr>
                  <w:tcW w:w="718" w:type="pct"/>
                  <w:vAlign w:val="center"/>
                </w:tcPr>
                <w:p>
                  <w:pPr>
                    <w:pStyle w:val="169"/>
                  </w:pPr>
                  <w:r>
                    <w:rPr>
                      <w:rFonts w:hint="eastAsia"/>
                    </w:rPr>
                    <w:t>/</w:t>
                  </w:r>
                </w:p>
              </w:tc>
              <w:tc>
                <w:tcPr>
                  <w:tcW w:w="777" w:type="pct"/>
                  <w:vAlign w:val="center"/>
                </w:tcPr>
                <w:p>
                  <w:pPr>
                    <w:pStyle w:val="169"/>
                  </w:pPr>
                  <w:r>
                    <w:t>1.4×10</w:t>
                  </w:r>
                  <w:r>
                    <w:rPr>
                      <w:vertAlign w:val="superscript"/>
                    </w:rPr>
                    <w:t>-3</w:t>
                  </w:r>
                  <w:r>
                    <w:t>L</w:t>
                  </w:r>
                </w:p>
              </w:tc>
              <w:tc>
                <w:tcPr>
                  <w:tcW w:w="638" w:type="pct"/>
                  <w:vAlign w:val="center"/>
                </w:tcPr>
                <w:p>
                  <w:pPr>
                    <w:pStyle w:val="169"/>
                  </w:pPr>
                  <w:r>
                    <w:rPr>
                      <w:rFonts w:hint="eastAsia"/>
                    </w:rPr>
                    <w:t>/</w:t>
                  </w:r>
                </w:p>
              </w:tc>
              <w:tc>
                <w:tcPr>
                  <w:tcW w:w="607" w:type="pct"/>
                  <w:vMerge w:val="continue"/>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0" w:type="pct"/>
                  <w:shd w:val="clear" w:color="auto" w:fill="auto"/>
                  <w:vAlign w:val="center"/>
                </w:tcPr>
                <w:p>
                  <w:pPr>
                    <w:pStyle w:val="169"/>
                  </w:pPr>
                  <w:r>
                    <w:t>石油类</w:t>
                  </w:r>
                </w:p>
              </w:tc>
              <w:tc>
                <w:tcPr>
                  <w:tcW w:w="590" w:type="pct"/>
                  <w:vAlign w:val="center"/>
                </w:tcPr>
                <w:p>
                  <w:pPr>
                    <w:pStyle w:val="169"/>
                  </w:pPr>
                  <w:r>
                    <w:t>mg/L</w:t>
                  </w:r>
                </w:p>
              </w:tc>
              <w:tc>
                <w:tcPr>
                  <w:tcW w:w="759" w:type="pct"/>
                  <w:vAlign w:val="center"/>
                </w:tcPr>
                <w:p>
                  <w:pPr>
                    <w:pStyle w:val="169"/>
                  </w:pPr>
                  <w:r>
                    <w:t>0.01L</w:t>
                  </w:r>
                </w:p>
              </w:tc>
              <w:tc>
                <w:tcPr>
                  <w:tcW w:w="718" w:type="pct"/>
                  <w:vAlign w:val="center"/>
                </w:tcPr>
                <w:p>
                  <w:pPr>
                    <w:pStyle w:val="169"/>
                  </w:pPr>
                  <w:r>
                    <w:rPr>
                      <w:rFonts w:hint="eastAsia"/>
                    </w:rPr>
                    <w:t>/</w:t>
                  </w:r>
                </w:p>
              </w:tc>
              <w:tc>
                <w:tcPr>
                  <w:tcW w:w="777" w:type="pct"/>
                  <w:vAlign w:val="center"/>
                </w:tcPr>
                <w:p>
                  <w:pPr>
                    <w:pStyle w:val="169"/>
                  </w:pPr>
                  <w:r>
                    <w:t>0.01L</w:t>
                  </w:r>
                </w:p>
              </w:tc>
              <w:tc>
                <w:tcPr>
                  <w:tcW w:w="638" w:type="pct"/>
                  <w:vAlign w:val="center"/>
                </w:tcPr>
                <w:p>
                  <w:pPr>
                    <w:pStyle w:val="169"/>
                  </w:pPr>
                  <w:r>
                    <w:rPr>
                      <w:rFonts w:hint="eastAsia"/>
                    </w:rPr>
                    <w:t>/</w:t>
                  </w:r>
                </w:p>
              </w:tc>
              <w:tc>
                <w:tcPr>
                  <w:tcW w:w="607" w:type="pct"/>
                  <w:vAlign w:val="center"/>
                </w:tcPr>
                <w:p>
                  <w:pPr>
                    <w:pStyle w:val="169"/>
                  </w:pPr>
                  <w:r>
                    <w:t>0.05</w:t>
                  </w:r>
                </w:p>
              </w:tc>
            </w:tr>
          </w:tbl>
          <w:p>
            <w:pPr>
              <w:pStyle w:val="169"/>
            </w:pPr>
          </w:p>
          <w:p>
            <w:pPr>
              <w:pStyle w:val="169"/>
            </w:pPr>
          </w:p>
          <w:p>
            <w:r>
              <w:rPr>
                <w:rFonts w:hint="eastAsia"/>
              </w:rPr>
              <w:t>由上表可知，各监测点位</w:t>
            </w:r>
            <w:r>
              <w:t>监测因子均满足《地下水质量标准》（GB/T14848-2017）中的</w:t>
            </w:r>
            <w:r>
              <w:rPr>
                <w:rFonts w:hint="eastAsia"/>
              </w:rPr>
              <w:t>Ⅲ</w:t>
            </w:r>
            <w:r>
              <w:t>类水质标准要求，石油类满足</w:t>
            </w:r>
            <w:r>
              <w:rPr>
                <w:rFonts w:hint="eastAsia"/>
              </w:rPr>
              <w:t>参照的</w:t>
            </w:r>
            <w:r>
              <w:t>《地表水环境质量标准》(GB3838－2002)</w:t>
            </w:r>
            <w:r>
              <w:rPr>
                <w:rFonts w:hint="eastAsia"/>
              </w:rPr>
              <w:t>Ⅲ</w:t>
            </w:r>
            <w:r>
              <w:t>类标准</w:t>
            </w:r>
            <w:r>
              <w:rPr>
                <w:rFonts w:hint="eastAsia"/>
              </w:rPr>
              <w:t>。总体而言，</w:t>
            </w:r>
            <w:r>
              <w:t>区域地下水质量现状良好。</w:t>
            </w:r>
          </w:p>
          <w:p>
            <w:pPr>
              <w:pStyle w:val="5"/>
              <w:numPr>
                <w:ilvl w:val="0"/>
                <w:numId w:val="0"/>
              </w:numPr>
            </w:pPr>
            <w:r>
              <w:rPr>
                <w:rFonts w:hint="eastAsia"/>
              </w:rPr>
              <w:t>3.5土壤环境质量现状</w:t>
            </w:r>
          </w:p>
          <w:p>
            <w:r>
              <w:rPr>
                <w:rFonts w:hint="eastAsia"/>
              </w:rPr>
              <w:t>本次评价引用《</w:t>
            </w:r>
            <w:r>
              <w:rPr>
                <w:rFonts w:hint="eastAsia"/>
                <w:bCs/>
              </w:rPr>
              <w:t>大足高新区邮亭组团</w:t>
            </w:r>
            <w:r>
              <w:rPr>
                <w:rFonts w:hint="eastAsia"/>
              </w:rPr>
              <w:t>规划环境影响报告书》中的土壤现状监测数据。</w:t>
            </w:r>
          </w:p>
          <w:p>
            <w:r>
              <w:rPr>
                <w:rFonts w:hint="eastAsia"/>
              </w:rPr>
              <w:t>（</w:t>
            </w:r>
            <w:r>
              <w:t>1</w:t>
            </w:r>
            <w:r>
              <w:rPr>
                <w:rFonts w:hint="eastAsia"/>
              </w:rPr>
              <w:t>）监测布点及监测因子</w:t>
            </w:r>
          </w:p>
          <w:p>
            <w:r>
              <w:rPr>
                <w:rFonts w:hint="eastAsia"/>
              </w:rPr>
              <w:t>①监测布点</w:t>
            </w:r>
          </w:p>
          <w:p>
            <w:r>
              <w:rPr>
                <w:rFonts w:hint="eastAsia"/>
              </w:rPr>
              <w:t>T6土壤监测点（表层样点），位于</w:t>
            </w:r>
            <w:r>
              <w:t>园区西南侧</w:t>
            </w:r>
            <w:r>
              <w:rPr>
                <w:rFonts w:hint="eastAsia"/>
              </w:rPr>
              <w:t>（电镀加工区北侧）</w:t>
            </w:r>
            <w:r>
              <w:t>空地</w:t>
            </w:r>
            <w:r>
              <w:rPr>
                <w:rFonts w:hint="eastAsia"/>
              </w:rPr>
              <w:t>，距离项目厂区西侧约200m。</w:t>
            </w:r>
          </w:p>
          <w:p>
            <w:r>
              <w:rPr>
                <w:rFonts w:hint="eastAsia"/>
              </w:rPr>
              <w:t>②监测因子</w:t>
            </w:r>
          </w:p>
          <w:p>
            <w:r>
              <w:rPr>
                <w:rFonts w:hint="eastAsia"/>
              </w:rPr>
              <w:t>《土壤环境质量建设用地土壤污染风险管控标准（试行）》（GB36600-2018）表1中</w:t>
            </w:r>
            <w:r>
              <w:t>所有项目</w:t>
            </w:r>
            <w:r>
              <w:rPr>
                <w:rFonts w:hint="eastAsia"/>
              </w:rPr>
              <w:t>（45项）和石油烃（C</w:t>
            </w:r>
            <w:r>
              <w:rPr>
                <w:rFonts w:hint="eastAsia"/>
                <w:vertAlign w:val="subscript"/>
              </w:rPr>
              <w:t>10</w:t>
            </w:r>
            <w:r>
              <w:rPr>
                <w:rFonts w:hint="eastAsia"/>
              </w:rPr>
              <w:t>-C</w:t>
            </w:r>
            <w:r>
              <w:rPr>
                <w:rFonts w:hint="eastAsia"/>
                <w:vertAlign w:val="subscript"/>
              </w:rPr>
              <w:t>40</w:t>
            </w:r>
            <w:r>
              <w:rPr>
                <w:rFonts w:hint="eastAsia"/>
              </w:rPr>
              <w:t>）。</w:t>
            </w:r>
          </w:p>
          <w:p>
            <w:r>
              <w:rPr>
                <w:rFonts w:hint="eastAsia"/>
              </w:rPr>
              <w:t>（2）监测时间及频次</w:t>
            </w:r>
          </w:p>
          <w:p>
            <w:r>
              <w:t>监测时间：20</w:t>
            </w:r>
            <w:r>
              <w:rPr>
                <w:rFonts w:hint="eastAsia"/>
              </w:rPr>
              <w:t>22</w:t>
            </w:r>
            <w:r>
              <w:t>年</w:t>
            </w:r>
            <w:r>
              <w:rPr>
                <w:rFonts w:hint="eastAsia"/>
              </w:rPr>
              <w:t>4</w:t>
            </w:r>
            <w:r>
              <w:t>月</w:t>
            </w:r>
            <w:r>
              <w:rPr>
                <w:rFonts w:hint="eastAsia"/>
              </w:rPr>
              <w:t>24</w:t>
            </w:r>
            <w:r>
              <w:t>日</w:t>
            </w:r>
          </w:p>
          <w:p>
            <w:r>
              <w:t>监测频率：监测1天，每天采样一次</w:t>
            </w:r>
          </w:p>
          <w:p>
            <w:r>
              <w:rPr>
                <w:rFonts w:hint="eastAsia"/>
              </w:rPr>
              <w:t>（3）评价标准</w:t>
            </w:r>
          </w:p>
          <w:p>
            <w:r>
              <w:rPr>
                <w:rFonts w:hint="eastAsia"/>
              </w:rPr>
              <w:t>执行《土壤环境质量 建设用地土壤污染风险管控标准（试行）》（GB 36600-2018）中第二类用地筛选值。</w:t>
            </w:r>
          </w:p>
          <w:p>
            <w:r>
              <w:rPr>
                <w:rFonts w:hint="eastAsia"/>
              </w:rPr>
              <w:t>（4）评价方法</w:t>
            </w:r>
          </w:p>
          <w:p>
            <w:r>
              <w:t>采用环境质量指数法。土壤中某污染物的单一指数计算式为：</w:t>
            </w:r>
          </w:p>
          <w:p>
            <w:r>
              <w:t>I</w:t>
            </w:r>
            <w:r>
              <w:rPr>
                <w:vertAlign w:val="subscript"/>
              </w:rPr>
              <w:t>i</w:t>
            </w:r>
            <w:r>
              <w:t>=C</w:t>
            </w:r>
            <w:r>
              <w:rPr>
                <w:vertAlign w:val="subscript"/>
              </w:rPr>
              <w:t>i</w:t>
            </w:r>
            <w:r>
              <w:t>/S</w:t>
            </w:r>
            <w:r>
              <w:rPr>
                <w:vertAlign w:val="subscript"/>
              </w:rPr>
              <w:t>i</w:t>
            </w:r>
          </w:p>
          <w:p>
            <w:r>
              <w:t>式中I</w:t>
            </w:r>
            <w:r>
              <w:rPr>
                <w:vertAlign w:val="subscript"/>
              </w:rPr>
              <w:t>i</w:t>
            </w:r>
            <w:r>
              <w:t>为土壤中i污染物的污染指数；</w:t>
            </w:r>
          </w:p>
          <w:p>
            <w:r>
              <w:t>C</w:t>
            </w:r>
            <w:r>
              <w:rPr>
                <w:vertAlign w:val="subscript"/>
              </w:rPr>
              <w:t>i</w:t>
            </w:r>
            <w:r>
              <w:t>为土壤中i污染物的实测含量，mg/kg；</w:t>
            </w:r>
          </w:p>
          <w:p>
            <w:pPr>
              <w:rPr>
                <w:b/>
                <w:bCs/>
              </w:rPr>
            </w:pPr>
            <w:r>
              <w:t>S</w:t>
            </w:r>
            <w:r>
              <w:rPr>
                <w:vertAlign w:val="subscript"/>
              </w:rPr>
              <w:t>i</w:t>
            </w:r>
            <w:r>
              <w:t>为土壤中i污染物的环境质量标准</w:t>
            </w:r>
            <w:r>
              <w:rPr>
                <w:rFonts w:hint="eastAsia"/>
                <w:lang w:eastAsia="zh-CN"/>
              </w:rPr>
              <w:t>（</w:t>
            </w:r>
            <w:r>
              <w:t>背景值</w:t>
            </w:r>
            <w:r>
              <w:rPr>
                <w:rFonts w:hint="eastAsia"/>
                <w:lang w:eastAsia="zh-CN"/>
              </w:rPr>
              <w:t>）</w:t>
            </w:r>
            <w:r>
              <w:t>，mg/kg</w:t>
            </w:r>
          </w:p>
          <w:p>
            <w:r>
              <w:rPr>
                <w:rFonts w:hint="eastAsia"/>
              </w:rPr>
              <w:t>（5）监测结果及评价</w:t>
            </w:r>
          </w:p>
          <w:p>
            <w:r>
              <w:rPr>
                <w:rFonts w:hint="eastAsia"/>
              </w:rPr>
              <w:t>土壤环境质量现状监测结果见表3.5-1。</w:t>
            </w:r>
          </w:p>
          <w:p>
            <w:pPr>
              <w:pStyle w:val="178"/>
              <w:ind w:firstLine="420"/>
              <w:rPr>
                <w:rFonts w:eastAsia="宋体"/>
                <w:color w:val="auto"/>
                <w:szCs w:val="21"/>
              </w:rPr>
            </w:pPr>
            <w:r>
              <w:rPr>
                <w:rFonts w:eastAsia="宋体"/>
                <w:color w:val="auto"/>
                <w:szCs w:val="21"/>
              </w:rPr>
              <w:t>表</w:t>
            </w:r>
            <w:r>
              <w:rPr>
                <w:rFonts w:hint="eastAsia" w:eastAsia="宋体"/>
                <w:color w:val="auto"/>
                <w:szCs w:val="21"/>
              </w:rPr>
              <w:t>3.5-1</w:t>
            </w:r>
            <w:r>
              <w:rPr>
                <w:rFonts w:eastAsia="宋体"/>
                <w:color w:val="auto"/>
                <w:szCs w:val="21"/>
              </w:rPr>
              <w:t xml:space="preserve"> </w:t>
            </w:r>
            <w:r>
              <w:rPr>
                <w:rFonts w:hint="eastAsia" w:eastAsia="宋体"/>
                <w:color w:val="auto"/>
                <w:szCs w:val="21"/>
              </w:rPr>
              <w:t xml:space="preserve"> </w:t>
            </w:r>
            <w:r>
              <w:rPr>
                <w:rFonts w:eastAsia="宋体"/>
                <w:color w:val="auto"/>
                <w:szCs w:val="21"/>
              </w:rPr>
              <w:t>土壤监测结果一览表  单位：mg/kg</w:t>
            </w:r>
            <w:r>
              <w:rPr>
                <w:rFonts w:hint="eastAsia" w:eastAsia="宋体"/>
                <w:color w:val="auto"/>
                <w:szCs w:val="21"/>
              </w:rPr>
              <w:t xml:space="preserve"> </w:t>
            </w:r>
          </w:p>
          <w:tbl>
            <w:tblPr>
              <w:tblStyle w:val="88"/>
              <w:tblW w:w="49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6"/>
              <w:gridCol w:w="1634"/>
              <w:gridCol w:w="2179"/>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544" w:type="pct"/>
                  <w:vAlign w:val="center"/>
                </w:tcPr>
                <w:p>
                  <w:pPr>
                    <w:pStyle w:val="169"/>
                  </w:pPr>
                  <w:r>
                    <w:t>监测项目</w:t>
                  </w:r>
                </w:p>
              </w:tc>
              <w:tc>
                <w:tcPr>
                  <w:tcW w:w="979" w:type="pct"/>
                  <w:vAlign w:val="center"/>
                </w:tcPr>
                <w:p>
                  <w:pPr>
                    <w:pStyle w:val="169"/>
                  </w:pPr>
                  <w:r>
                    <w:t>单位</w:t>
                  </w:r>
                </w:p>
              </w:tc>
              <w:tc>
                <w:tcPr>
                  <w:tcW w:w="1306" w:type="pct"/>
                  <w:vAlign w:val="center"/>
                </w:tcPr>
                <w:p>
                  <w:pPr>
                    <w:pStyle w:val="169"/>
                  </w:pPr>
                  <w:r>
                    <w:t>第二类用地筛选值</w:t>
                  </w:r>
                </w:p>
              </w:tc>
              <w:tc>
                <w:tcPr>
                  <w:tcW w:w="1171" w:type="pct"/>
                  <w:vAlign w:val="center"/>
                </w:tcPr>
                <w:p>
                  <w:pPr>
                    <w:pStyle w:val="169"/>
                  </w:pPr>
                  <w:r>
                    <w:t>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544" w:type="pct"/>
                  <w:vAlign w:val="center"/>
                </w:tcPr>
                <w:p>
                  <w:pPr>
                    <w:pStyle w:val="169"/>
                  </w:pPr>
                  <w:r>
                    <w:t>pH</w:t>
                  </w:r>
                </w:p>
              </w:tc>
              <w:tc>
                <w:tcPr>
                  <w:tcW w:w="979" w:type="pct"/>
                  <w:vAlign w:val="center"/>
                </w:tcPr>
                <w:p>
                  <w:pPr>
                    <w:pStyle w:val="169"/>
                  </w:pPr>
                  <w:r>
                    <w:t>无量纲</w:t>
                  </w:r>
                </w:p>
              </w:tc>
              <w:tc>
                <w:tcPr>
                  <w:tcW w:w="1306" w:type="pct"/>
                  <w:vAlign w:val="center"/>
                </w:tcPr>
                <w:p>
                  <w:pPr>
                    <w:pStyle w:val="169"/>
                  </w:pPr>
                  <w:r>
                    <w:t>/</w:t>
                  </w:r>
                </w:p>
              </w:tc>
              <w:tc>
                <w:tcPr>
                  <w:tcW w:w="1171" w:type="pct"/>
                  <w:vAlign w:val="center"/>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1544" w:type="pct"/>
                  <w:vMerge w:val="restart"/>
                  <w:vAlign w:val="center"/>
                </w:tcPr>
                <w:p>
                  <w:pPr>
                    <w:pStyle w:val="169"/>
                  </w:pPr>
                  <w:r>
                    <w:t>砷</w:t>
                  </w:r>
                </w:p>
              </w:tc>
              <w:tc>
                <w:tcPr>
                  <w:tcW w:w="979" w:type="pct"/>
                  <w:vAlign w:val="center"/>
                </w:tcPr>
                <w:p>
                  <w:pPr>
                    <w:pStyle w:val="169"/>
                  </w:pPr>
                  <w:r>
                    <w:t>mg/kg</w:t>
                  </w:r>
                </w:p>
              </w:tc>
              <w:tc>
                <w:tcPr>
                  <w:tcW w:w="1306" w:type="pct"/>
                  <w:vAlign w:val="center"/>
                </w:tcPr>
                <w:p>
                  <w:pPr>
                    <w:pStyle w:val="169"/>
                  </w:pPr>
                  <w:r>
                    <w:t>60</w:t>
                  </w:r>
                </w:p>
              </w:tc>
              <w:tc>
                <w:tcPr>
                  <w:tcW w:w="1171" w:type="pct"/>
                  <w:vAlign w:val="center"/>
                </w:tcPr>
                <w:p>
                  <w:pPr>
                    <w:pStyle w:val="169"/>
                  </w:pPr>
                  <w: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vAlign w:val="center"/>
                </w:tcPr>
                <w:p>
                  <w:pPr>
                    <w:pStyle w:val="169"/>
                  </w:pPr>
                  <w: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544" w:type="pct"/>
                  <w:vMerge w:val="restart"/>
                  <w:vAlign w:val="center"/>
                </w:tcPr>
                <w:p>
                  <w:pPr>
                    <w:pStyle w:val="169"/>
                  </w:pPr>
                  <w:r>
                    <w:t>镉</w:t>
                  </w:r>
                </w:p>
              </w:tc>
              <w:tc>
                <w:tcPr>
                  <w:tcW w:w="979" w:type="pct"/>
                  <w:vAlign w:val="center"/>
                </w:tcPr>
                <w:p>
                  <w:pPr>
                    <w:pStyle w:val="169"/>
                  </w:pPr>
                  <w:r>
                    <w:t>mg/kg</w:t>
                  </w:r>
                </w:p>
              </w:tc>
              <w:tc>
                <w:tcPr>
                  <w:tcW w:w="1306" w:type="pct"/>
                  <w:vAlign w:val="center"/>
                </w:tcPr>
                <w:p>
                  <w:pPr>
                    <w:pStyle w:val="169"/>
                  </w:pPr>
                  <w:r>
                    <w:t>65</w:t>
                  </w:r>
                </w:p>
              </w:tc>
              <w:tc>
                <w:tcPr>
                  <w:tcW w:w="1171" w:type="pct"/>
                  <w:vAlign w:val="center"/>
                </w:tcPr>
                <w:p>
                  <w:pPr>
                    <w:pStyle w:val="169"/>
                  </w:pPr>
                  <w:r>
                    <w:t>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vAlign w:val="center"/>
                </w:tcPr>
                <w:p>
                  <w:pPr>
                    <w:pStyle w:val="169"/>
                  </w:pPr>
                  <w: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544" w:type="pct"/>
                  <w:vMerge w:val="restart"/>
                  <w:vAlign w:val="center"/>
                </w:tcPr>
                <w:p>
                  <w:pPr>
                    <w:pStyle w:val="169"/>
                  </w:pPr>
                  <w:r>
                    <w:t>铜</w:t>
                  </w:r>
                </w:p>
              </w:tc>
              <w:tc>
                <w:tcPr>
                  <w:tcW w:w="979" w:type="pct"/>
                  <w:vAlign w:val="center"/>
                </w:tcPr>
                <w:p>
                  <w:pPr>
                    <w:pStyle w:val="169"/>
                  </w:pPr>
                  <w:r>
                    <w:t>mg/kg</w:t>
                  </w:r>
                </w:p>
              </w:tc>
              <w:tc>
                <w:tcPr>
                  <w:tcW w:w="1306" w:type="pct"/>
                  <w:vAlign w:val="center"/>
                </w:tcPr>
                <w:p>
                  <w:pPr>
                    <w:pStyle w:val="169"/>
                  </w:pPr>
                  <w:r>
                    <w:t>18000</w:t>
                  </w:r>
                </w:p>
              </w:tc>
              <w:tc>
                <w:tcPr>
                  <w:tcW w:w="1171" w:type="pct"/>
                  <w:vAlign w:val="center"/>
                </w:tcPr>
                <w:p>
                  <w:pPr>
                    <w:pStyle w:val="169"/>
                  </w:pPr>
                  <w: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vAlign w:val="center"/>
                </w:tcPr>
                <w:p>
                  <w:pPr>
                    <w:pStyle w:val="169"/>
                  </w:pPr>
                  <w: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44" w:type="pct"/>
                  <w:vMerge w:val="restart"/>
                  <w:vAlign w:val="center"/>
                </w:tcPr>
                <w:p>
                  <w:pPr>
                    <w:pStyle w:val="169"/>
                  </w:pPr>
                  <w:r>
                    <w:t>铅</w:t>
                  </w:r>
                </w:p>
              </w:tc>
              <w:tc>
                <w:tcPr>
                  <w:tcW w:w="979" w:type="pct"/>
                  <w:vAlign w:val="center"/>
                </w:tcPr>
                <w:p>
                  <w:pPr>
                    <w:pStyle w:val="169"/>
                  </w:pPr>
                  <w:r>
                    <w:t>mg/kg</w:t>
                  </w:r>
                </w:p>
              </w:tc>
              <w:tc>
                <w:tcPr>
                  <w:tcW w:w="1306" w:type="pct"/>
                  <w:vAlign w:val="center"/>
                </w:tcPr>
                <w:p>
                  <w:pPr>
                    <w:pStyle w:val="169"/>
                  </w:pPr>
                  <w:r>
                    <w:t>800</w:t>
                  </w:r>
                </w:p>
              </w:tc>
              <w:tc>
                <w:tcPr>
                  <w:tcW w:w="1171" w:type="pct"/>
                  <w:vAlign w:val="center"/>
                </w:tcPr>
                <w:p>
                  <w:pPr>
                    <w:pStyle w:val="169"/>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vAlign w:val="center"/>
                </w:tcPr>
                <w:p>
                  <w:pPr>
                    <w:pStyle w:val="169"/>
                  </w:pPr>
                  <w:r>
                    <w:t xml:space="preserve">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44" w:type="pct"/>
                  <w:vMerge w:val="restart"/>
                  <w:vAlign w:val="center"/>
                </w:tcPr>
                <w:p>
                  <w:pPr>
                    <w:pStyle w:val="169"/>
                  </w:pPr>
                  <w:r>
                    <w:t>汞</w:t>
                  </w:r>
                </w:p>
              </w:tc>
              <w:tc>
                <w:tcPr>
                  <w:tcW w:w="979" w:type="pct"/>
                  <w:vAlign w:val="center"/>
                </w:tcPr>
                <w:p>
                  <w:pPr>
                    <w:pStyle w:val="169"/>
                  </w:pPr>
                  <w:r>
                    <w:t>mg/kg</w:t>
                  </w:r>
                </w:p>
              </w:tc>
              <w:tc>
                <w:tcPr>
                  <w:tcW w:w="1306" w:type="pct"/>
                  <w:vAlign w:val="center"/>
                </w:tcPr>
                <w:p>
                  <w:pPr>
                    <w:pStyle w:val="169"/>
                  </w:pPr>
                  <w:r>
                    <w:t>38</w:t>
                  </w:r>
                </w:p>
              </w:tc>
              <w:tc>
                <w:tcPr>
                  <w:tcW w:w="1171" w:type="pct"/>
                  <w:vAlign w:val="center"/>
                </w:tcPr>
                <w:p>
                  <w:pPr>
                    <w:pStyle w:val="169"/>
                  </w:pPr>
                  <w:r>
                    <w:t>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vAlign w:val="center"/>
                </w:tcPr>
                <w:p>
                  <w:pPr>
                    <w:pStyle w:val="169"/>
                  </w:pPr>
                  <w:r>
                    <w:t>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44" w:type="pct"/>
                  <w:vMerge w:val="restart"/>
                  <w:vAlign w:val="center"/>
                </w:tcPr>
                <w:p>
                  <w:pPr>
                    <w:pStyle w:val="169"/>
                  </w:pPr>
                  <w:r>
                    <w:t>镍</w:t>
                  </w:r>
                </w:p>
              </w:tc>
              <w:tc>
                <w:tcPr>
                  <w:tcW w:w="979" w:type="pct"/>
                  <w:vAlign w:val="center"/>
                </w:tcPr>
                <w:p>
                  <w:pPr>
                    <w:pStyle w:val="169"/>
                  </w:pPr>
                  <w:r>
                    <w:t>mg/kg</w:t>
                  </w:r>
                </w:p>
              </w:tc>
              <w:tc>
                <w:tcPr>
                  <w:tcW w:w="1306" w:type="pct"/>
                  <w:vAlign w:val="center"/>
                </w:tcPr>
                <w:p>
                  <w:pPr>
                    <w:pStyle w:val="169"/>
                  </w:pPr>
                  <w:r>
                    <w:t>900</w:t>
                  </w:r>
                </w:p>
              </w:tc>
              <w:tc>
                <w:tcPr>
                  <w:tcW w:w="1171" w:type="pct"/>
                  <w:vAlign w:val="center"/>
                </w:tcPr>
                <w:p>
                  <w:pPr>
                    <w:pStyle w:val="169"/>
                  </w:pPr>
                  <w: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vAlign w:val="center"/>
                </w:tcPr>
                <w:p>
                  <w:pPr>
                    <w:pStyle w:val="169"/>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44" w:type="pct"/>
                  <w:vMerge w:val="restart"/>
                  <w:vAlign w:val="center"/>
                </w:tcPr>
                <w:p>
                  <w:pPr>
                    <w:pStyle w:val="169"/>
                  </w:pPr>
                  <w:r>
                    <w:t>六价铬</w:t>
                  </w:r>
                </w:p>
              </w:tc>
              <w:tc>
                <w:tcPr>
                  <w:tcW w:w="979" w:type="pct"/>
                  <w:vAlign w:val="center"/>
                </w:tcPr>
                <w:p>
                  <w:pPr>
                    <w:pStyle w:val="169"/>
                  </w:pPr>
                  <w:r>
                    <w:t>mg/kg</w:t>
                  </w:r>
                </w:p>
              </w:tc>
              <w:tc>
                <w:tcPr>
                  <w:tcW w:w="1306" w:type="pct"/>
                  <w:vAlign w:val="center"/>
                </w:tcPr>
                <w:p>
                  <w:pPr>
                    <w:pStyle w:val="169"/>
                  </w:pPr>
                  <w:r>
                    <w:t>5.7</w:t>
                  </w:r>
                </w:p>
              </w:tc>
              <w:tc>
                <w:tcPr>
                  <w:tcW w:w="1171" w:type="pct"/>
                  <w:vAlign w:val="center"/>
                </w:tcPr>
                <w:p>
                  <w:pPr>
                    <w:pStyle w:val="169"/>
                  </w:pPr>
                  <w:r>
                    <w:t>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44" w:type="pct"/>
                  <w:vMerge w:val="restart"/>
                  <w:vAlign w:val="center"/>
                </w:tcPr>
                <w:p>
                  <w:pPr>
                    <w:pStyle w:val="169"/>
                  </w:pPr>
                  <w:r>
                    <w:rPr>
                      <w:rFonts w:hint="eastAsia"/>
                    </w:rPr>
                    <w:t>锌</w:t>
                  </w:r>
                </w:p>
              </w:tc>
              <w:tc>
                <w:tcPr>
                  <w:tcW w:w="979" w:type="pct"/>
                  <w:vAlign w:val="center"/>
                </w:tcPr>
                <w:p>
                  <w:pPr>
                    <w:pStyle w:val="169"/>
                  </w:pPr>
                  <w:r>
                    <w:t>mg/kg</w:t>
                  </w:r>
                </w:p>
              </w:tc>
              <w:tc>
                <w:tcPr>
                  <w:tcW w:w="1306" w:type="pct"/>
                  <w:vAlign w:val="center"/>
                </w:tcPr>
                <w:p>
                  <w:pPr>
                    <w:pStyle w:val="169"/>
                  </w:pPr>
                  <w:r>
                    <w:rPr>
                      <w:rFonts w:hint="eastAsia"/>
                    </w:rPr>
                    <w:t>/</w:t>
                  </w:r>
                </w:p>
              </w:tc>
              <w:tc>
                <w:tcPr>
                  <w:tcW w:w="1171" w:type="pct"/>
                </w:tcPr>
                <w:p>
                  <w:pPr>
                    <w:pStyle w:val="169"/>
                  </w:pPr>
                  <w:r>
                    <w:rPr>
                      <w:rFonts w:hint="eastAsia"/>
                    </w:rPr>
                    <w:t>7</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44" w:type="pct"/>
                  <w:vMerge w:val="restart"/>
                  <w:vAlign w:val="center"/>
                </w:tcPr>
                <w:p>
                  <w:pPr>
                    <w:pStyle w:val="169"/>
                  </w:pPr>
                  <w:r>
                    <w:t>钴</w:t>
                  </w:r>
                </w:p>
              </w:tc>
              <w:tc>
                <w:tcPr>
                  <w:tcW w:w="979" w:type="pct"/>
                  <w:vAlign w:val="center"/>
                </w:tcPr>
                <w:p>
                  <w:pPr>
                    <w:pStyle w:val="169"/>
                  </w:pPr>
                  <w:r>
                    <w:t>mg/kg</w:t>
                  </w:r>
                </w:p>
              </w:tc>
              <w:tc>
                <w:tcPr>
                  <w:tcW w:w="1306" w:type="pct"/>
                  <w:vAlign w:val="center"/>
                </w:tcPr>
                <w:p>
                  <w:pPr>
                    <w:pStyle w:val="169"/>
                  </w:pPr>
                  <w:r>
                    <w:rPr>
                      <w:rFonts w:hint="eastAsia"/>
                    </w:rPr>
                    <w:t>7</w:t>
                  </w:r>
                  <w:r>
                    <w:t>0</w:t>
                  </w:r>
                </w:p>
              </w:tc>
              <w:tc>
                <w:tcPr>
                  <w:tcW w:w="1171" w:type="pct"/>
                </w:tcPr>
                <w:p>
                  <w:pPr>
                    <w:pStyle w:val="169"/>
                  </w:pPr>
                  <w:r>
                    <w:rPr>
                      <w:rFonts w:hint="eastAsia"/>
                    </w:rPr>
                    <w:t>2</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0</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544" w:type="pct"/>
                  <w:vMerge w:val="restart"/>
                  <w:vAlign w:val="center"/>
                </w:tcPr>
                <w:p>
                  <w:pPr>
                    <w:pStyle w:val="169"/>
                  </w:pPr>
                  <w:r>
                    <w:t>四氯化碳</w:t>
                  </w:r>
                </w:p>
              </w:tc>
              <w:tc>
                <w:tcPr>
                  <w:tcW w:w="979" w:type="pct"/>
                  <w:vAlign w:val="center"/>
                </w:tcPr>
                <w:p>
                  <w:pPr>
                    <w:pStyle w:val="169"/>
                  </w:pPr>
                  <w:r>
                    <w:t>mg/kg</w:t>
                  </w:r>
                </w:p>
              </w:tc>
              <w:tc>
                <w:tcPr>
                  <w:tcW w:w="1306" w:type="pct"/>
                  <w:vAlign w:val="center"/>
                </w:tcPr>
                <w:p>
                  <w:pPr>
                    <w:pStyle w:val="169"/>
                  </w:pPr>
                  <w:r>
                    <w:t>2.8</w:t>
                  </w:r>
                </w:p>
              </w:tc>
              <w:tc>
                <w:tcPr>
                  <w:tcW w:w="1171" w:type="pct"/>
                  <w:vAlign w:val="center"/>
                </w:tcPr>
                <w:p>
                  <w:pPr>
                    <w:pStyle w:val="169"/>
                  </w:pPr>
                  <w:r>
                    <w:t>1.3×10-3L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44" w:type="pct"/>
                  <w:vMerge w:val="restart"/>
                  <w:vAlign w:val="center"/>
                </w:tcPr>
                <w:p>
                  <w:pPr>
                    <w:pStyle w:val="169"/>
                  </w:pPr>
                  <w:r>
                    <w:t>氯仿</w:t>
                  </w:r>
                </w:p>
              </w:tc>
              <w:tc>
                <w:tcPr>
                  <w:tcW w:w="979" w:type="pct"/>
                  <w:vAlign w:val="center"/>
                </w:tcPr>
                <w:p>
                  <w:pPr>
                    <w:pStyle w:val="169"/>
                  </w:pPr>
                  <w:r>
                    <w:t>mg/kg</w:t>
                  </w:r>
                </w:p>
              </w:tc>
              <w:tc>
                <w:tcPr>
                  <w:tcW w:w="1306" w:type="pct"/>
                  <w:vAlign w:val="center"/>
                </w:tcPr>
                <w:p>
                  <w:pPr>
                    <w:pStyle w:val="169"/>
                  </w:pPr>
                  <w:r>
                    <w:t>0.9</w:t>
                  </w:r>
                </w:p>
              </w:tc>
              <w:tc>
                <w:tcPr>
                  <w:tcW w:w="1171" w:type="pct"/>
                  <w:vAlign w:val="center"/>
                </w:tcPr>
                <w:p>
                  <w:pPr>
                    <w:pStyle w:val="169"/>
                  </w:pPr>
                  <w:r>
                    <w:t>1.1×10-3L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544" w:type="pct"/>
                  <w:vMerge w:val="restart"/>
                  <w:vAlign w:val="center"/>
                </w:tcPr>
                <w:p>
                  <w:pPr>
                    <w:pStyle w:val="169"/>
                  </w:pPr>
                  <w:r>
                    <w:t>氯甲烷</w:t>
                  </w:r>
                </w:p>
              </w:tc>
              <w:tc>
                <w:tcPr>
                  <w:tcW w:w="979" w:type="pct"/>
                  <w:vAlign w:val="center"/>
                </w:tcPr>
                <w:p>
                  <w:pPr>
                    <w:pStyle w:val="169"/>
                  </w:pPr>
                  <w:r>
                    <w:t>mg/kg</w:t>
                  </w:r>
                </w:p>
              </w:tc>
              <w:tc>
                <w:tcPr>
                  <w:tcW w:w="1306" w:type="pct"/>
                  <w:vAlign w:val="center"/>
                </w:tcPr>
                <w:p>
                  <w:pPr>
                    <w:pStyle w:val="169"/>
                  </w:pPr>
                  <w:r>
                    <w:t>37</w:t>
                  </w:r>
                </w:p>
              </w:tc>
              <w:tc>
                <w:tcPr>
                  <w:tcW w:w="1171" w:type="pct"/>
                  <w:vAlign w:val="center"/>
                </w:tcPr>
                <w:p>
                  <w:pPr>
                    <w:pStyle w:val="169"/>
                  </w:pPr>
                  <w:r>
                    <w:t>1.0×10-3L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44" w:type="pct"/>
                  <w:vMerge w:val="restart"/>
                  <w:vAlign w:val="center"/>
                </w:tcPr>
                <w:p>
                  <w:pPr>
                    <w:pStyle w:val="169"/>
                  </w:pPr>
                  <w:r>
                    <w:t>1,1-二氯乙烷</w:t>
                  </w:r>
                </w:p>
              </w:tc>
              <w:tc>
                <w:tcPr>
                  <w:tcW w:w="979" w:type="pct"/>
                  <w:vAlign w:val="center"/>
                </w:tcPr>
                <w:p>
                  <w:pPr>
                    <w:pStyle w:val="169"/>
                  </w:pPr>
                  <w:r>
                    <w:t>mg/kg</w:t>
                  </w:r>
                </w:p>
              </w:tc>
              <w:tc>
                <w:tcPr>
                  <w:tcW w:w="1306" w:type="pct"/>
                  <w:vAlign w:val="center"/>
                </w:tcPr>
                <w:p>
                  <w:pPr>
                    <w:pStyle w:val="169"/>
                  </w:pPr>
                  <w:r>
                    <w:t>9</w:t>
                  </w:r>
                </w:p>
              </w:tc>
              <w:tc>
                <w:tcPr>
                  <w:tcW w:w="1171" w:type="pct"/>
                  <w:vAlign w:val="center"/>
                </w:tcPr>
                <w:p>
                  <w:pPr>
                    <w:pStyle w:val="169"/>
                  </w:pPr>
                  <w:r>
                    <w:t>1.2×10-3L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544" w:type="pct"/>
                  <w:vMerge w:val="restart"/>
                  <w:vAlign w:val="center"/>
                </w:tcPr>
                <w:p>
                  <w:pPr>
                    <w:pStyle w:val="169"/>
                  </w:pPr>
                  <w:r>
                    <w:t>1,2-二氯乙烷</w:t>
                  </w:r>
                </w:p>
              </w:tc>
              <w:tc>
                <w:tcPr>
                  <w:tcW w:w="979" w:type="pct"/>
                  <w:vAlign w:val="center"/>
                </w:tcPr>
                <w:p>
                  <w:pPr>
                    <w:pStyle w:val="169"/>
                  </w:pPr>
                  <w:r>
                    <w:t>mg/kg</w:t>
                  </w:r>
                </w:p>
              </w:tc>
              <w:tc>
                <w:tcPr>
                  <w:tcW w:w="1306" w:type="pct"/>
                  <w:vAlign w:val="center"/>
                </w:tcPr>
                <w:p>
                  <w:pPr>
                    <w:pStyle w:val="169"/>
                  </w:pPr>
                  <w:r>
                    <w:t>5</w:t>
                  </w:r>
                </w:p>
              </w:tc>
              <w:tc>
                <w:tcPr>
                  <w:tcW w:w="1171" w:type="pct"/>
                  <w:vAlign w:val="center"/>
                </w:tcPr>
                <w:p>
                  <w:pPr>
                    <w:pStyle w:val="169"/>
                  </w:pPr>
                  <w:r>
                    <w:t>1.3×10-3L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restart"/>
                  <w:vAlign w:val="center"/>
                </w:tcPr>
                <w:p>
                  <w:pPr>
                    <w:pStyle w:val="169"/>
                  </w:pPr>
                  <w:r>
                    <w:t>1,1-二氯乙烯</w:t>
                  </w:r>
                </w:p>
              </w:tc>
              <w:tc>
                <w:tcPr>
                  <w:tcW w:w="979" w:type="pct"/>
                  <w:vAlign w:val="center"/>
                </w:tcPr>
                <w:p>
                  <w:pPr>
                    <w:pStyle w:val="169"/>
                  </w:pPr>
                  <w:r>
                    <w:t>mg/kg</w:t>
                  </w:r>
                </w:p>
              </w:tc>
              <w:tc>
                <w:tcPr>
                  <w:tcW w:w="1306" w:type="pct"/>
                  <w:vAlign w:val="center"/>
                </w:tcPr>
                <w:p>
                  <w:pPr>
                    <w:pStyle w:val="169"/>
                  </w:pPr>
                  <w:r>
                    <w:t>66</w:t>
                  </w:r>
                </w:p>
              </w:tc>
              <w:tc>
                <w:tcPr>
                  <w:tcW w:w="1171" w:type="pct"/>
                  <w:vAlign w:val="center"/>
                </w:tcPr>
                <w:p>
                  <w:pPr>
                    <w:pStyle w:val="169"/>
                  </w:pPr>
                  <w:r>
                    <w:t>1.0×10-3L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restart"/>
                  <w:vAlign w:val="center"/>
                </w:tcPr>
                <w:p>
                  <w:pPr>
                    <w:pStyle w:val="169"/>
                  </w:pPr>
                  <w:r>
                    <w:t>顺-1,2-二氯乙烯</w:t>
                  </w:r>
                </w:p>
              </w:tc>
              <w:tc>
                <w:tcPr>
                  <w:tcW w:w="979" w:type="pct"/>
                  <w:vAlign w:val="center"/>
                </w:tcPr>
                <w:p>
                  <w:pPr>
                    <w:pStyle w:val="169"/>
                  </w:pPr>
                  <w:r>
                    <w:t>mg/kg</w:t>
                  </w:r>
                </w:p>
              </w:tc>
              <w:tc>
                <w:tcPr>
                  <w:tcW w:w="1306" w:type="pct"/>
                  <w:vAlign w:val="center"/>
                </w:tcPr>
                <w:p>
                  <w:pPr>
                    <w:pStyle w:val="169"/>
                  </w:pPr>
                  <w:r>
                    <w:t>296</w:t>
                  </w:r>
                </w:p>
              </w:tc>
              <w:tc>
                <w:tcPr>
                  <w:tcW w:w="1171" w:type="pct"/>
                  <w:vAlign w:val="center"/>
                </w:tcPr>
                <w:p>
                  <w:pPr>
                    <w:pStyle w:val="169"/>
                  </w:pPr>
                  <w:r>
                    <w:t>1.3×10-3L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restart"/>
                  <w:vAlign w:val="center"/>
                </w:tcPr>
                <w:p>
                  <w:pPr>
                    <w:pStyle w:val="169"/>
                  </w:pPr>
                  <w:r>
                    <w:t>反-1,2-二氯乙烯</w:t>
                  </w:r>
                </w:p>
              </w:tc>
              <w:tc>
                <w:tcPr>
                  <w:tcW w:w="979" w:type="pct"/>
                  <w:vAlign w:val="center"/>
                </w:tcPr>
                <w:p>
                  <w:pPr>
                    <w:pStyle w:val="169"/>
                  </w:pPr>
                  <w:r>
                    <w:t>mg/kg</w:t>
                  </w:r>
                </w:p>
              </w:tc>
              <w:tc>
                <w:tcPr>
                  <w:tcW w:w="1306" w:type="pct"/>
                  <w:vAlign w:val="center"/>
                </w:tcPr>
                <w:p>
                  <w:pPr>
                    <w:pStyle w:val="169"/>
                  </w:pPr>
                  <w:r>
                    <w:t>54</w:t>
                  </w:r>
                </w:p>
              </w:tc>
              <w:tc>
                <w:tcPr>
                  <w:tcW w:w="1171" w:type="pct"/>
                  <w:vAlign w:val="center"/>
                </w:tcPr>
                <w:p>
                  <w:pPr>
                    <w:pStyle w:val="169"/>
                  </w:pPr>
                  <w:r>
                    <w:t>1.4×10-3L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restart"/>
                  <w:vAlign w:val="center"/>
                </w:tcPr>
                <w:p>
                  <w:pPr>
                    <w:pStyle w:val="169"/>
                  </w:pPr>
                  <w:r>
                    <w:t>二氯甲烷</w:t>
                  </w:r>
                </w:p>
              </w:tc>
              <w:tc>
                <w:tcPr>
                  <w:tcW w:w="979" w:type="pct"/>
                  <w:vAlign w:val="center"/>
                </w:tcPr>
                <w:p>
                  <w:pPr>
                    <w:pStyle w:val="169"/>
                  </w:pPr>
                  <w:r>
                    <w:t>mg/kg</w:t>
                  </w:r>
                </w:p>
              </w:tc>
              <w:tc>
                <w:tcPr>
                  <w:tcW w:w="1306" w:type="pct"/>
                  <w:vAlign w:val="center"/>
                </w:tcPr>
                <w:p>
                  <w:pPr>
                    <w:pStyle w:val="169"/>
                  </w:pPr>
                  <w:r>
                    <w:t>616</w:t>
                  </w:r>
                </w:p>
              </w:tc>
              <w:tc>
                <w:tcPr>
                  <w:tcW w:w="1171" w:type="pct"/>
                  <w:vAlign w:val="center"/>
                </w:tcPr>
                <w:p>
                  <w:pPr>
                    <w:pStyle w:val="169"/>
                  </w:pPr>
                  <w:r>
                    <w:t>1.5×10-3L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restart"/>
                  <w:vAlign w:val="center"/>
                </w:tcPr>
                <w:p>
                  <w:pPr>
                    <w:pStyle w:val="169"/>
                  </w:pPr>
                  <w:r>
                    <w:t>1,2-二氯丙烷</w:t>
                  </w:r>
                </w:p>
              </w:tc>
              <w:tc>
                <w:tcPr>
                  <w:tcW w:w="979" w:type="pct"/>
                  <w:vAlign w:val="center"/>
                </w:tcPr>
                <w:p>
                  <w:pPr>
                    <w:pStyle w:val="169"/>
                  </w:pPr>
                  <w:r>
                    <w:t>mg/kg</w:t>
                  </w:r>
                </w:p>
              </w:tc>
              <w:tc>
                <w:tcPr>
                  <w:tcW w:w="1306" w:type="pct"/>
                  <w:vAlign w:val="center"/>
                </w:tcPr>
                <w:p>
                  <w:pPr>
                    <w:pStyle w:val="169"/>
                  </w:pPr>
                  <w:r>
                    <w:t>5</w:t>
                  </w:r>
                </w:p>
              </w:tc>
              <w:tc>
                <w:tcPr>
                  <w:tcW w:w="1171" w:type="pct"/>
                  <w:vAlign w:val="center"/>
                </w:tcPr>
                <w:p>
                  <w:pPr>
                    <w:pStyle w:val="169"/>
                  </w:pPr>
                  <w:r>
                    <w:t>1.1×10-3L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restart"/>
                  <w:vAlign w:val="center"/>
                </w:tcPr>
                <w:p>
                  <w:pPr>
                    <w:pStyle w:val="169"/>
                  </w:pPr>
                  <w:r>
                    <w:t>1,1,1,2-四氯乙烷</w:t>
                  </w:r>
                </w:p>
              </w:tc>
              <w:tc>
                <w:tcPr>
                  <w:tcW w:w="979" w:type="pct"/>
                  <w:vAlign w:val="center"/>
                </w:tcPr>
                <w:p>
                  <w:pPr>
                    <w:pStyle w:val="169"/>
                  </w:pPr>
                  <w:r>
                    <w:t>mg/kg</w:t>
                  </w:r>
                </w:p>
              </w:tc>
              <w:tc>
                <w:tcPr>
                  <w:tcW w:w="1306" w:type="pct"/>
                  <w:vAlign w:val="center"/>
                </w:tcPr>
                <w:p>
                  <w:pPr>
                    <w:pStyle w:val="169"/>
                  </w:pPr>
                  <w:r>
                    <w:t>10</w:t>
                  </w:r>
                </w:p>
              </w:tc>
              <w:tc>
                <w:tcPr>
                  <w:tcW w:w="1171" w:type="pct"/>
                  <w:vAlign w:val="center"/>
                </w:tcPr>
                <w:p>
                  <w:pPr>
                    <w:pStyle w:val="169"/>
                  </w:pPr>
                  <w:r>
                    <w:t>1.2×10-3L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restart"/>
                  <w:vAlign w:val="center"/>
                </w:tcPr>
                <w:p>
                  <w:pPr>
                    <w:pStyle w:val="169"/>
                  </w:pPr>
                  <w:r>
                    <w:t>1,1,2,2-四氯乙烷</w:t>
                  </w:r>
                </w:p>
              </w:tc>
              <w:tc>
                <w:tcPr>
                  <w:tcW w:w="979" w:type="pct"/>
                  <w:vAlign w:val="center"/>
                </w:tcPr>
                <w:p>
                  <w:pPr>
                    <w:pStyle w:val="169"/>
                  </w:pPr>
                  <w:r>
                    <w:t>mg/kg</w:t>
                  </w:r>
                </w:p>
              </w:tc>
              <w:tc>
                <w:tcPr>
                  <w:tcW w:w="1306" w:type="pct"/>
                  <w:vAlign w:val="center"/>
                </w:tcPr>
                <w:p>
                  <w:pPr>
                    <w:pStyle w:val="169"/>
                  </w:pPr>
                  <w:r>
                    <w:t>6.8</w:t>
                  </w:r>
                </w:p>
              </w:tc>
              <w:tc>
                <w:tcPr>
                  <w:tcW w:w="1171" w:type="pct"/>
                  <w:vAlign w:val="center"/>
                </w:tcPr>
                <w:p>
                  <w:pPr>
                    <w:pStyle w:val="169"/>
                  </w:pPr>
                  <w:r>
                    <w:t>1.2×10-3L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restart"/>
                  <w:vAlign w:val="center"/>
                </w:tcPr>
                <w:p>
                  <w:pPr>
                    <w:pStyle w:val="169"/>
                  </w:pPr>
                  <w:r>
                    <w:t>四氯乙烯</w:t>
                  </w:r>
                </w:p>
              </w:tc>
              <w:tc>
                <w:tcPr>
                  <w:tcW w:w="979" w:type="pct"/>
                  <w:vAlign w:val="center"/>
                </w:tcPr>
                <w:p>
                  <w:pPr>
                    <w:pStyle w:val="169"/>
                  </w:pPr>
                  <w:r>
                    <w:t>mg/kg</w:t>
                  </w:r>
                </w:p>
              </w:tc>
              <w:tc>
                <w:tcPr>
                  <w:tcW w:w="1306" w:type="pct"/>
                  <w:vAlign w:val="center"/>
                </w:tcPr>
                <w:p>
                  <w:pPr>
                    <w:pStyle w:val="169"/>
                  </w:pPr>
                  <w:r>
                    <w:t>53</w:t>
                  </w:r>
                </w:p>
              </w:tc>
              <w:tc>
                <w:tcPr>
                  <w:tcW w:w="1171" w:type="pct"/>
                  <w:vAlign w:val="center"/>
                </w:tcPr>
                <w:p>
                  <w:pPr>
                    <w:pStyle w:val="169"/>
                  </w:pPr>
                  <w:r>
                    <w:t>1.4×10-3L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restart"/>
                  <w:vAlign w:val="center"/>
                </w:tcPr>
                <w:p>
                  <w:pPr>
                    <w:pStyle w:val="169"/>
                  </w:pPr>
                  <w:r>
                    <w:t>1,1,1-三氯乙烷</w:t>
                  </w:r>
                </w:p>
              </w:tc>
              <w:tc>
                <w:tcPr>
                  <w:tcW w:w="979" w:type="pct"/>
                  <w:vAlign w:val="center"/>
                </w:tcPr>
                <w:p>
                  <w:pPr>
                    <w:pStyle w:val="169"/>
                  </w:pPr>
                  <w:r>
                    <w:t>mg/kg</w:t>
                  </w:r>
                </w:p>
              </w:tc>
              <w:tc>
                <w:tcPr>
                  <w:tcW w:w="1306" w:type="pct"/>
                  <w:vAlign w:val="center"/>
                </w:tcPr>
                <w:p>
                  <w:pPr>
                    <w:pStyle w:val="169"/>
                  </w:pPr>
                  <w:r>
                    <w:t>840</w:t>
                  </w:r>
                </w:p>
              </w:tc>
              <w:tc>
                <w:tcPr>
                  <w:tcW w:w="1171" w:type="pct"/>
                  <w:vAlign w:val="center"/>
                </w:tcPr>
                <w:p>
                  <w:pPr>
                    <w:pStyle w:val="169"/>
                  </w:pPr>
                  <w:r>
                    <w:t>1.3×10-3L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restart"/>
                  <w:vAlign w:val="center"/>
                </w:tcPr>
                <w:p>
                  <w:pPr>
                    <w:pStyle w:val="169"/>
                  </w:pPr>
                  <w:r>
                    <w:t>1,1,2-三氯乙烷</w:t>
                  </w:r>
                </w:p>
              </w:tc>
              <w:tc>
                <w:tcPr>
                  <w:tcW w:w="979" w:type="pct"/>
                  <w:vAlign w:val="center"/>
                </w:tcPr>
                <w:p>
                  <w:pPr>
                    <w:pStyle w:val="169"/>
                  </w:pPr>
                  <w:r>
                    <w:t>mg/kg</w:t>
                  </w:r>
                </w:p>
              </w:tc>
              <w:tc>
                <w:tcPr>
                  <w:tcW w:w="1306" w:type="pct"/>
                  <w:vAlign w:val="center"/>
                </w:tcPr>
                <w:p>
                  <w:pPr>
                    <w:pStyle w:val="169"/>
                  </w:pPr>
                  <w:r>
                    <w:t>2.8</w:t>
                  </w:r>
                </w:p>
              </w:tc>
              <w:tc>
                <w:tcPr>
                  <w:tcW w:w="1171" w:type="pct"/>
                  <w:vAlign w:val="center"/>
                </w:tcPr>
                <w:p>
                  <w:pPr>
                    <w:pStyle w:val="169"/>
                  </w:pPr>
                  <w:r>
                    <w:t>1.2×10-3L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44" w:type="pct"/>
                  <w:vMerge w:val="restart"/>
                  <w:vAlign w:val="center"/>
                </w:tcPr>
                <w:p>
                  <w:pPr>
                    <w:pStyle w:val="169"/>
                  </w:pPr>
                  <w:r>
                    <w:t>三氯乙烯</w:t>
                  </w:r>
                </w:p>
              </w:tc>
              <w:tc>
                <w:tcPr>
                  <w:tcW w:w="979" w:type="pct"/>
                  <w:vAlign w:val="center"/>
                </w:tcPr>
                <w:p>
                  <w:pPr>
                    <w:pStyle w:val="169"/>
                  </w:pPr>
                  <w:r>
                    <w:t>mg/kg</w:t>
                  </w:r>
                </w:p>
              </w:tc>
              <w:tc>
                <w:tcPr>
                  <w:tcW w:w="1306" w:type="pct"/>
                  <w:vAlign w:val="center"/>
                </w:tcPr>
                <w:p>
                  <w:pPr>
                    <w:pStyle w:val="169"/>
                  </w:pPr>
                  <w:r>
                    <w:t>2.8</w:t>
                  </w:r>
                </w:p>
              </w:tc>
              <w:tc>
                <w:tcPr>
                  <w:tcW w:w="1171" w:type="pct"/>
                  <w:vAlign w:val="center"/>
                </w:tcPr>
                <w:p>
                  <w:pPr>
                    <w:pStyle w:val="169"/>
                  </w:pPr>
                  <w:r>
                    <w:t>1.2×10-3L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1,2,3-三氯丙烷</w:t>
                  </w:r>
                </w:p>
              </w:tc>
              <w:tc>
                <w:tcPr>
                  <w:tcW w:w="979" w:type="pct"/>
                  <w:vAlign w:val="center"/>
                </w:tcPr>
                <w:p>
                  <w:pPr>
                    <w:pStyle w:val="169"/>
                  </w:pPr>
                  <w:r>
                    <w:t>mg/kg</w:t>
                  </w:r>
                </w:p>
              </w:tc>
              <w:tc>
                <w:tcPr>
                  <w:tcW w:w="1306" w:type="pct"/>
                  <w:vAlign w:val="center"/>
                </w:tcPr>
                <w:p>
                  <w:pPr>
                    <w:pStyle w:val="169"/>
                  </w:pPr>
                  <w:r>
                    <w:t>0.5</w:t>
                  </w:r>
                </w:p>
              </w:tc>
              <w:tc>
                <w:tcPr>
                  <w:tcW w:w="1171" w:type="pct"/>
                  <w:vAlign w:val="center"/>
                </w:tcPr>
                <w:p>
                  <w:pPr>
                    <w:pStyle w:val="169"/>
                  </w:pPr>
                  <w:r>
                    <w:t>1.2×10-3L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氯乙烯</w:t>
                  </w:r>
                </w:p>
              </w:tc>
              <w:tc>
                <w:tcPr>
                  <w:tcW w:w="979" w:type="pct"/>
                  <w:vAlign w:val="center"/>
                </w:tcPr>
                <w:p>
                  <w:pPr>
                    <w:pStyle w:val="169"/>
                  </w:pPr>
                  <w:r>
                    <w:t>mg/kg</w:t>
                  </w:r>
                </w:p>
              </w:tc>
              <w:tc>
                <w:tcPr>
                  <w:tcW w:w="1306" w:type="pct"/>
                  <w:vAlign w:val="center"/>
                </w:tcPr>
                <w:p>
                  <w:pPr>
                    <w:pStyle w:val="169"/>
                  </w:pPr>
                  <w:r>
                    <w:t>0.43</w:t>
                  </w:r>
                </w:p>
              </w:tc>
              <w:tc>
                <w:tcPr>
                  <w:tcW w:w="1171" w:type="pct"/>
                  <w:vAlign w:val="center"/>
                </w:tcPr>
                <w:p>
                  <w:pPr>
                    <w:pStyle w:val="169"/>
                  </w:pPr>
                  <w:r>
                    <w:t>1.0×10-3L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苯</w:t>
                  </w:r>
                </w:p>
              </w:tc>
              <w:tc>
                <w:tcPr>
                  <w:tcW w:w="979" w:type="pct"/>
                  <w:vAlign w:val="center"/>
                </w:tcPr>
                <w:p>
                  <w:pPr>
                    <w:pStyle w:val="169"/>
                  </w:pPr>
                  <w:r>
                    <w:t>mg/kg</w:t>
                  </w:r>
                </w:p>
              </w:tc>
              <w:tc>
                <w:tcPr>
                  <w:tcW w:w="1306" w:type="pct"/>
                  <w:vAlign w:val="center"/>
                </w:tcPr>
                <w:p>
                  <w:pPr>
                    <w:pStyle w:val="169"/>
                  </w:pPr>
                  <w:r>
                    <w:t>4</w:t>
                  </w:r>
                </w:p>
              </w:tc>
              <w:tc>
                <w:tcPr>
                  <w:tcW w:w="1171" w:type="pct"/>
                  <w:vAlign w:val="center"/>
                </w:tcPr>
                <w:p>
                  <w:pPr>
                    <w:pStyle w:val="169"/>
                  </w:pPr>
                  <w:r>
                    <w:t>1.9×10-3L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氯苯</w:t>
                  </w:r>
                </w:p>
              </w:tc>
              <w:tc>
                <w:tcPr>
                  <w:tcW w:w="979" w:type="pct"/>
                  <w:vAlign w:val="center"/>
                </w:tcPr>
                <w:p>
                  <w:pPr>
                    <w:pStyle w:val="169"/>
                  </w:pPr>
                  <w:r>
                    <w:t>mg/kg</w:t>
                  </w:r>
                </w:p>
              </w:tc>
              <w:tc>
                <w:tcPr>
                  <w:tcW w:w="1306" w:type="pct"/>
                  <w:vAlign w:val="center"/>
                </w:tcPr>
                <w:p>
                  <w:pPr>
                    <w:pStyle w:val="169"/>
                  </w:pPr>
                  <w:r>
                    <w:t>270</w:t>
                  </w:r>
                </w:p>
              </w:tc>
              <w:tc>
                <w:tcPr>
                  <w:tcW w:w="1171" w:type="pct"/>
                  <w:vAlign w:val="center"/>
                </w:tcPr>
                <w:p>
                  <w:pPr>
                    <w:pStyle w:val="169"/>
                  </w:pPr>
                  <w:r>
                    <w:t>1.2×10-3L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1,2-二氯苯</w:t>
                  </w:r>
                </w:p>
              </w:tc>
              <w:tc>
                <w:tcPr>
                  <w:tcW w:w="979" w:type="pct"/>
                  <w:vAlign w:val="center"/>
                </w:tcPr>
                <w:p>
                  <w:pPr>
                    <w:pStyle w:val="169"/>
                  </w:pPr>
                  <w:r>
                    <w:t>mg/kg</w:t>
                  </w:r>
                </w:p>
              </w:tc>
              <w:tc>
                <w:tcPr>
                  <w:tcW w:w="1306" w:type="pct"/>
                  <w:vAlign w:val="center"/>
                </w:tcPr>
                <w:p>
                  <w:pPr>
                    <w:pStyle w:val="169"/>
                  </w:pPr>
                  <w:r>
                    <w:t>560</w:t>
                  </w:r>
                </w:p>
              </w:tc>
              <w:tc>
                <w:tcPr>
                  <w:tcW w:w="1171" w:type="pct"/>
                  <w:vAlign w:val="center"/>
                </w:tcPr>
                <w:p>
                  <w:pPr>
                    <w:pStyle w:val="169"/>
                  </w:pPr>
                  <w:r>
                    <w:t>1.5×10-3L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44" w:type="pct"/>
                  <w:vMerge w:val="restart"/>
                  <w:vAlign w:val="center"/>
                </w:tcPr>
                <w:p>
                  <w:pPr>
                    <w:pStyle w:val="169"/>
                  </w:pPr>
                  <w:r>
                    <w:t>1,4-二氯苯</w:t>
                  </w:r>
                </w:p>
              </w:tc>
              <w:tc>
                <w:tcPr>
                  <w:tcW w:w="979" w:type="pct"/>
                  <w:vAlign w:val="center"/>
                </w:tcPr>
                <w:p>
                  <w:pPr>
                    <w:pStyle w:val="169"/>
                  </w:pPr>
                  <w:r>
                    <w:t>mg/kg</w:t>
                  </w:r>
                </w:p>
              </w:tc>
              <w:tc>
                <w:tcPr>
                  <w:tcW w:w="1306" w:type="pct"/>
                  <w:vAlign w:val="center"/>
                </w:tcPr>
                <w:p>
                  <w:pPr>
                    <w:pStyle w:val="169"/>
                  </w:pPr>
                  <w:r>
                    <w:t>20</w:t>
                  </w:r>
                </w:p>
              </w:tc>
              <w:tc>
                <w:tcPr>
                  <w:tcW w:w="1171" w:type="pct"/>
                  <w:vAlign w:val="center"/>
                </w:tcPr>
                <w:p>
                  <w:pPr>
                    <w:pStyle w:val="169"/>
                  </w:pPr>
                  <w:r>
                    <w:t>1.5×10-3L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44" w:type="pct"/>
                  <w:vMerge w:val="restart"/>
                  <w:vAlign w:val="center"/>
                </w:tcPr>
                <w:p>
                  <w:pPr>
                    <w:pStyle w:val="169"/>
                  </w:pPr>
                  <w:r>
                    <w:t>乙苯</w:t>
                  </w:r>
                </w:p>
              </w:tc>
              <w:tc>
                <w:tcPr>
                  <w:tcW w:w="979" w:type="pct"/>
                  <w:vAlign w:val="center"/>
                </w:tcPr>
                <w:p>
                  <w:pPr>
                    <w:pStyle w:val="169"/>
                  </w:pPr>
                  <w:r>
                    <w:t>mg/kg</w:t>
                  </w:r>
                </w:p>
              </w:tc>
              <w:tc>
                <w:tcPr>
                  <w:tcW w:w="1306" w:type="pct"/>
                  <w:vAlign w:val="center"/>
                </w:tcPr>
                <w:p>
                  <w:pPr>
                    <w:pStyle w:val="169"/>
                  </w:pPr>
                  <w:r>
                    <w:t>28</w:t>
                  </w:r>
                </w:p>
              </w:tc>
              <w:tc>
                <w:tcPr>
                  <w:tcW w:w="1171" w:type="pct"/>
                  <w:vAlign w:val="center"/>
                </w:tcPr>
                <w:p>
                  <w:pPr>
                    <w:pStyle w:val="169"/>
                  </w:pPr>
                  <w:r>
                    <w:t>1.2×10-3L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苯乙烯</w:t>
                  </w:r>
                </w:p>
              </w:tc>
              <w:tc>
                <w:tcPr>
                  <w:tcW w:w="979" w:type="pct"/>
                  <w:vAlign w:val="center"/>
                </w:tcPr>
                <w:p>
                  <w:pPr>
                    <w:pStyle w:val="169"/>
                  </w:pPr>
                  <w:r>
                    <w:t>mg/kg</w:t>
                  </w:r>
                </w:p>
              </w:tc>
              <w:tc>
                <w:tcPr>
                  <w:tcW w:w="1306" w:type="pct"/>
                  <w:vAlign w:val="center"/>
                </w:tcPr>
                <w:p>
                  <w:pPr>
                    <w:pStyle w:val="169"/>
                  </w:pPr>
                  <w:r>
                    <w:t>1290</w:t>
                  </w:r>
                </w:p>
              </w:tc>
              <w:tc>
                <w:tcPr>
                  <w:tcW w:w="1171" w:type="pct"/>
                  <w:vAlign w:val="center"/>
                </w:tcPr>
                <w:p>
                  <w:pPr>
                    <w:pStyle w:val="169"/>
                  </w:pPr>
                  <w:r>
                    <w:t>1.1×10-3L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甲苯</w:t>
                  </w:r>
                </w:p>
              </w:tc>
              <w:tc>
                <w:tcPr>
                  <w:tcW w:w="979" w:type="pct"/>
                  <w:vAlign w:val="center"/>
                </w:tcPr>
                <w:p>
                  <w:pPr>
                    <w:pStyle w:val="169"/>
                  </w:pPr>
                  <w:r>
                    <w:t>mg/kg</w:t>
                  </w:r>
                </w:p>
              </w:tc>
              <w:tc>
                <w:tcPr>
                  <w:tcW w:w="1306" w:type="pct"/>
                  <w:vAlign w:val="center"/>
                </w:tcPr>
                <w:p>
                  <w:pPr>
                    <w:pStyle w:val="169"/>
                  </w:pPr>
                  <w:r>
                    <w:t>1200</w:t>
                  </w:r>
                </w:p>
              </w:tc>
              <w:tc>
                <w:tcPr>
                  <w:tcW w:w="1171" w:type="pct"/>
                  <w:vAlign w:val="center"/>
                </w:tcPr>
                <w:p>
                  <w:pPr>
                    <w:pStyle w:val="169"/>
                  </w:pPr>
                  <w:r>
                    <w:t>1.3×10-3L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544" w:type="pct"/>
                  <w:vMerge w:val="restart"/>
                  <w:vAlign w:val="center"/>
                </w:tcPr>
                <w:p>
                  <w:pPr>
                    <w:pStyle w:val="169"/>
                  </w:pPr>
                  <w:r>
                    <w:t>间二甲苯+</w:t>
                  </w:r>
                </w:p>
                <w:p>
                  <w:pPr>
                    <w:pStyle w:val="169"/>
                  </w:pPr>
                  <w:r>
                    <w:t>对二甲苯</w:t>
                  </w:r>
                </w:p>
              </w:tc>
              <w:tc>
                <w:tcPr>
                  <w:tcW w:w="979" w:type="pct"/>
                  <w:vAlign w:val="center"/>
                </w:tcPr>
                <w:p>
                  <w:pPr>
                    <w:pStyle w:val="169"/>
                  </w:pPr>
                  <w:r>
                    <w:t>mg/kg</w:t>
                  </w:r>
                </w:p>
              </w:tc>
              <w:tc>
                <w:tcPr>
                  <w:tcW w:w="1306" w:type="pct"/>
                  <w:vAlign w:val="center"/>
                </w:tcPr>
                <w:p>
                  <w:pPr>
                    <w:pStyle w:val="169"/>
                  </w:pPr>
                  <w:r>
                    <w:t>570</w:t>
                  </w:r>
                </w:p>
              </w:tc>
              <w:tc>
                <w:tcPr>
                  <w:tcW w:w="1171" w:type="pct"/>
                  <w:vAlign w:val="center"/>
                </w:tcPr>
                <w:p>
                  <w:pPr>
                    <w:pStyle w:val="169"/>
                  </w:pPr>
                  <w:r>
                    <w:t>1.2×10-3L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邻二甲苯</w:t>
                  </w:r>
                </w:p>
              </w:tc>
              <w:tc>
                <w:tcPr>
                  <w:tcW w:w="979" w:type="pct"/>
                  <w:vAlign w:val="center"/>
                </w:tcPr>
                <w:p>
                  <w:pPr>
                    <w:pStyle w:val="169"/>
                  </w:pPr>
                  <w:r>
                    <w:t>mg/kg</w:t>
                  </w:r>
                </w:p>
              </w:tc>
              <w:tc>
                <w:tcPr>
                  <w:tcW w:w="1306" w:type="pct"/>
                  <w:vAlign w:val="center"/>
                </w:tcPr>
                <w:p>
                  <w:pPr>
                    <w:pStyle w:val="169"/>
                  </w:pPr>
                  <w:r>
                    <w:t>640</w:t>
                  </w:r>
                </w:p>
              </w:tc>
              <w:tc>
                <w:tcPr>
                  <w:tcW w:w="1171" w:type="pct"/>
                  <w:vAlign w:val="center"/>
                </w:tcPr>
                <w:p>
                  <w:pPr>
                    <w:pStyle w:val="169"/>
                  </w:pPr>
                  <w:r>
                    <w:t>1.2×10-3L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硝基苯</w:t>
                  </w:r>
                </w:p>
              </w:tc>
              <w:tc>
                <w:tcPr>
                  <w:tcW w:w="979" w:type="pct"/>
                  <w:vAlign w:val="center"/>
                </w:tcPr>
                <w:p>
                  <w:pPr>
                    <w:pStyle w:val="169"/>
                  </w:pPr>
                  <w:r>
                    <w:t>mg/kg</w:t>
                  </w:r>
                </w:p>
              </w:tc>
              <w:tc>
                <w:tcPr>
                  <w:tcW w:w="1306" w:type="pct"/>
                  <w:vAlign w:val="center"/>
                </w:tcPr>
                <w:p>
                  <w:pPr>
                    <w:pStyle w:val="169"/>
                  </w:pPr>
                  <w:r>
                    <w:t>76</w:t>
                  </w:r>
                </w:p>
              </w:tc>
              <w:tc>
                <w:tcPr>
                  <w:tcW w:w="1171" w:type="pct"/>
                  <w:vAlign w:val="center"/>
                </w:tcPr>
                <w:p>
                  <w:pPr>
                    <w:pStyle w:val="169"/>
                  </w:pPr>
                  <w:r>
                    <w:rPr>
                      <w:rFonts w:hint="eastAsia"/>
                    </w:rPr>
                    <w:t>0.09L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苯胺</w:t>
                  </w:r>
                </w:p>
              </w:tc>
              <w:tc>
                <w:tcPr>
                  <w:tcW w:w="979" w:type="pct"/>
                  <w:vAlign w:val="center"/>
                </w:tcPr>
                <w:p>
                  <w:pPr>
                    <w:pStyle w:val="169"/>
                  </w:pPr>
                  <w:r>
                    <w:t>mg/kg</w:t>
                  </w:r>
                </w:p>
              </w:tc>
              <w:tc>
                <w:tcPr>
                  <w:tcW w:w="1306" w:type="pct"/>
                  <w:vAlign w:val="center"/>
                </w:tcPr>
                <w:p>
                  <w:pPr>
                    <w:pStyle w:val="169"/>
                  </w:pPr>
                  <w:r>
                    <w:t>260</w:t>
                  </w:r>
                </w:p>
              </w:tc>
              <w:tc>
                <w:tcPr>
                  <w:tcW w:w="1171" w:type="pct"/>
                  <w:vAlign w:val="center"/>
                </w:tcPr>
                <w:p>
                  <w:pPr>
                    <w:pStyle w:val="169"/>
                  </w:pPr>
                  <w:r>
                    <w:rPr>
                      <w:rFonts w:hint="eastAsia"/>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2-氯酚</w:t>
                  </w:r>
                </w:p>
              </w:tc>
              <w:tc>
                <w:tcPr>
                  <w:tcW w:w="979" w:type="pct"/>
                  <w:vAlign w:val="center"/>
                </w:tcPr>
                <w:p>
                  <w:pPr>
                    <w:pStyle w:val="169"/>
                  </w:pPr>
                  <w:r>
                    <w:t>mg/kg</w:t>
                  </w:r>
                </w:p>
              </w:tc>
              <w:tc>
                <w:tcPr>
                  <w:tcW w:w="1306" w:type="pct"/>
                  <w:vAlign w:val="center"/>
                </w:tcPr>
                <w:p>
                  <w:pPr>
                    <w:pStyle w:val="169"/>
                  </w:pPr>
                  <w:r>
                    <w:t>2256</w:t>
                  </w:r>
                </w:p>
              </w:tc>
              <w:tc>
                <w:tcPr>
                  <w:tcW w:w="1171" w:type="pct"/>
                  <w:vAlign w:val="center"/>
                </w:tcPr>
                <w:p>
                  <w:pPr>
                    <w:pStyle w:val="169"/>
                  </w:pPr>
                  <w:r>
                    <w:rPr>
                      <w:rFonts w:hint="eastAsia"/>
                    </w:rPr>
                    <w:t>0.06L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苯并[a]蒽</w:t>
                  </w:r>
                </w:p>
              </w:tc>
              <w:tc>
                <w:tcPr>
                  <w:tcW w:w="979" w:type="pct"/>
                  <w:vAlign w:val="center"/>
                </w:tcPr>
                <w:p>
                  <w:pPr>
                    <w:pStyle w:val="169"/>
                  </w:pPr>
                  <w:r>
                    <w:t>mg/kg</w:t>
                  </w:r>
                </w:p>
              </w:tc>
              <w:tc>
                <w:tcPr>
                  <w:tcW w:w="1306" w:type="pct"/>
                  <w:vAlign w:val="center"/>
                </w:tcPr>
                <w:p>
                  <w:pPr>
                    <w:pStyle w:val="169"/>
                  </w:pPr>
                  <w:r>
                    <w:t>15</w:t>
                  </w:r>
                </w:p>
              </w:tc>
              <w:tc>
                <w:tcPr>
                  <w:tcW w:w="1171" w:type="pct"/>
                  <w:vAlign w:val="center"/>
                </w:tcPr>
                <w:p>
                  <w:pPr>
                    <w:pStyle w:val="169"/>
                  </w:pPr>
                  <w:r>
                    <w:rPr>
                      <w:rFonts w:hint="eastAsia"/>
                    </w:rPr>
                    <w:t>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苯并[a]芘</w:t>
                  </w:r>
                </w:p>
              </w:tc>
              <w:tc>
                <w:tcPr>
                  <w:tcW w:w="979" w:type="pct"/>
                  <w:vAlign w:val="center"/>
                </w:tcPr>
                <w:p>
                  <w:pPr>
                    <w:pStyle w:val="169"/>
                  </w:pPr>
                  <w:r>
                    <w:t>mg/kg</w:t>
                  </w:r>
                </w:p>
              </w:tc>
              <w:tc>
                <w:tcPr>
                  <w:tcW w:w="1306" w:type="pct"/>
                  <w:vAlign w:val="center"/>
                </w:tcPr>
                <w:p>
                  <w:pPr>
                    <w:pStyle w:val="169"/>
                  </w:pPr>
                  <w:r>
                    <w:t>1.5</w:t>
                  </w:r>
                </w:p>
              </w:tc>
              <w:tc>
                <w:tcPr>
                  <w:tcW w:w="1171" w:type="pct"/>
                  <w:vAlign w:val="center"/>
                </w:tcPr>
                <w:p>
                  <w:pPr>
                    <w:pStyle w:val="169"/>
                  </w:pPr>
                  <w:r>
                    <w:rPr>
                      <w:rFonts w:hint="eastAsia"/>
                    </w:rPr>
                    <w:t>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苯并[b]荧蒽</w:t>
                  </w:r>
                </w:p>
              </w:tc>
              <w:tc>
                <w:tcPr>
                  <w:tcW w:w="979" w:type="pct"/>
                  <w:vAlign w:val="center"/>
                </w:tcPr>
                <w:p>
                  <w:pPr>
                    <w:pStyle w:val="169"/>
                  </w:pPr>
                  <w:r>
                    <w:t>mg/kg</w:t>
                  </w:r>
                </w:p>
              </w:tc>
              <w:tc>
                <w:tcPr>
                  <w:tcW w:w="1306" w:type="pct"/>
                  <w:vAlign w:val="center"/>
                </w:tcPr>
                <w:p>
                  <w:pPr>
                    <w:pStyle w:val="169"/>
                  </w:pPr>
                  <w:r>
                    <w:t>15</w:t>
                  </w:r>
                </w:p>
              </w:tc>
              <w:tc>
                <w:tcPr>
                  <w:tcW w:w="1171" w:type="pct"/>
                  <w:vAlign w:val="center"/>
                </w:tcPr>
                <w:p>
                  <w:pPr>
                    <w:pStyle w:val="169"/>
                  </w:pPr>
                  <w:r>
                    <w:rPr>
                      <w:rFonts w:hint="eastAsia"/>
                    </w:rPr>
                    <w:t>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苯并[k]荧蒽</w:t>
                  </w:r>
                </w:p>
              </w:tc>
              <w:tc>
                <w:tcPr>
                  <w:tcW w:w="979" w:type="pct"/>
                  <w:vAlign w:val="center"/>
                </w:tcPr>
                <w:p>
                  <w:pPr>
                    <w:pStyle w:val="169"/>
                  </w:pPr>
                  <w:r>
                    <w:t>mg/kg</w:t>
                  </w:r>
                </w:p>
              </w:tc>
              <w:tc>
                <w:tcPr>
                  <w:tcW w:w="1306" w:type="pct"/>
                  <w:vAlign w:val="center"/>
                </w:tcPr>
                <w:p>
                  <w:pPr>
                    <w:pStyle w:val="169"/>
                  </w:pPr>
                  <w:r>
                    <w:t>151</w:t>
                  </w:r>
                </w:p>
              </w:tc>
              <w:tc>
                <w:tcPr>
                  <w:tcW w:w="1171" w:type="pct"/>
                  <w:vAlign w:val="center"/>
                </w:tcPr>
                <w:p>
                  <w:pPr>
                    <w:pStyle w:val="169"/>
                  </w:pPr>
                  <w:r>
                    <w:rPr>
                      <w:rFonts w:hint="eastAsia"/>
                    </w:rPr>
                    <w:t>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䓛</w:t>
                  </w:r>
                </w:p>
              </w:tc>
              <w:tc>
                <w:tcPr>
                  <w:tcW w:w="979" w:type="pct"/>
                  <w:vAlign w:val="center"/>
                </w:tcPr>
                <w:p>
                  <w:pPr>
                    <w:pStyle w:val="169"/>
                  </w:pPr>
                  <w:r>
                    <w:t>mg/kg</w:t>
                  </w:r>
                </w:p>
              </w:tc>
              <w:tc>
                <w:tcPr>
                  <w:tcW w:w="1306" w:type="pct"/>
                  <w:vAlign w:val="center"/>
                </w:tcPr>
                <w:p>
                  <w:pPr>
                    <w:pStyle w:val="169"/>
                  </w:pPr>
                  <w:r>
                    <w:t>1293</w:t>
                  </w:r>
                </w:p>
              </w:tc>
              <w:tc>
                <w:tcPr>
                  <w:tcW w:w="1171" w:type="pct"/>
                  <w:vAlign w:val="center"/>
                </w:tcPr>
                <w:p>
                  <w:pPr>
                    <w:pStyle w:val="169"/>
                  </w:pPr>
                  <w:r>
                    <w:rPr>
                      <w:rFonts w:hint="eastAsia"/>
                    </w:rPr>
                    <w:t>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二苯并[a,h]蒽</w:t>
                  </w:r>
                </w:p>
              </w:tc>
              <w:tc>
                <w:tcPr>
                  <w:tcW w:w="979" w:type="pct"/>
                  <w:vAlign w:val="center"/>
                </w:tcPr>
                <w:p>
                  <w:pPr>
                    <w:pStyle w:val="169"/>
                  </w:pPr>
                  <w:r>
                    <w:t>mg/kg</w:t>
                  </w:r>
                </w:p>
              </w:tc>
              <w:tc>
                <w:tcPr>
                  <w:tcW w:w="1306" w:type="pct"/>
                  <w:vAlign w:val="center"/>
                </w:tcPr>
                <w:p>
                  <w:pPr>
                    <w:pStyle w:val="169"/>
                  </w:pPr>
                  <w:r>
                    <w:t>1.5</w:t>
                  </w:r>
                </w:p>
              </w:tc>
              <w:tc>
                <w:tcPr>
                  <w:tcW w:w="1171" w:type="pct"/>
                  <w:vAlign w:val="center"/>
                </w:tcPr>
                <w:p>
                  <w:pPr>
                    <w:pStyle w:val="169"/>
                  </w:pPr>
                  <w:r>
                    <w:rPr>
                      <w:rFonts w:hint="eastAsia"/>
                    </w:rPr>
                    <w:t>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茚并[1,2,3-cd]芘</w:t>
                  </w:r>
                </w:p>
              </w:tc>
              <w:tc>
                <w:tcPr>
                  <w:tcW w:w="979" w:type="pct"/>
                  <w:vAlign w:val="center"/>
                </w:tcPr>
                <w:p>
                  <w:pPr>
                    <w:pStyle w:val="169"/>
                  </w:pPr>
                  <w:r>
                    <w:t>mg/kg</w:t>
                  </w:r>
                </w:p>
              </w:tc>
              <w:tc>
                <w:tcPr>
                  <w:tcW w:w="1306" w:type="pct"/>
                  <w:vAlign w:val="center"/>
                </w:tcPr>
                <w:p>
                  <w:pPr>
                    <w:pStyle w:val="169"/>
                  </w:pPr>
                  <w:r>
                    <w:t>15</w:t>
                  </w:r>
                </w:p>
              </w:tc>
              <w:tc>
                <w:tcPr>
                  <w:tcW w:w="1171" w:type="pct"/>
                  <w:vAlign w:val="center"/>
                </w:tcPr>
                <w:p>
                  <w:pPr>
                    <w:pStyle w:val="169"/>
                  </w:pPr>
                  <w:r>
                    <w:rPr>
                      <w:rFonts w:hint="eastAsia"/>
                    </w:rPr>
                    <w:t>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萘</w:t>
                  </w:r>
                </w:p>
              </w:tc>
              <w:tc>
                <w:tcPr>
                  <w:tcW w:w="979" w:type="pct"/>
                  <w:vAlign w:val="center"/>
                </w:tcPr>
                <w:p>
                  <w:pPr>
                    <w:pStyle w:val="169"/>
                  </w:pPr>
                  <w:r>
                    <w:t>mg/kg</w:t>
                  </w:r>
                </w:p>
              </w:tc>
              <w:tc>
                <w:tcPr>
                  <w:tcW w:w="1306" w:type="pct"/>
                  <w:vAlign w:val="center"/>
                </w:tcPr>
                <w:p>
                  <w:pPr>
                    <w:pStyle w:val="169"/>
                  </w:pPr>
                  <w:r>
                    <w:t>70</w:t>
                  </w:r>
                </w:p>
              </w:tc>
              <w:tc>
                <w:tcPr>
                  <w:tcW w:w="1171" w:type="pct"/>
                  <w:vAlign w:val="center"/>
                </w:tcPr>
                <w:p>
                  <w:pPr>
                    <w:pStyle w:val="169"/>
                  </w:pPr>
                  <w:r>
                    <w:rPr>
                      <w:rFonts w:hint="eastAsia"/>
                    </w:rPr>
                    <w:t>0.09L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氰化物</w:t>
                  </w:r>
                </w:p>
              </w:tc>
              <w:tc>
                <w:tcPr>
                  <w:tcW w:w="979" w:type="pct"/>
                  <w:vAlign w:val="center"/>
                </w:tcPr>
                <w:p>
                  <w:pPr>
                    <w:pStyle w:val="169"/>
                  </w:pPr>
                  <w:r>
                    <w:t>mg/kg</w:t>
                  </w:r>
                </w:p>
              </w:tc>
              <w:tc>
                <w:tcPr>
                  <w:tcW w:w="1306" w:type="pct"/>
                  <w:vAlign w:val="center"/>
                </w:tcPr>
                <w:p>
                  <w:pPr>
                    <w:pStyle w:val="169"/>
                  </w:pPr>
                  <w:r>
                    <w:rPr>
                      <w:rFonts w:hint="eastAsia"/>
                    </w:rPr>
                    <w:t>1</w:t>
                  </w:r>
                  <w:r>
                    <w:t>35</w:t>
                  </w:r>
                </w:p>
              </w:tc>
              <w:tc>
                <w:tcPr>
                  <w:tcW w:w="1171" w:type="pct"/>
                </w:tcPr>
                <w:p>
                  <w:pPr>
                    <w:pStyle w:val="169"/>
                  </w:pPr>
                  <w:r>
                    <w:rPr>
                      <w:rFonts w:hint="eastAsia"/>
                    </w:rPr>
                    <w:t>0</w:t>
                  </w:r>
                  <w: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tcPr>
                <w:p>
                  <w:pPr>
                    <w:pStyle w:val="169"/>
                  </w:pPr>
                  <w:r>
                    <w:rPr>
                      <w:rFonts w:hint="eastAsia"/>
                    </w:rPr>
                    <w:t>0</w:t>
                  </w:r>
                  <w: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restart"/>
                  <w:vAlign w:val="center"/>
                </w:tcPr>
                <w:p>
                  <w:pPr>
                    <w:pStyle w:val="169"/>
                  </w:pPr>
                  <w:r>
                    <w:t>石油烃</w:t>
                  </w:r>
                </w:p>
                <w:p>
                  <w:pPr>
                    <w:pStyle w:val="169"/>
                  </w:pPr>
                  <w:r>
                    <w:t>（C10~C40）</w:t>
                  </w:r>
                </w:p>
              </w:tc>
              <w:tc>
                <w:tcPr>
                  <w:tcW w:w="979" w:type="pct"/>
                  <w:vAlign w:val="center"/>
                </w:tcPr>
                <w:p>
                  <w:pPr>
                    <w:pStyle w:val="169"/>
                  </w:pPr>
                  <w:r>
                    <w:t>mg/kg</w:t>
                  </w:r>
                </w:p>
              </w:tc>
              <w:tc>
                <w:tcPr>
                  <w:tcW w:w="1306" w:type="pct"/>
                  <w:vAlign w:val="center"/>
                </w:tcPr>
                <w:p>
                  <w:pPr>
                    <w:pStyle w:val="169"/>
                  </w:pPr>
                  <w:r>
                    <w:t>4500</w:t>
                  </w:r>
                </w:p>
              </w:tc>
              <w:tc>
                <w:tcPr>
                  <w:tcW w:w="1171" w:type="pct"/>
                </w:tcPr>
                <w:p>
                  <w:pPr>
                    <w:pStyle w:val="169"/>
                  </w:pPr>
                  <w:r>
                    <w:rPr>
                      <w:rFonts w:hint="eastAsia"/>
                    </w:rPr>
                    <w:t>2</w:t>
                  </w: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Merge w:val="continue"/>
                  <w:vAlign w:val="center"/>
                </w:tcPr>
                <w:p>
                  <w:pPr>
                    <w:pStyle w:val="169"/>
                  </w:pPr>
                </w:p>
              </w:tc>
              <w:tc>
                <w:tcPr>
                  <w:tcW w:w="979" w:type="pct"/>
                  <w:vAlign w:val="center"/>
                </w:tcPr>
                <w:p>
                  <w:pPr>
                    <w:pStyle w:val="169"/>
                  </w:pPr>
                  <w:r>
                    <w:t>无量纲</w:t>
                  </w:r>
                </w:p>
              </w:tc>
              <w:tc>
                <w:tcPr>
                  <w:tcW w:w="1306" w:type="pct"/>
                  <w:vAlign w:val="center"/>
                </w:tcPr>
                <w:p>
                  <w:pPr>
                    <w:pStyle w:val="169"/>
                  </w:pPr>
                  <w:r>
                    <w:t>Pi</w:t>
                  </w:r>
                </w:p>
              </w:tc>
              <w:tc>
                <w:tcPr>
                  <w:tcW w:w="1171" w:type="pct"/>
                  <w:vAlign w:val="center"/>
                </w:tcPr>
                <w:p>
                  <w:pPr>
                    <w:pStyle w:val="169"/>
                  </w:pPr>
                  <w:r>
                    <w:rPr>
                      <w:rFonts w:hint="eastAsia"/>
                    </w:rPr>
                    <w:t>0.00</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44" w:type="pct"/>
                  <w:vAlign w:val="center"/>
                </w:tcPr>
                <w:p>
                  <w:pPr>
                    <w:pStyle w:val="169"/>
                  </w:pPr>
                  <w:r>
                    <w:rPr>
                      <w:rFonts w:hint="eastAsia"/>
                    </w:rPr>
                    <w:t>备注</w:t>
                  </w:r>
                </w:p>
              </w:tc>
              <w:tc>
                <w:tcPr>
                  <w:tcW w:w="3456" w:type="pct"/>
                  <w:gridSpan w:val="3"/>
                  <w:vAlign w:val="center"/>
                </w:tcPr>
                <w:p>
                  <w:pPr>
                    <w:pStyle w:val="169"/>
                  </w:pPr>
                  <w:r>
                    <w:rPr>
                      <w:rFonts w:hint="eastAsia"/>
                    </w:rPr>
                    <w:t>带“L”的数据为未检出，检测结果以检出限加“L”表示。</w:t>
                  </w:r>
                </w:p>
              </w:tc>
            </w:tr>
          </w:tbl>
          <w:p>
            <w:pPr>
              <w:pStyle w:val="169"/>
              <w:spacing w:line="360" w:lineRule="auto"/>
            </w:pPr>
          </w:p>
          <w:p>
            <w:r>
              <w:t>根据表</w:t>
            </w:r>
            <w:r>
              <w:rPr>
                <w:rFonts w:hint="eastAsia"/>
              </w:rPr>
              <w:t>3.5-1</w:t>
            </w:r>
            <w:r>
              <w:t>可知，</w:t>
            </w:r>
            <w:r>
              <w:rPr>
                <w:rFonts w:hint="eastAsia"/>
              </w:rPr>
              <w:t>T6</w:t>
            </w:r>
            <w:r>
              <w:t>监测点位土壤中各监测因子均能满足《土壤环境质量建设用地土壤污染风险管控标准标准（试行）》（GB36600-2018） 中的第二类用地筛选值标准</w:t>
            </w:r>
            <w:r>
              <w:rPr>
                <w:rFonts w:hint="eastAsia"/>
              </w:rPr>
              <w:t>，土壤环境质量较好。</w:t>
            </w:r>
          </w:p>
          <w:p>
            <w:pPr>
              <w:pStyle w:val="4"/>
              <w:numPr>
                <w:ilvl w:val="0"/>
                <w:numId w:val="0"/>
              </w:numPr>
              <w:spacing w:before="120" w:after="120"/>
              <w:rPr>
                <w:sz w:val="28"/>
                <w:szCs w:val="28"/>
              </w:rPr>
            </w:pPr>
            <w:r>
              <w:rPr>
                <w:rFonts w:hint="eastAsia"/>
                <w:sz w:val="28"/>
                <w:szCs w:val="28"/>
              </w:rPr>
              <w:t>3.6环境保护目标</w:t>
            </w:r>
          </w:p>
          <w:p>
            <w:r>
              <w:rPr>
                <w:rFonts w:hint="eastAsia"/>
              </w:rPr>
              <w:t>结合现场调查情况，项目位于</w:t>
            </w:r>
            <w:r>
              <w:rPr>
                <w:rFonts w:hint="eastAsia"/>
                <w:bCs/>
              </w:rPr>
              <w:t>大足高新区邮亭组团</w:t>
            </w:r>
            <w:r>
              <w:rPr>
                <w:rFonts w:hint="eastAsia"/>
              </w:rPr>
              <w:t>，重庆足航钢铁有限公司厂区内，用地性质为工业用地。</w:t>
            </w:r>
          </w:p>
          <w:p>
            <w:r>
              <w:rPr>
                <w:rFonts w:hint="eastAsia"/>
              </w:rPr>
              <w:t>足航公司周边以工业企业为主，厂区北侧为巨腾电子公司，西北侧为大昶电子公司，西侧为智伦电镀园，东侧为旋力集团、福涛机械、摩尔包装、兆辉军特，南侧为足运公司、洗选厂。</w:t>
            </w:r>
          </w:p>
          <w:p>
            <w:r>
              <w:rPr>
                <w:rFonts w:hint="eastAsia"/>
              </w:rPr>
              <w:t>足航公司周边无自然保护区、风景名胜区、森林公园、重点文物保护单位及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16" w:hRule="atLeast"/>
          <w:jc w:val="center"/>
        </w:trPr>
        <w:tc>
          <w:tcPr>
            <w:tcW w:w="484" w:type="dxa"/>
            <w:tcBorders>
              <w:top w:val="single" w:color="auto" w:sz="4" w:space="0"/>
              <w:left w:val="single" w:color="auto" w:sz="8" w:space="0"/>
              <w:bottom w:val="single" w:color="auto" w:sz="8" w:space="0"/>
              <w:right w:val="single" w:color="auto" w:sz="4" w:space="0"/>
            </w:tcBorders>
            <w:tcMar>
              <w:top w:w="16" w:type="dxa"/>
              <w:left w:w="16" w:type="dxa"/>
              <w:right w:w="16" w:type="dxa"/>
            </w:tcMar>
            <w:vAlign w:val="center"/>
          </w:tcPr>
          <w:p>
            <w:pPr>
              <w:pStyle w:val="169"/>
              <w:rPr>
                <w:sz w:val="24"/>
                <w:szCs w:val="24"/>
              </w:rPr>
            </w:pPr>
            <w:r>
              <w:rPr>
                <w:rFonts w:hint="eastAsia"/>
                <w:sz w:val="24"/>
                <w:szCs w:val="24"/>
              </w:rPr>
              <w:t>区域环境质量现状</w:t>
            </w:r>
          </w:p>
        </w:tc>
        <w:tc>
          <w:tcPr>
            <w:tcW w:w="8488" w:type="dxa"/>
            <w:tcBorders>
              <w:top w:val="single" w:color="auto" w:sz="4" w:space="0"/>
              <w:left w:val="single" w:color="auto" w:sz="4" w:space="0"/>
              <w:bottom w:val="single" w:color="auto" w:sz="8" w:space="0"/>
              <w:right w:val="single" w:color="auto" w:sz="8" w:space="0"/>
            </w:tcBorders>
            <w:vAlign w:val="center"/>
          </w:tcPr>
          <w:p>
            <w:pPr>
              <w:ind w:firstLine="0" w:firstLineChars="0"/>
            </w:pPr>
            <w:r>
              <w:rPr>
                <w:rFonts w:hint="eastAsia"/>
              </w:rPr>
              <w:t>饮用水源保护区，也未发现珍稀动植物，项目主要环境保护目标为厂区周边居民点、村社、国家粮库、学校、邮亭镇区、苦水河、水库等，项目主要环境保护目标见表3.6-1。</w:t>
            </w:r>
          </w:p>
          <w:p>
            <w:pPr>
              <w:adjustRightInd w:val="0"/>
              <w:spacing w:line="240" w:lineRule="auto"/>
              <w:ind w:firstLine="420"/>
              <w:jc w:val="center"/>
              <w:rPr>
                <w:sz w:val="21"/>
                <w:szCs w:val="21"/>
              </w:rPr>
            </w:pPr>
            <w:r>
              <w:rPr>
                <w:rFonts w:hint="eastAsia"/>
                <w:sz w:val="21"/>
                <w:szCs w:val="21"/>
              </w:rPr>
              <w:t>表3.6-1   主要</w:t>
            </w:r>
            <w:r>
              <w:rPr>
                <w:sz w:val="21"/>
                <w:szCs w:val="21"/>
              </w:rPr>
              <w:t>环境保护目标分布情况一览表</w:t>
            </w:r>
          </w:p>
          <w:tbl>
            <w:tblPr>
              <w:tblStyle w:val="8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02"/>
              <w:gridCol w:w="1131"/>
              <w:gridCol w:w="805"/>
              <w:gridCol w:w="835"/>
              <w:gridCol w:w="683"/>
              <w:gridCol w:w="930"/>
              <w:gridCol w:w="1249"/>
              <w:gridCol w:w="1138"/>
              <w:gridCol w:w="12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blHeader/>
                <w:jc w:val="center"/>
              </w:trPr>
              <w:tc>
                <w:tcPr>
                  <w:tcW w:w="238" w:type="pct"/>
                  <w:vMerge w:val="restart"/>
                  <w:vAlign w:val="center"/>
                </w:tcPr>
                <w:p>
                  <w:pPr>
                    <w:pStyle w:val="3232"/>
                    <w:rPr>
                      <w:rFonts w:cs="Times New Roman"/>
                    </w:rPr>
                  </w:pPr>
                  <w:r>
                    <w:rPr>
                      <w:rFonts w:eastAsia="宋体" w:cs="Times New Roman"/>
                    </w:rPr>
                    <w:t>序号</w:t>
                  </w:r>
                </w:p>
              </w:tc>
              <w:tc>
                <w:tcPr>
                  <w:tcW w:w="669" w:type="pct"/>
                  <w:vMerge w:val="restart"/>
                  <w:vAlign w:val="center"/>
                </w:tcPr>
                <w:p>
                  <w:pPr>
                    <w:pStyle w:val="3232"/>
                    <w:rPr>
                      <w:rFonts w:cs="Times New Roman"/>
                    </w:rPr>
                  </w:pPr>
                  <w:r>
                    <w:rPr>
                      <w:rFonts w:eastAsia="宋体" w:cs="Times New Roman"/>
                    </w:rPr>
                    <w:t>敏感点</w:t>
                  </w:r>
                </w:p>
                <w:p>
                  <w:pPr>
                    <w:pStyle w:val="3232"/>
                    <w:rPr>
                      <w:rFonts w:cs="Times New Roman"/>
                    </w:rPr>
                  </w:pPr>
                  <w:r>
                    <w:rPr>
                      <w:rFonts w:eastAsia="宋体" w:cs="Times New Roman"/>
                    </w:rPr>
                    <w:t>名称</w:t>
                  </w:r>
                </w:p>
              </w:tc>
              <w:tc>
                <w:tcPr>
                  <w:tcW w:w="970" w:type="pct"/>
                  <w:gridSpan w:val="2"/>
                  <w:tcBorders>
                    <w:bottom w:val="single" w:color="auto" w:sz="4" w:space="0"/>
                  </w:tcBorders>
                  <w:vAlign w:val="center"/>
                </w:tcPr>
                <w:p>
                  <w:pPr>
                    <w:pStyle w:val="3232"/>
                    <w:rPr>
                      <w:rFonts w:cs="Times New Roman"/>
                    </w:rPr>
                  </w:pPr>
                  <w:r>
                    <w:rPr>
                      <w:rFonts w:hint="eastAsia" w:eastAsia="宋体" w:cs="Times New Roman"/>
                    </w:rPr>
                    <w:t>坐标</w:t>
                  </w:r>
                </w:p>
              </w:tc>
              <w:tc>
                <w:tcPr>
                  <w:tcW w:w="404" w:type="pct"/>
                  <w:vMerge w:val="restart"/>
                  <w:vAlign w:val="center"/>
                </w:tcPr>
                <w:p>
                  <w:pPr>
                    <w:pStyle w:val="3232"/>
                    <w:rPr>
                      <w:rFonts w:cs="Times New Roman"/>
                    </w:rPr>
                  </w:pPr>
                  <w:r>
                    <w:rPr>
                      <w:rFonts w:eastAsia="宋体" w:cs="Times New Roman"/>
                    </w:rPr>
                    <w:t>相对厂区</w:t>
                  </w:r>
                </w:p>
                <w:p>
                  <w:pPr>
                    <w:pStyle w:val="3232"/>
                    <w:rPr>
                      <w:rFonts w:cs="Times New Roman"/>
                    </w:rPr>
                  </w:pPr>
                  <w:r>
                    <w:rPr>
                      <w:rFonts w:eastAsia="宋体" w:cs="Times New Roman"/>
                    </w:rPr>
                    <w:t>方位</w:t>
                  </w:r>
                </w:p>
              </w:tc>
              <w:tc>
                <w:tcPr>
                  <w:tcW w:w="550" w:type="pct"/>
                  <w:vMerge w:val="restart"/>
                  <w:vAlign w:val="center"/>
                </w:tcPr>
                <w:p>
                  <w:pPr>
                    <w:pStyle w:val="3232"/>
                    <w:rPr>
                      <w:rFonts w:cs="Times New Roman"/>
                    </w:rPr>
                  </w:pPr>
                  <w:r>
                    <w:rPr>
                      <w:rFonts w:eastAsia="宋体" w:cs="Times New Roman"/>
                    </w:rPr>
                    <w:t>距厂界最近距离（</w:t>
                  </w:r>
                  <w:r>
                    <w:rPr>
                      <w:rFonts w:cs="Times New Roman"/>
                    </w:rPr>
                    <w:t>m</w:t>
                  </w:r>
                  <w:r>
                    <w:rPr>
                      <w:rFonts w:eastAsia="宋体" w:cs="Times New Roman"/>
                    </w:rPr>
                    <w:t>）</w:t>
                  </w:r>
                </w:p>
              </w:tc>
              <w:tc>
                <w:tcPr>
                  <w:tcW w:w="739" w:type="pct"/>
                  <w:vMerge w:val="restart"/>
                  <w:vAlign w:val="center"/>
                </w:tcPr>
                <w:p>
                  <w:pPr>
                    <w:pStyle w:val="3232"/>
                    <w:rPr>
                      <w:rFonts w:cs="Times New Roman"/>
                    </w:rPr>
                  </w:pPr>
                  <w:r>
                    <w:rPr>
                      <w:rFonts w:eastAsia="宋体" w:cs="Times New Roman"/>
                    </w:rPr>
                    <w:t>距本项目生产区最近距离（</w:t>
                  </w:r>
                  <w:r>
                    <w:rPr>
                      <w:rFonts w:cs="Times New Roman"/>
                    </w:rPr>
                    <w:t>m</w:t>
                  </w:r>
                  <w:r>
                    <w:rPr>
                      <w:rFonts w:eastAsia="宋体" w:cs="Times New Roman"/>
                    </w:rPr>
                    <w:t>）</w:t>
                  </w:r>
                </w:p>
              </w:tc>
              <w:tc>
                <w:tcPr>
                  <w:tcW w:w="673" w:type="pct"/>
                  <w:vMerge w:val="restart"/>
                  <w:vAlign w:val="center"/>
                </w:tcPr>
                <w:p>
                  <w:pPr>
                    <w:pStyle w:val="3232"/>
                    <w:rPr>
                      <w:rFonts w:cs="Times New Roman"/>
                    </w:rPr>
                  </w:pPr>
                  <w:r>
                    <w:rPr>
                      <w:rFonts w:eastAsia="宋体" w:cs="Times New Roman"/>
                    </w:rPr>
                    <w:t>备注</w:t>
                  </w:r>
                </w:p>
              </w:tc>
              <w:tc>
                <w:tcPr>
                  <w:tcW w:w="757" w:type="pct"/>
                  <w:vMerge w:val="restart"/>
                  <w:vAlign w:val="center"/>
                </w:tcPr>
                <w:p>
                  <w:pPr>
                    <w:pStyle w:val="3232"/>
                    <w:rPr>
                      <w:rFonts w:cs="Times New Roman"/>
                    </w:rPr>
                  </w:pPr>
                  <w:r>
                    <w:rPr>
                      <w:rFonts w:eastAsia="宋体" w:cs="Times New Roman"/>
                    </w:rPr>
                    <w:t>环境功能分类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238" w:type="pct"/>
                  <w:vMerge w:val="continue"/>
                  <w:vAlign w:val="center"/>
                </w:tcPr>
                <w:p>
                  <w:pPr>
                    <w:pStyle w:val="3232"/>
                    <w:rPr>
                      <w:rFonts w:eastAsia="宋体" w:cs="Times New Roman"/>
                    </w:rPr>
                  </w:pPr>
                </w:p>
              </w:tc>
              <w:tc>
                <w:tcPr>
                  <w:tcW w:w="669" w:type="pct"/>
                  <w:vMerge w:val="continue"/>
                  <w:vAlign w:val="center"/>
                </w:tcPr>
                <w:p>
                  <w:pPr>
                    <w:pStyle w:val="3232"/>
                    <w:rPr>
                      <w:rFonts w:eastAsia="宋体" w:cs="Times New Roman"/>
                    </w:rPr>
                  </w:pPr>
                </w:p>
              </w:tc>
              <w:tc>
                <w:tcPr>
                  <w:tcW w:w="476" w:type="pct"/>
                  <w:tcBorders>
                    <w:top w:val="single" w:color="auto" w:sz="4" w:space="0"/>
                    <w:right w:val="single" w:color="auto" w:sz="4" w:space="0"/>
                  </w:tcBorders>
                  <w:vAlign w:val="center"/>
                </w:tcPr>
                <w:p>
                  <w:pPr>
                    <w:pStyle w:val="3232"/>
                    <w:rPr>
                      <w:rFonts w:eastAsia="宋体" w:cs="Times New Roman"/>
                    </w:rPr>
                  </w:pPr>
                  <w:r>
                    <w:rPr>
                      <w:rFonts w:hint="eastAsia" w:eastAsia="宋体" w:cs="Times New Roman"/>
                    </w:rPr>
                    <w:t>经度</w:t>
                  </w:r>
                </w:p>
              </w:tc>
              <w:tc>
                <w:tcPr>
                  <w:tcW w:w="494" w:type="pct"/>
                  <w:tcBorders>
                    <w:top w:val="single" w:color="auto" w:sz="4" w:space="0"/>
                    <w:left w:val="single" w:color="auto" w:sz="4" w:space="0"/>
                  </w:tcBorders>
                  <w:vAlign w:val="center"/>
                </w:tcPr>
                <w:p>
                  <w:pPr>
                    <w:pStyle w:val="3232"/>
                    <w:rPr>
                      <w:rFonts w:eastAsia="宋体" w:cs="Times New Roman"/>
                    </w:rPr>
                  </w:pPr>
                  <w:r>
                    <w:rPr>
                      <w:rFonts w:hint="eastAsia" w:eastAsia="宋体" w:cs="Times New Roman"/>
                    </w:rPr>
                    <w:t>纬度</w:t>
                  </w:r>
                </w:p>
              </w:tc>
              <w:tc>
                <w:tcPr>
                  <w:tcW w:w="404" w:type="pct"/>
                  <w:vMerge w:val="continue"/>
                  <w:vAlign w:val="center"/>
                </w:tcPr>
                <w:p>
                  <w:pPr>
                    <w:pStyle w:val="3232"/>
                    <w:rPr>
                      <w:rFonts w:eastAsia="宋体" w:cs="Times New Roman"/>
                    </w:rPr>
                  </w:pPr>
                </w:p>
              </w:tc>
              <w:tc>
                <w:tcPr>
                  <w:tcW w:w="550" w:type="pct"/>
                  <w:vMerge w:val="continue"/>
                  <w:vAlign w:val="center"/>
                </w:tcPr>
                <w:p>
                  <w:pPr>
                    <w:pStyle w:val="3232"/>
                    <w:rPr>
                      <w:rFonts w:eastAsia="宋体" w:cs="Times New Roman"/>
                    </w:rPr>
                  </w:pPr>
                </w:p>
              </w:tc>
              <w:tc>
                <w:tcPr>
                  <w:tcW w:w="739" w:type="pct"/>
                  <w:vMerge w:val="continue"/>
                  <w:vAlign w:val="center"/>
                </w:tcPr>
                <w:p>
                  <w:pPr>
                    <w:pStyle w:val="3232"/>
                    <w:rPr>
                      <w:rFonts w:eastAsia="宋体" w:cs="Times New Roman"/>
                    </w:rPr>
                  </w:pPr>
                </w:p>
              </w:tc>
              <w:tc>
                <w:tcPr>
                  <w:tcW w:w="673" w:type="pct"/>
                  <w:vMerge w:val="continue"/>
                  <w:vAlign w:val="center"/>
                </w:tcPr>
                <w:p>
                  <w:pPr>
                    <w:pStyle w:val="3232"/>
                    <w:rPr>
                      <w:rFonts w:eastAsia="宋体" w:cs="Times New Roman"/>
                    </w:rPr>
                  </w:pPr>
                </w:p>
              </w:tc>
              <w:tc>
                <w:tcPr>
                  <w:tcW w:w="757" w:type="pct"/>
                  <w:vMerge w:val="continue"/>
                  <w:vAlign w:val="center"/>
                </w:tcPr>
                <w:p>
                  <w:pPr>
                    <w:pStyle w:val="3232"/>
                    <w:rPr>
                      <w:rFonts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8" w:type="pct"/>
                  <w:vAlign w:val="center"/>
                </w:tcPr>
                <w:p>
                  <w:pPr>
                    <w:pStyle w:val="3232"/>
                    <w:rPr>
                      <w:rFonts w:cs="Times New Roman"/>
                    </w:rPr>
                  </w:pPr>
                  <w:r>
                    <w:rPr>
                      <w:rFonts w:cs="Times New Roman"/>
                    </w:rPr>
                    <w:t>1</w:t>
                  </w:r>
                </w:p>
              </w:tc>
              <w:tc>
                <w:tcPr>
                  <w:tcW w:w="669" w:type="pct"/>
                  <w:vAlign w:val="center"/>
                </w:tcPr>
                <w:p>
                  <w:pPr>
                    <w:pStyle w:val="3232"/>
                    <w:rPr>
                      <w:rFonts w:cs="Times New Roman" w:eastAsiaTheme="minorEastAsia"/>
                    </w:rPr>
                  </w:pPr>
                  <w:r>
                    <w:rPr>
                      <w:rFonts w:eastAsia="宋体" w:cs="Times New Roman"/>
                    </w:rPr>
                    <w:t>东侧居民点</w:t>
                  </w:r>
                </w:p>
              </w:tc>
              <w:tc>
                <w:tcPr>
                  <w:tcW w:w="476" w:type="pct"/>
                  <w:tcBorders>
                    <w:right w:val="single" w:color="auto" w:sz="4" w:space="0"/>
                  </w:tcBorders>
                  <w:vAlign w:val="center"/>
                </w:tcPr>
                <w:p>
                  <w:pPr>
                    <w:pStyle w:val="3232"/>
                    <w:rPr>
                      <w:rFonts w:cs="Times New Roman" w:eastAsiaTheme="minorEastAsia"/>
                    </w:rPr>
                  </w:pPr>
                  <w:r>
                    <w:rPr>
                      <w:rFonts w:cs="Times New Roman" w:eastAsiaTheme="minorEastAsia"/>
                    </w:rPr>
                    <w:t>105.752</w:t>
                  </w:r>
                </w:p>
                <w:p>
                  <w:pPr>
                    <w:pStyle w:val="3232"/>
                    <w:rPr>
                      <w:rFonts w:cs="Times New Roman" w:eastAsiaTheme="minorEastAsia"/>
                    </w:rPr>
                  </w:pPr>
                  <w:r>
                    <w:rPr>
                      <w:rFonts w:cs="Times New Roman" w:eastAsiaTheme="minorEastAsia"/>
                    </w:rPr>
                    <w:t>871</w:t>
                  </w:r>
                </w:p>
              </w:tc>
              <w:tc>
                <w:tcPr>
                  <w:tcW w:w="494" w:type="pct"/>
                  <w:tcBorders>
                    <w:left w:val="single" w:color="auto" w:sz="4" w:space="0"/>
                  </w:tcBorders>
                  <w:vAlign w:val="center"/>
                </w:tcPr>
                <w:p>
                  <w:pPr>
                    <w:pStyle w:val="3232"/>
                    <w:rPr>
                      <w:rFonts w:cs="Times New Roman" w:eastAsiaTheme="minorEastAsia"/>
                    </w:rPr>
                  </w:pPr>
                  <w:r>
                    <w:rPr>
                      <w:rFonts w:cs="Times New Roman" w:eastAsiaTheme="minorEastAsia"/>
                    </w:rPr>
                    <w:t>29.442</w:t>
                  </w:r>
                </w:p>
                <w:p>
                  <w:pPr>
                    <w:pStyle w:val="3232"/>
                    <w:rPr>
                      <w:rFonts w:cs="Times New Roman" w:eastAsiaTheme="minorEastAsia"/>
                    </w:rPr>
                  </w:pPr>
                  <w:r>
                    <w:rPr>
                      <w:rFonts w:cs="Times New Roman" w:eastAsiaTheme="minorEastAsia"/>
                    </w:rPr>
                    <w:t>597</w:t>
                  </w:r>
                </w:p>
              </w:tc>
              <w:tc>
                <w:tcPr>
                  <w:tcW w:w="404" w:type="pct"/>
                  <w:vAlign w:val="center"/>
                </w:tcPr>
                <w:p>
                  <w:pPr>
                    <w:pStyle w:val="3232"/>
                    <w:rPr>
                      <w:rFonts w:cs="Times New Roman"/>
                    </w:rPr>
                  </w:pPr>
                  <w:r>
                    <w:rPr>
                      <w:rFonts w:cs="Times New Roman"/>
                    </w:rPr>
                    <w:t>E</w:t>
                  </w:r>
                </w:p>
              </w:tc>
              <w:tc>
                <w:tcPr>
                  <w:tcW w:w="550" w:type="pct"/>
                  <w:vAlign w:val="center"/>
                </w:tcPr>
                <w:p>
                  <w:pPr>
                    <w:pStyle w:val="3232"/>
                    <w:rPr>
                      <w:rFonts w:cs="Times New Roman"/>
                    </w:rPr>
                  </w:pPr>
                  <w:r>
                    <w:rPr>
                      <w:rFonts w:hint="eastAsia" w:eastAsia="宋体" w:cs="Times New Roman"/>
                    </w:rPr>
                    <w:t>100</w:t>
                  </w:r>
                </w:p>
              </w:tc>
              <w:tc>
                <w:tcPr>
                  <w:tcW w:w="739" w:type="pct"/>
                  <w:vAlign w:val="center"/>
                </w:tcPr>
                <w:p>
                  <w:pPr>
                    <w:pStyle w:val="3232"/>
                    <w:rPr>
                      <w:rFonts w:cs="Times New Roman" w:eastAsiaTheme="minorEastAsia"/>
                    </w:rPr>
                  </w:pPr>
                  <w:r>
                    <w:rPr>
                      <w:rFonts w:cs="Times New Roman" w:eastAsiaTheme="minorEastAsia"/>
                    </w:rPr>
                    <w:t>230</w:t>
                  </w:r>
                </w:p>
              </w:tc>
              <w:tc>
                <w:tcPr>
                  <w:tcW w:w="673" w:type="pct"/>
                  <w:vAlign w:val="center"/>
                </w:tcPr>
                <w:p>
                  <w:pPr>
                    <w:pStyle w:val="3232"/>
                    <w:rPr>
                      <w:rFonts w:cs="Times New Roman"/>
                    </w:rPr>
                  </w:pPr>
                  <w:r>
                    <w:rPr>
                      <w:rFonts w:eastAsia="宋体" w:cs="Times New Roman"/>
                    </w:rPr>
                    <w:t>约</w:t>
                  </w:r>
                  <w:r>
                    <w:rPr>
                      <w:rFonts w:cs="Times New Roman"/>
                    </w:rPr>
                    <w:t>7</w:t>
                  </w:r>
                  <w:r>
                    <w:rPr>
                      <w:rFonts w:eastAsia="宋体" w:cs="Times New Roman"/>
                    </w:rPr>
                    <w:t>户，</w:t>
                  </w:r>
                  <w:r>
                    <w:rPr>
                      <w:rFonts w:cs="Times New Roman"/>
                    </w:rPr>
                    <w:t>30</w:t>
                  </w:r>
                  <w:r>
                    <w:rPr>
                      <w:rFonts w:eastAsia="宋体" w:cs="Times New Roman"/>
                    </w:rPr>
                    <w:t>人</w:t>
                  </w:r>
                </w:p>
              </w:tc>
              <w:tc>
                <w:tcPr>
                  <w:tcW w:w="757" w:type="pct"/>
                  <w:vAlign w:val="center"/>
                </w:tcPr>
                <w:p>
                  <w:pPr>
                    <w:pStyle w:val="3232"/>
                    <w:rPr>
                      <w:rFonts w:cs="Times New Roman" w:eastAsiaTheme="minorEastAsia"/>
                    </w:rPr>
                  </w:pPr>
                  <w:r>
                    <w:rPr>
                      <w:rFonts w:eastAsia="宋体" w:cs="Times New Roman"/>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8" w:type="pct"/>
                  <w:vAlign w:val="center"/>
                </w:tcPr>
                <w:p>
                  <w:pPr>
                    <w:pStyle w:val="3232"/>
                    <w:rPr>
                      <w:rFonts w:cs="Times New Roman" w:eastAsiaTheme="minorEastAsia"/>
                    </w:rPr>
                  </w:pPr>
                  <w:r>
                    <w:rPr>
                      <w:rFonts w:hint="eastAsia" w:cs="Times New Roman" w:eastAsiaTheme="minorEastAsia"/>
                    </w:rPr>
                    <w:t>2</w:t>
                  </w:r>
                </w:p>
              </w:tc>
              <w:tc>
                <w:tcPr>
                  <w:tcW w:w="669" w:type="pct"/>
                  <w:vAlign w:val="center"/>
                </w:tcPr>
                <w:p>
                  <w:pPr>
                    <w:pStyle w:val="3232"/>
                    <w:rPr>
                      <w:rFonts w:cs="Times New Roman"/>
                    </w:rPr>
                  </w:pPr>
                  <w:r>
                    <w:rPr>
                      <w:rFonts w:eastAsia="宋体" w:cs="Times New Roman"/>
                    </w:rPr>
                    <w:t>安置房小区</w:t>
                  </w:r>
                </w:p>
              </w:tc>
              <w:tc>
                <w:tcPr>
                  <w:tcW w:w="476" w:type="pct"/>
                  <w:tcBorders>
                    <w:right w:val="single" w:color="auto" w:sz="4" w:space="0"/>
                  </w:tcBorders>
                  <w:vAlign w:val="center"/>
                </w:tcPr>
                <w:p>
                  <w:pPr>
                    <w:pStyle w:val="3232"/>
                    <w:rPr>
                      <w:rFonts w:cs="Times New Roman" w:eastAsiaTheme="minorEastAsia"/>
                    </w:rPr>
                  </w:pPr>
                  <w:r>
                    <w:rPr>
                      <w:rFonts w:cs="Times New Roman" w:eastAsiaTheme="minorEastAsia"/>
                    </w:rPr>
                    <w:t>105.753</w:t>
                  </w:r>
                </w:p>
                <w:p>
                  <w:pPr>
                    <w:pStyle w:val="3232"/>
                    <w:rPr>
                      <w:rFonts w:cs="Times New Roman" w:eastAsiaTheme="minorEastAsia"/>
                    </w:rPr>
                  </w:pPr>
                  <w:r>
                    <w:rPr>
                      <w:rFonts w:cs="Times New Roman" w:eastAsiaTheme="minorEastAsia"/>
                    </w:rPr>
                    <w:t>075</w:t>
                  </w:r>
                </w:p>
              </w:tc>
              <w:tc>
                <w:tcPr>
                  <w:tcW w:w="494" w:type="pct"/>
                  <w:tcBorders>
                    <w:left w:val="single" w:color="auto" w:sz="4" w:space="0"/>
                  </w:tcBorders>
                  <w:vAlign w:val="center"/>
                </w:tcPr>
                <w:p>
                  <w:pPr>
                    <w:pStyle w:val="3232"/>
                    <w:rPr>
                      <w:rFonts w:cs="Times New Roman" w:eastAsiaTheme="minorEastAsia"/>
                    </w:rPr>
                  </w:pPr>
                  <w:r>
                    <w:rPr>
                      <w:rFonts w:cs="Times New Roman" w:eastAsiaTheme="minorEastAsia"/>
                    </w:rPr>
                    <w:t>29.439</w:t>
                  </w:r>
                </w:p>
                <w:p>
                  <w:pPr>
                    <w:pStyle w:val="3232"/>
                    <w:rPr>
                      <w:rFonts w:cs="Times New Roman" w:eastAsiaTheme="minorEastAsia"/>
                    </w:rPr>
                  </w:pPr>
                  <w:r>
                    <w:rPr>
                      <w:rFonts w:cs="Times New Roman" w:eastAsiaTheme="minorEastAsia"/>
                    </w:rPr>
                    <w:t>149</w:t>
                  </w:r>
                </w:p>
              </w:tc>
              <w:tc>
                <w:tcPr>
                  <w:tcW w:w="404" w:type="pct"/>
                  <w:vAlign w:val="center"/>
                </w:tcPr>
                <w:p>
                  <w:pPr>
                    <w:pStyle w:val="3232"/>
                    <w:rPr>
                      <w:rFonts w:cs="Times New Roman"/>
                    </w:rPr>
                  </w:pPr>
                  <w:r>
                    <w:rPr>
                      <w:rFonts w:cs="Times New Roman"/>
                    </w:rPr>
                    <w:t>E</w:t>
                  </w:r>
                </w:p>
              </w:tc>
              <w:tc>
                <w:tcPr>
                  <w:tcW w:w="550" w:type="pct"/>
                  <w:vAlign w:val="center"/>
                </w:tcPr>
                <w:p>
                  <w:pPr>
                    <w:pStyle w:val="3232"/>
                    <w:rPr>
                      <w:rFonts w:cs="Times New Roman"/>
                    </w:rPr>
                  </w:pPr>
                  <w:r>
                    <w:rPr>
                      <w:rFonts w:cs="Times New Roman"/>
                    </w:rPr>
                    <w:t>220</w:t>
                  </w:r>
                </w:p>
              </w:tc>
              <w:tc>
                <w:tcPr>
                  <w:tcW w:w="739" w:type="pct"/>
                  <w:vAlign w:val="center"/>
                </w:tcPr>
                <w:p>
                  <w:pPr>
                    <w:pStyle w:val="3232"/>
                    <w:rPr>
                      <w:rFonts w:cs="Times New Roman"/>
                    </w:rPr>
                  </w:pPr>
                  <w:r>
                    <w:rPr>
                      <w:rFonts w:cs="Times New Roman"/>
                    </w:rPr>
                    <w:t>540</w:t>
                  </w:r>
                </w:p>
              </w:tc>
              <w:tc>
                <w:tcPr>
                  <w:tcW w:w="673" w:type="pct"/>
                  <w:vAlign w:val="center"/>
                </w:tcPr>
                <w:p>
                  <w:pPr>
                    <w:pStyle w:val="3232"/>
                    <w:rPr>
                      <w:rFonts w:cs="Times New Roman"/>
                    </w:rPr>
                  </w:pPr>
                  <w:r>
                    <w:rPr>
                      <w:rFonts w:eastAsia="宋体" w:cs="Times New Roman"/>
                    </w:rPr>
                    <w:t>约</w:t>
                  </w:r>
                  <w:r>
                    <w:rPr>
                      <w:rFonts w:cs="Times New Roman"/>
                    </w:rPr>
                    <w:t>1500</w:t>
                  </w:r>
                  <w:r>
                    <w:rPr>
                      <w:rFonts w:eastAsia="宋体" w:cs="Times New Roman"/>
                    </w:rPr>
                    <w:t>人</w:t>
                  </w:r>
                </w:p>
              </w:tc>
              <w:tc>
                <w:tcPr>
                  <w:tcW w:w="757" w:type="pct"/>
                  <w:vAlign w:val="center"/>
                </w:tcPr>
                <w:p>
                  <w:pPr>
                    <w:pStyle w:val="3232"/>
                    <w:rPr>
                      <w:rFonts w:cs="Times New Roman"/>
                    </w:rPr>
                  </w:pPr>
                  <w:r>
                    <w:rPr>
                      <w:rFonts w:eastAsia="宋体" w:cs="Times New Roman"/>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8" w:type="pct"/>
                  <w:vAlign w:val="center"/>
                </w:tcPr>
                <w:p>
                  <w:pPr>
                    <w:pStyle w:val="3232"/>
                    <w:rPr>
                      <w:rFonts w:cs="Times New Roman" w:eastAsiaTheme="minorEastAsia"/>
                    </w:rPr>
                  </w:pPr>
                  <w:r>
                    <w:rPr>
                      <w:rFonts w:hint="eastAsia" w:cs="Times New Roman" w:eastAsiaTheme="minorEastAsia"/>
                    </w:rPr>
                    <w:t>3</w:t>
                  </w:r>
                </w:p>
              </w:tc>
              <w:tc>
                <w:tcPr>
                  <w:tcW w:w="669" w:type="pct"/>
                  <w:vAlign w:val="center"/>
                </w:tcPr>
                <w:p>
                  <w:pPr>
                    <w:pStyle w:val="3232"/>
                    <w:rPr>
                      <w:rFonts w:cs="Times New Roman"/>
                    </w:rPr>
                  </w:pPr>
                  <w:r>
                    <w:rPr>
                      <w:rFonts w:eastAsia="宋体" w:cs="Times New Roman"/>
                    </w:rPr>
                    <w:t>国家粮库</w:t>
                  </w:r>
                </w:p>
              </w:tc>
              <w:tc>
                <w:tcPr>
                  <w:tcW w:w="476" w:type="pct"/>
                  <w:tcBorders>
                    <w:right w:val="single" w:color="auto" w:sz="4" w:space="0"/>
                  </w:tcBorders>
                  <w:vAlign w:val="center"/>
                </w:tcPr>
                <w:p>
                  <w:pPr>
                    <w:pStyle w:val="3232"/>
                    <w:rPr>
                      <w:rFonts w:cs="Times New Roman" w:eastAsiaTheme="minorEastAsia"/>
                    </w:rPr>
                  </w:pPr>
                  <w:r>
                    <w:rPr>
                      <w:rFonts w:cs="Times New Roman" w:eastAsiaTheme="minorEastAsia"/>
                    </w:rPr>
                    <w:t>105.743</w:t>
                  </w:r>
                </w:p>
                <w:p>
                  <w:pPr>
                    <w:pStyle w:val="3232"/>
                    <w:rPr>
                      <w:rFonts w:cs="Times New Roman" w:eastAsiaTheme="minorEastAsia"/>
                    </w:rPr>
                  </w:pPr>
                  <w:r>
                    <w:rPr>
                      <w:rFonts w:cs="Times New Roman" w:eastAsiaTheme="minorEastAsia"/>
                    </w:rPr>
                    <w:t>709</w:t>
                  </w:r>
                </w:p>
              </w:tc>
              <w:tc>
                <w:tcPr>
                  <w:tcW w:w="494" w:type="pct"/>
                  <w:tcBorders>
                    <w:left w:val="single" w:color="auto" w:sz="4" w:space="0"/>
                  </w:tcBorders>
                  <w:vAlign w:val="center"/>
                </w:tcPr>
                <w:p>
                  <w:pPr>
                    <w:pStyle w:val="3232"/>
                    <w:rPr>
                      <w:rFonts w:cs="Times New Roman" w:eastAsiaTheme="minorEastAsia"/>
                    </w:rPr>
                  </w:pPr>
                  <w:r>
                    <w:rPr>
                      <w:rFonts w:cs="Times New Roman" w:eastAsiaTheme="minorEastAsia"/>
                    </w:rPr>
                    <w:t>29.433</w:t>
                  </w:r>
                </w:p>
                <w:p>
                  <w:pPr>
                    <w:pStyle w:val="3232"/>
                    <w:rPr>
                      <w:rFonts w:cs="Times New Roman" w:eastAsiaTheme="minorEastAsia"/>
                    </w:rPr>
                  </w:pPr>
                  <w:r>
                    <w:rPr>
                      <w:rFonts w:cs="Times New Roman" w:eastAsiaTheme="minorEastAsia"/>
                    </w:rPr>
                    <w:t>319</w:t>
                  </w:r>
                </w:p>
              </w:tc>
              <w:tc>
                <w:tcPr>
                  <w:tcW w:w="404" w:type="pct"/>
                  <w:vAlign w:val="center"/>
                </w:tcPr>
                <w:p>
                  <w:pPr>
                    <w:pStyle w:val="3232"/>
                    <w:rPr>
                      <w:rFonts w:cs="Times New Roman"/>
                    </w:rPr>
                  </w:pPr>
                  <w:r>
                    <w:rPr>
                      <w:rFonts w:cs="Times New Roman"/>
                    </w:rPr>
                    <w:t>S</w:t>
                  </w:r>
                </w:p>
              </w:tc>
              <w:tc>
                <w:tcPr>
                  <w:tcW w:w="550" w:type="pct"/>
                  <w:vAlign w:val="center"/>
                </w:tcPr>
                <w:p>
                  <w:pPr>
                    <w:pStyle w:val="3232"/>
                    <w:rPr>
                      <w:rFonts w:cs="Times New Roman"/>
                    </w:rPr>
                  </w:pPr>
                  <w:r>
                    <w:rPr>
                      <w:rFonts w:cs="Times New Roman"/>
                    </w:rPr>
                    <w:t>400</w:t>
                  </w:r>
                </w:p>
              </w:tc>
              <w:tc>
                <w:tcPr>
                  <w:tcW w:w="739" w:type="pct"/>
                  <w:vAlign w:val="center"/>
                </w:tcPr>
                <w:p>
                  <w:pPr>
                    <w:pStyle w:val="3232"/>
                    <w:rPr>
                      <w:rFonts w:cs="Times New Roman"/>
                    </w:rPr>
                  </w:pPr>
                  <w:r>
                    <w:rPr>
                      <w:rFonts w:cs="Times New Roman"/>
                    </w:rPr>
                    <w:t>405</w:t>
                  </w:r>
                </w:p>
              </w:tc>
              <w:tc>
                <w:tcPr>
                  <w:tcW w:w="673" w:type="pct"/>
                  <w:vAlign w:val="center"/>
                </w:tcPr>
                <w:p>
                  <w:pPr>
                    <w:pStyle w:val="3232"/>
                    <w:rPr>
                      <w:rFonts w:cs="Times New Roman"/>
                    </w:rPr>
                  </w:pPr>
                  <w:r>
                    <w:rPr>
                      <w:rFonts w:eastAsia="宋体" w:cs="Times New Roman"/>
                    </w:rPr>
                    <w:t>国家战备粮库，储粮</w:t>
                  </w:r>
                  <w:r>
                    <w:rPr>
                      <w:rFonts w:cs="Times New Roman"/>
                    </w:rPr>
                    <w:t>10</w:t>
                  </w:r>
                  <w:r>
                    <w:rPr>
                      <w:rFonts w:eastAsia="宋体" w:cs="Times New Roman"/>
                    </w:rPr>
                    <w:t>万</w:t>
                  </w:r>
                  <w:r>
                    <w:rPr>
                      <w:rFonts w:cs="Times New Roman"/>
                    </w:rPr>
                    <w:t>t</w:t>
                  </w:r>
                </w:p>
              </w:tc>
              <w:tc>
                <w:tcPr>
                  <w:tcW w:w="757" w:type="pct"/>
                  <w:vAlign w:val="center"/>
                </w:tcPr>
                <w:p>
                  <w:pPr>
                    <w:pStyle w:val="3232"/>
                    <w:rPr>
                      <w:rFonts w:cs="Times New Roman"/>
                    </w:rPr>
                  </w:pPr>
                  <w:r>
                    <w:rPr>
                      <w:rFonts w:eastAsia="宋体" w:cs="Times New Roman"/>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8" w:type="pct"/>
                  <w:vAlign w:val="center"/>
                </w:tcPr>
                <w:p>
                  <w:pPr>
                    <w:pStyle w:val="3232"/>
                    <w:rPr>
                      <w:rFonts w:cs="Times New Roman" w:eastAsiaTheme="minorEastAsia"/>
                    </w:rPr>
                  </w:pPr>
                  <w:r>
                    <w:rPr>
                      <w:rFonts w:hint="eastAsia" w:cs="Times New Roman" w:eastAsiaTheme="minorEastAsia"/>
                    </w:rPr>
                    <w:t>4</w:t>
                  </w:r>
                </w:p>
              </w:tc>
              <w:tc>
                <w:tcPr>
                  <w:tcW w:w="669" w:type="pct"/>
                  <w:vAlign w:val="center"/>
                </w:tcPr>
                <w:p>
                  <w:pPr>
                    <w:pStyle w:val="3232"/>
                    <w:rPr>
                      <w:rFonts w:cs="Times New Roman"/>
                    </w:rPr>
                  </w:pPr>
                  <w:r>
                    <w:rPr>
                      <w:rFonts w:eastAsia="宋体" w:cs="Times New Roman"/>
                    </w:rPr>
                    <w:t>红林村</w:t>
                  </w:r>
                </w:p>
              </w:tc>
              <w:tc>
                <w:tcPr>
                  <w:tcW w:w="476" w:type="pct"/>
                  <w:tcBorders>
                    <w:right w:val="single" w:color="auto" w:sz="4" w:space="0"/>
                  </w:tcBorders>
                  <w:vAlign w:val="center"/>
                </w:tcPr>
                <w:p>
                  <w:pPr>
                    <w:pStyle w:val="3232"/>
                    <w:rPr>
                      <w:rFonts w:cs="Times New Roman" w:eastAsiaTheme="minorEastAsia"/>
                    </w:rPr>
                  </w:pPr>
                  <w:r>
                    <w:rPr>
                      <w:rFonts w:cs="Times New Roman" w:eastAsiaTheme="minorEastAsia"/>
                    </w:rPr>
                    <w:t>105.754</w:t>
                  </w:r>
                </w:p>
                <w:p>
                  <w:pPr>
                    <w:pStyle w:val="3232"/>
                    <w:rPr>
                      <w:rFonts w:cs="Times New Roman" w:eastAsiaTheme="minorEastAsia"/>
                    </w:rPr>
                  </w:pPr>
                  <w:r>
                    <w:rPr>
                      <w:rFonts w:cs="Times New Roman" w:eastAsiaTheme="minorEastAsia"/>
                    </w:rPr>
                    <w:t>952</w:t>
                  </w:r>
                </w:p>
              </w:tc>
              <w:tc>
                <w:tcPr>
                  <w:tcW w:w="494" w:type="pct"/>
                  <w:tcBorders>
                    <w:left w:val="single" w:color="auto" w:sz="4" w:space="0"/>
                  </w:tcBorders>
                  <w:vAlign w:val="center"/>
                </w:tcPr>
                <w:p>
                  <w:pPr>
                    <w:pStyle w:val="3232"/>
                    <w:rPr>
                      <w:rFonts w:cs="Times New Roman" w:eastAsiaTheme="minorEastAsia"/>
                    </w:rPr>
                  </w:pPr>
                  <w:r>
                    <w:rPr>
                      <w:rFonts w:cs="Times New Roman" w:eastAsiaTheme="minorEastAsia"/>
                    </w:rPr>
                    <w:t>29.451</w:t>
                  </w:r>
                </w:p>
                <w:p>
                  <w:pPr>
                    <w:pStyle w:val="3232"/>
                    <w:rPr>
                      <w:rFonts w:cs="Times New Roman" w:eastAsiaTheme="minorEastAsia"/>
                    </w:rPr>
                  </w:pPr>
                  <w:r>
                    <w:rPr>
                      <w:rFonts w:cs="Times New Roman" w:eastAsiaTheme="minorEastAsia"/>
                    </w:rPr>
                    <w:t>743</w:t>
                  </w:r>
                </w:p>
              </w:tc>
              <w:tc>
                <w:tcPr>
                  <w:tcW w:w="404" w:type="pct"/>
                  <w:vAlign w:val="center"/>
                </w:tcPr>
                <w:p>
                  <w:pPr>
                    <w:pStyle w:val="3232"/>
                    <w:rPr>
                      <w:rFonts w:cs="Times New Roman"/>
                    </w:rPr>
                  </w:pPr>
                  <w:r>
                    <w:rPr>
                      <w:rFonts w:cs="Times New Roman"/>
                    </w:rPr>
                    <w:t>NE</w:t>
                  </w:r>
                </w:p>
              </w:tc>
              <w:tc>
                <w:tcPr>
                  <w:tcW w:w="550" w:type="pct"/>
                  <w:vAlign w:val="center"/>
                </w:tcPr>
                <w:p>
                  <w:pPr>
                    <w:pStyle w:val="3232"/>
                    <w:rPr>
                      <w:rFonts w:cs="Times New Roman"/>
                    </w:rPr>
                  </w:pPr>
                  <w:r>
                    <w:rPr>
                      <w:rFonts w:cs="Times New Roman"/>
                    </w:rPr>
                    <w:t>910</w:t>
                  </w:r>
                </w:p>
              </w:tc>
              <w:tc>
                <w:tcPr>
                  <w:tcW w:w="739" w:type="pct"/>
                  <w:vAlign w:val="center"/>
                </w:tcPr>
                <w:p>
                  <w:pPr>
                    <w:pStyle w:val="3232"/>
                    <w:rPr>
                      <w:rFonts w:cs="Times New Roman"/>
                    </w:rPr>
                  </w:pPr>
                  <w:r>
                    <w:rPr>
                      <w:rFonts w:cs="Times New Roman"/>
                    </w:rPr>
                    <w:t>920</w:t>
                  </w:r>
                </w:p>
              </w:tc>
              <w:tc>
                <w:tcPr>
                  <w:tcW w:w="673" w:type="pct"/>
                  <w:vAlign w:val="center"/>
                </w:tcPr>
                <w:p>
                  <w:pPr>
                    <w:pStyle w:val="3232"/>
                    <w:rPr>
                      <w:rFonts w:cs="Times New Roman"/>
                    </w:rPr>
                  </w:pPr>
                  <w:r>
                    <w:rPr>
                      <w:rFonts w:eastAsia="宋体" w:cs="Times New Roman"/>
                    </w:rPr>
                    <w:t>约</w:t>
                  </w:r>
                  <w:r>
                    <w:rPr>
                      <w:rFonts w:cs="Times New Roman"/>
                    </w:rPr>
                    <w:t>1000</w:t>
                  </w:r>
                  <w:r>
                    <w:rPr>
                      <w:rFonts w:eastAsia="宋体" w:cs="Times New Roman"/>
                    </w:rPr>
                    <w:t>人</w:t>
                  </w:r>
                </w:p>
              </w:tc>
              <w:tc>
                <w:tcPr>
                  <w:tcW w:w="757" w:type="pct"/>
                  <w:vAlign w:val="center"/>
                </w:tcPr>
                <w:p>
                  <w:pPr>
                    <w:pStyle w:val="3232"/>
                    <w:rPr>
                      <w:rFonts w:cs="Times New Roman"/>
                    </w:rPr>
                  </w:pPr>
                  <w:r>
                    <w:rPr>
                      <w:rFonts w:eastAsia="宋体" w:cs="Times New Roman"/>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8" w:type="pct"/>
                  <w:vAlign w:val="center"/>
                </w:tcPr>
                <w:p>
                  <w:pPr>
                    <w:pStyle w:val="3232"/>
                    <w:rPr>
                      <w:rFonts w:cs="Times New Roman" w:eastAsiaTheme="minorEastAsia"/>
                    </w:rPr>
                  </w:pPr>
                  <w:r>
                    <w:rPr>
                      <w:rFonts w:hint="eastAsia" w:cs="Times New Roman" w:eastAsiaTheme="minorEastAsia"/>
                    </w:rPr>
                    <w:t>5</w:t>
                  </w:r>
                </w:p>
              </w:tc>
              <w:tc>
                <w:tcPr>
                  <w:tcW w:w="669" w:type="pct"/>
                  <w:vAlign w:val="center"/>
                </w:tcPr>
                <w:p>
                  <w:pPr>
                    <w:pStyle w:val="3232"/>
                    <w:rPr>
                      <w:rFonts w:cs="Times New Roman"/>
                    </w:rPr>
                  </w:pPr>
                  <w:r>
                    <w:rPr>
                      <w:rFonts w:eastAsia="宋体" w:cs="Times New Roman"/>
                    </w:rPr>
                    <w:t>石盘村</w:t>
                  </w:r>
                </w:p>
              </w:tc>
              <w:tc>
                <w:tcPr>
                  <w:tcW w:w="476" w:type="pct"/>
                  <w:tcBorders>
                    <w:right w:val="single" w:color="auto" w:sz="4" w:space="0"/>
                  </w:tcBorders>
                  <w:vAlign w:val="center"/>
                </w:tcPr>
                <w:p>
                  <w:pPr>
                    <w:pStyle w:val="3232"/>
                    <w:rPr>
                      <w:rFonts w:cs="Times New Roman" w:eastAsiaTheme="minorEastAsia"/>
                    </w:rPr>
                  </w:pPr>
                  <w:r>
                    <w:rPr>
                      <w:rFonts w:cs="Times New Roman" w:eastAsiaTheme="minorEastAsia"/>
                    </w:rPr>
                    <w:t>105.728</w:t>
                  </w:r>
                </w:p>
                <w:p>
                  <w:pPr>
                    <w:pStyle w:val="3232"/>
                    <w:rPr>
                      <w:rFonts w:cs="Times New Roman" w:eastAsiaTheme="minorEastAsia"/>
                    </w:rPr>
                  </w:pPr>
                  <w:r>
                    <w:rPr>
                      <w:rFonts w:cs="Times New Roman" w:eastAsiaTheme="minorEastAsia"/>
                    </w:rPr>
                    <w:t>173</w:t>
                  </w:r>
                </w:p>
              </w:tc>
              <w:tc>
                <w:tcPr>
                  <w:tcW w:w="494" w:type="pct"/>
                  <w:tcBorders>
                    <w:left w:val="single" w:color="auto" w:sz="4" w:space="0"/>
                  </w:tcBorders>
                  <w:vAlign w:val="center"/>
                </w:tcPr>
                <w:p>
                  <w:pPr>
                    <w:pStyle w:val="3232"/>
                    <w:rPr>
                      <w:rFonts w:cs="Times New Roman" w:eastAsiaTheme="minorEastAsia"/>
                    </w:rPr>
                  </w:pPr>
                  <w:r>
                    <w:rPr>
                      <w:rFonts w:cs="Times New Roman" w:eastAsiaTheme="minorEastAsia"/>
                    </w:rPr>
                    <w:t>29.437</w:t>
                  </w:r>
                </w:p>
                <w:p>
                  <w:pPr>
                    <w:pStyle w:val="3232"/>
                    <w:rPr>
                      <w:rFonts w:cs="Times New Roman" w:eastAsiaTheme="minorEastAsia"/>
                    </w:rPr>
                  </w:pPr>
                  <w:r>
                    <w:rPr>
                      <w:rFonts w:cs="Times New Roman" w:eastAsiaTheme="minorEastAsia"/>
                    </w:rPr>
                    <w:t>878</w:t>
                  </w:r>
                </w:p>
              </w:tc>
              <w:tc>
                <w:tcPr>
                  <w:tcW w:w="404" w:type="pct"/>
                  <w:vAlign w:val="center"/>
                </w:tcPr>
                <w:p>
                  <w:pPr>
                    <w:pStyle w:val="3232"/>
                    <w:rPr>
                      <w:rFonts w:cs="Times New Roman"/>
                    </w:rPr>
                  </w:pPr>
                  <w:r>
                    <w:rPr>
                      <w:rFonts w:cs="Times New Roman"/>
                    </w:rPr>
                    <w:t>W</w:t>
                  </w:r>
                </w:p>
              </w:tc>
              <w:tc>
                <w:tcPr>
                  <w:tcW w:w="550" w:type="pct"/>
                  <w:vAlign w:val="center"/>
                </w:tcPr>
                <w:p>
                  <w:pPr>
                    <w:pStyle w:val="3232"/>
                    <w:rPr>
                      <w:rFonts w:cs="Times New Roman"/>
                    </w:rPr>
                  </w:pPr>
                  <w:r>
                    <w:rPr>
                      <w:rFonts w:cs="Times New Roman"/>
                    </w:rPr>
                    <w:t>390</w:t>
                  </w:r>
                </w:p>
              </w:tc>
              <w:tc>
                <w:tcPr>
                  <w:tcW w:w="739" w:type="pct"/>
                  <w:vAlign w:val="center"/>
                </w:tcPr>
                <w:p>
                  <w:pPr>
                    <w:pStyle w:val="3232"/>
                    <w:rPr>
                      <w:rFonts w:cs="Times New Roman"/>
                    </w:rPr>
                  </w:pPr>
                  <w:r>
                    <w:rPr>
                      <w:rFonts w:cs="Times New Roman"/>
                    </w:rPr>
                    <w:t>390</w:t>
                  </w:r>
                </w:p>
              </w:tc>
              <w:tc>
                <w:tcPr>
                  <w:tcW w:w="673" w:type="pct"/>
                  <w:vAlign w:val="center"/>
                </w:tcPr>
                <w:p>
                  <w:pPr>
                    <w:pStyle w:val="3232"/>
                    <w:rPr>
                      <w:rFonts w:cs="Times New Roman"/>
                    </w:rPr>
                  </w:pPr>
                  <w:r>
                    <w:rPr>
                      <w:rFonts w:eastAsia="宋体" w:cs="Times New Roman"/>
                    </w:rPr>
                    <w:t>约</w:t>
                  </w:r>
                  <w:r>
                    <w:rPr>
                      <w:rFonts w:cs="Times New Roman"/>
                    </w:rPr>
                    <w:t>800</w:t>
                  </w:r>
                  <w:r>
                    <w:rPr>
                      <w:rFonts w:eastAsia="宋体" w:cs="Times New Roman"/>
                    </w:rPr>
                    <w:t>人</w:t>
                  </w:r>
                </w:p>
              </w:tc>
              <w:tc>
                <w:tcPr>
                  <w:tcW w:w="757" w:type="pct"/>
                  <w:vAlign w:val="center"/>
                </w:tcPr>
                <w:p>
                  <w:pPr>
                    <w:pStyle w:val="3232"/>
                    <w:rPr>
                      <w:rFonts w:cs="Times New Roman"/>
                    </w:rPr>
                  </w:pPr>
                  <w:r>
                    <w:rPr>
                      <w:rFonts w:eastAsia="宋体" w:cs="Times New Roman"/>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8" w:type="pct"/>
                  <w:vAlign w:val="center"/>
                </w:tcPr>
                <w:p>
                  <w:pPr>
                    <w:pStyle w:val="3232"/>
                    <w:rPr>
                      <w:rFonts w:cs="Times New Roman" w:eastAsiaTheme="minorEastAsia"/>
                    </w:rPr>
                  </w:pPr>
                  <w:r>
                    <w:rPr>
                      <w:rFonts w:hint="eastAsia" w:cs="Times New Roman" w:eastAsiaTheme="minorEastAsia"/>
                    </w:rPr>
                    <w:t>6</w:t>
                  </w:r>
                </w:p>
              </w:tc>
              <w:tc>
                <w:tcPr>
                  <w:tcW w:w="669" w:type="pct"/>
                  <w:tcBorders>
                    <w:bottom w:val="single" w:color="auto" w:sz="4" w:space="0"/>
                  </w:tcBorders>
                  <w:vAlign w:val="center"/>
                </w:tcPr>
                <w:p>
                  <w:pPr>
                    <w:pStyle w:val="3232"/>
                    <w:rPr>
                      <w:rFonts w:cs="Times New Roman"/>
                    </w:rPr>
                  </w:pPr>
                  <w:r>
                    <w:rPr>
                      <w:rFonts w:eastAsia="宋体" w:cs="Times New Roman"/>
                    </w:rPr>
                    <w:t>邮亭新镇区</w:t>
                  </w:r>
                </w:p>
              </w:tc>
              <w:tc>
                <w:tcPr>
                  <w:tcW w:w="476" w:type="pct"/>
                  <w:tcBorders>
                    <w:bottom w:val="single" w:color="auto" w:sz="4" w:space="0"/>
                    <w:right w:val="single" w:color="auto" w:sz="4" w:space="0"/>
                  </w:tcBorders>
                  <w:vAlign w:val="center"/>
                </w:tcPr>
                <w:p>
                  <w:pPr>
                    <w:pStyle w:val="3232"/>
                    <w:rPr>
                      <w:rFonts w:cs="Times New Roman" w:eastAsiaTheme="minorEastAsia"/>
                    </w:rPr>
                  </w:pPr>
                  <w:r>
                    <w:rPr>
                      <w:rFonts w:cs="Times New Roman" w:eastAsiaTheme="minorEastAsia"/>
                    </w:rPr>
                    <w:t>105.743</w:t>
                  </w:r>
                </w:p>
                <w:p>
                  <w:pPr>
                    <w:pStyle w:val="3232"/>
                    <w:rPr>
                      <w:rFonts w:cs="Times New Roman" w:eastAsiaTheme="minorEastAsia"/>
                    </w:rPr>
                  </w:pPr>
                  <w:r>
                    <w:rPr>
                      <w:rFonts w:cs="Times New Roman" w:eastAsiaTheme="minorEastAsia"/>
                    </w:rPr>
                    <w:t>215</w:t>
                  </w:r>
                </w:p>
              </w:tc>
              <w:tc>
                <w:tcPr>
                  <w:tcW w:w="494" w:type="pct"/>
                  <w:tcBorders>
                    <w:left w:val="single" w:color="auto" w:sz="4" w:space="0"/>
                    <w:bottom w:val="single" w:color="auto" w:sz="4" w:space="0"/>
                  </w:tcBorders>
                  <w:vAlign w:val="center"/>
                </w:tcPr>
                <w:p>
                  <w:pPr>
                    <w:pStyle w:val="3232"/>
                    <w:rPr>
                      <w:rFonts w:cs="Times New Roman" w:eastAsiaTheme="minorEastAsia"/>
                    </w:rPr>
                  </w:pPr>
                  <w:r>
                    <w:rPr>
                      <w:rFonts w:cs="Times New Roman" w:eastAsiaTheme="minorEastAsia"/>
                    </w:rPr>
                    <w:t>29.427</w:t>
                  </w:r>
                </w:p>
                <w:p>
                  <w:pPr>
                    <w:pStyle w:val="3232"/>
                    <w:rPr>
                      <w:rFonts w:cs="Times New Roman" w:eastAsiaTheme="minorEastAsia"/>
                    </w:rPr>
                  </w:pPr>
                  <w:r>
                    <w:rPr>
                      <w:rFonts w:cs="Times New Roman" w:eastAsiaTheme="minorEastAsia"/>
                    </w:rPr>
                    <w:t>824</w:t>
                  </w:r>
                </w:p>
              </w:tc>
              <w:tc>
                <w:tcPr>
                  <w:tcW w:w="404" w:type="pct"/>
                  <w:vAlign w:val="center"/>
                </w:tcPr>
                <w:p>
                  <w:pPr>
                    <w:pStyle w:val="3232"/>
                    <w:rPr>
                      <w:rFonts w:cs="Times New Roman"/>
                    </w:rPr>
                  </w:pPr>
                  <w:r>
                    <w:rPr>
                      <w:rFonts w:cs="Times New Roman"/>
                    </w:rPr>
                    <w:t>S</w:t>
                  </w:r>
                </w:p>
              </w:tc>
              <w:tc>
                <w:tcPr>
                  <w:tcW w:w="550" w:type="pct"/>
                  <w:vAlign w:val="center"/>
                </w:tcPr>
                <w:p>
                  <w:pPr>
                    <w:pStyle w:val="3232"/>
                    <w:rPr>
                      <w:rFonts w:cs="Times New Roman"/>
                    </w:rPr>
                  </w:pPr>
                  <w:r>
                    <w:rPr>
                      <w:rFonts w:cs="Times New Roman"/>
                    </w:rPr>
                    <w:t>780</w:t>
                  </w:r>
                </w:p>
              </w:tc>
              <w:tc>
                <w:tcPr>
                  <w:tcW w:w="739" w:type="pct"/>
                  <w:vAlign w:val="center"/>
                </w:tcPr>
                <w:p>
                  <w:pPr>
                    <w:pStyle w:val="3232"/>
                    <w:rPr>
                      <w:rFonts w:cs="Times New Roman" w:eastAsiaTheme="minorEastAsia"/>
                    </w:rPr>
                  </w:pPr>
                  <w:r>
                    <w:rPr>
                      <w:rFonts w:cs="Times New Roman"/>
                    </w:rPr>
                    <w:t>780</w:t>
                  </w:r>
                </w:p>
              </w:tc>
              <w:tc>
                <w:tcPr>
                  <w:tcW w:w="673" w:type="pct"/>
                  <w:vMerge w:val="restart"/>
                  <w:vAlign w:val="center"/>
                </w:tcPr>
                <w:p>
                  <w:pPr>
                    <w:pStyle w:val="3232"/>
                    <w:rPr>
                      <w:rFonts w:cs="Times New Roman"/>
                    </w:rPr>
                  </w:pPr>
                  <w:r>
                    <w:rPr>
                      <w:rFonts w:eastAsia="宋体" w:cs="Times New Roman"/>
                    </w:rPr>
                    <w:t>邮亭镇人口密集区，约</w:t>
                  </w:r>
                  <w:r>
                    <w:rPr>
                      <w:rFonts w:cs="Times New Roman"/>
                    </w:rPr>
                    <w:t>20000</w:t>
                  </w:r>
                  <w:r>
                    <w:rPr>
                      <w:rFonts w:eastAsia="宋体" w:cs="Times New Roman"/>
                    </w:rPr>
                    <w:t>人</w:t>
                  </w:r>
                </w:p>
              </w:tc>
              <w:tc>
                <w:tcPr>
                  <w:tcW w:w="757" w:type="pct"/>
                  <w:vAlign w:val="center"/>
                </w:tcPr>
                <w:p>
                  <w:pPr>
                    <w:pStyle w:val="3232"/>
                    <w:rPr>
                      <w:rFonts w:cs="Times New Roman"/>
                    </w:rPr>
                  </w:pPr>
                  <w:r>
                    <w:rPr>
                      <w:rFonts w:eastAsia="宋体" w:cs="Times New Roman"/>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8" w:type="pct"/>
                  <w:vAlign w:val="center"/>
                </w:tcPr>
                <w:p>
                  <w:pPr>
                    <w:pStyle w:val="3232"/>
                    <w:rPr>
                      <w:rFonts w:cs="Times New Roman" w:eastAsiaTheme="minorEastAsia"/>
                    </w:rPr>
                  </w:pPr>
                  <w:r>
                    <w:rPr>
                      <w:rFonts w:hint="eastAsia" w:cs="Times New Roman" w:eastAsiaTheme="minorEastAsia"/>
                    </w:rPr>
                    <w:t>7</w:t>
                  </w:r>
                </w:p>
              </w:tc>
              <w:tc>
                <w:tcPr>
                  <w:tcW w:w="669" w:type="pct"/>
                  <w:tcBorders>
                    <w:top w:val="single" w:color="auto" w:sz="4" w:space="0"/>
                  </w:tcBorders>
                  <w:vAlign w:val="center"/>
                </w:tcPr>
                <w:p>
                  <w:pPr>
                    <w:pStyle w:val="3232"/>
                    <w:rPr>
                      <w:rFonts w:cs="Times New Roman"/>
                    </w:rPr>
                  </w:pPr>
                  <w:r>
                    <w:rPr>
                      <w:rFonts w:eastAsia="宋体" w:cs="Times New Roman"/>
                    </w:rPr>
                    <w:t>邮亭镇老街</w:t>
                  </w:r>
                </w:p>
              </w:tc>
              <w:tc>
                <w:tcPr>
                  <w:tcW w:w="476" w:type="pct"/>
                  <w:tcBorders>
                    <w:top w:val="single" w:color="auto" w:sz="4" w:space="0"/>
                    <w:right w:val="single" w:color="auto" w:sz="4" w:space="0"/>
                  </w:tcBorders>
                  <w:vAlign w:val="center"/>
                </w:tcPr>
                <w:p>
                  <w:pPr>
                    <w:pStyle w:val="3232"/>
                    <w:rPr>
                      <w:rFonts w:cs="Times New Roman" w:eastAsiaTheme="minorEastAsia"/>
                    </w:rPr>
                  </w:pPr>
                  <w:r>
                    <w:rPr>
                      <w:rFonts w:cs="Times New Roman"/>
                    </w:rPr>
                    <w:t>105.755</w:t>
                  </w:r>
                </w:p>
                <w:p>
                  <w:pPr>
                    <w:pStyle w:val="3232"/>
                    <w:rPr>
                      <w:rFonts w:cs="Times New Roman"/>
                    </w:rPr>
                  </w:pPr>
                  <w:r>
                    <w:rPr>
                      <w:rFonts w:cs="Times New Roman"/>
                    </w:rPr>
                    <w:t>575</w:t>
                  </w:r>
                </w:p>
              </w:tc>
              <w:tc>
                <w:tcPr>
                  <w:tcW w:w="494" w:type="pct"/>
                  <w:tcBorders>
                    <w:top w:val="single" w:color="auto" w:sz="4" w:space="0"/>
                    <w:left w:val="single" w:color="auto" w:sz="4" w:space="0"/>
                  </w:tcBorders>
                  <w:vAlign w:val="center"/>
                </w:tcPr>
                <w:p>
                  <w:pPr>
                    <w:pStyle w:val="3232"/>
                    <w:rPr>
                      <w:rFonts w:cs="Times New Roman" w:eastAsiaTheme="minorEastAsia"/>
                    </w:rPr>
                  </w:pPr>
                  <w:r>
                    <w:rPr>
                      <w:rFonts w:cs="Times New Roman"/>
                    </w:rPr>
                    <w:t>29.432</w:t>
                  </w:r>
                </w:p>
                <w:p>
                  <w:pPr>
                    <w:pStyle w:val="3232"/>
                    <w:rPr>
                      <w:rFonts w:cs="Times New Roman"/>
                    </w:rPr>
                  </w:pPr>
                  <w:r>
                    <w:rPr>
                      <w:rFonts w:cs="Times New Roman"/>
                    </w:rPr>
                    <w:t>422</w:t>
                  </w:r>
                </w:p>
              </w:tc>
              <w:tc>
                <w:tcPr>
                  <w:tcW w:w="404" w:type="pct"/>
                  <w:vAlign w:val="center"/>
                </w:tcPr>
                <w:p>
                  <w:pPr>
                    <w:pStyle w:val="3232"/>
                    <w:rPr>
                      <w:rFonts w:cs="Times New Roman"/>
                    </w:rPr>
                  </w:pPr>
                  <w:r>
                    <w:rPr>
                      <w:rFonts w:cs="Times New Roman"/>
                    </w:rPr>
                    <w:t>S</w:t>
                  </w:r>
                </w:p>
              </w:tc>
              <w:tc>
                <w:tcPr>
                  <w:tcW w:w="550" w:type="pct"/>
                  <w:vAlign w:val="center"/>
                </w:tcPr>
                <w:p>
                  <w:pPr>
                    <w:pStyle w:val="3232"/>
                    <w:rPr>
                      <w:rFonts w:cs="Times New Roman" w:eastAsiaTheme="minorEastAsia"/>
                    </w:rPr>
                  </w:pPr>
                  <w:r>
                    <w:rPr>
                      <w:rFonts w:cs="Times New Roman"/>
                    </w:rPr>
                    <w:t>910</w:t>
                  </w:r>
                </w:p>
              </w:tc>
              <w:tc>
                <w:tcPr>
                  <w:tcW w:w="739" w:type="pct"/>
                  <w:vAlign w:val="center"/>
                </w:tcPr>
                <w:p>
                  <w:pPr>
                    <w:pStyle w:val="3232"/>
                    <w:rPr>
                      <w:rFonts w:cs="Times New Roman" w:eastAsiaTheme="minorEastAsia"/>
                    </w:rPr>
                  </w:pPr>
                  <w:r>
                    <w:rPr>
                      <w:rFonts w:cs="Times New Roman"/>
                    </w:rPr>
                    <w:t>910</w:t>
                  </w:r>
                </w:p>
              </w:tc>
              <w:tc>
                <w:tcPr>
                  <w:tcW w:w="673" w:type="pct"/>
                  <w:vMerge w:val="continue"/>
                  <w:vAlign w:val="center"/>
                </w:tcPr>
                <w:p>
                  <w:pPr>
                    <w:pStyle w:val="3232"/>
                    <w:rPr>
                      <w:rFonts w:cs="Times New Roman"/>
                    </w:rPr>
                  </w:pPr>
                </w:p>
              </w:tc>
              <w:tc>
                <w:tcPr>
                  <w:tcW w:w="757" w:type="pct"/>
                  <w:vAlign w:val="center"/>
                </w:tcPr>
                <w:p>
                  <w:pPr>
                    <w:pStyle w:val="3232"/>
                    <w:rPr>
                      <w:rFonts w:cs="Times New Roman"/>
                    </w:rPr>
                  </w:pPr>
                  <w:r>
                    <w:rPr>
                      <w:rFonts w:eastAsia="宋体" w:cs="Times New Roman"/>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8" w:type="pct"/>
                  <w:vAlign w:val="center"/>
                </w:tcPr>
                <w:p>
                  <w:pPr>
                    <w:pStyle w:val="3232"/>
                    <w:rPr>
                      <w:rFonts w:cs="Times New Roman" w:eastAsiaTheme="minorEastAsia"/>
                    </w:rPr>
                  </w:pPr>
                  <w:r>
                    <w:rPr>
                      <w:rFonts w:hint="eastAsia" w:cs="Times New Roman" w:eastAsiaTheme="minorEastAsia"/>
                    </w:rPr>
                    <w:t>8</w:t>
                  </w:r>
                </w:p>
              </w:tc>
              <w:tc>
                <w:tcPr>
                  <w:tcW w:w="669" w:type="pct"/>
                  <w:vAlign w:val="center"/>
                </w:tcPr>
                <w:p>
                  <w:pPr>
                    <w:pStyle w:val="3232"/>
                    <w:rPr>
                      <w:rFonts w:cs="Times New Roman"/>
                    </w:rPr>
                  </w:pPr>
                  <w:r>
                    <w:rPr>
                      <w:rFonts w:eastAsia="宋体" w:cs="Times New Roman"/>
                    </w:rPr>
                    <w:t>邮亭中心校</w:t>
                  </w:r>
                </w:p>
              </w:tc>
              <w:tc>
                <w:tcPr>
                  <w:tcW w:w="476" w:type="pct"/>
                  <w:tcBorders>
                    <w:right w:val="single" w:color="auto" w:sz="4" w:space="0"/>
                  </w:tcBorders>
                  <w:vAlign w:val="center"/>
                </w:tcPr>
                <w:p>
                  <w:pPr>
                    <w:pStyle w:val="3232"/>
                    <w:rPr>
                      <w:rFonts w:cs="Times New Roman" w:eastAsiaTheme="minorEastAsia"/>
                    </w:rPr>
                  </w:pPr>
                  <w:r>
                    <w:rPr>
                      <w:rFonts w:cs="Times New Roman" w:eastAsiaTheme="minorEastAsia"/>
                    </w:rPr>
                    <w:t>105.738</w:t>
                  </w:r>
                </w:p>
                <w:p>
                  <w:pPr>
                    <w:pStyle w:val="3232"/>
                    <w:rPr>
                      <w:rFonts w:cs="Times New Roman" w:eastAsiaTheme="minorEastAsia"/>
                    </w:rPr>
                  </w:pPr>
                  <w:r>
                    <w:rPr>
                      <w:rFonts w:cs="Times New Roman" w:eastAsiaTheme="minorEastAsia"/>
                    </w:rPr>
                    <w:t>500</w:t>
                  </w:r>
                </w:p>
              </w:tc>
              <w:tc>
                <w:tcPr>
                  <w:tcW w:w="494" w:type="pct"/>
                  <w:tcBorders>
                    <w:left w:val="single" w:color="auto" w:sz="4" w:space="0"/>
                  </w:tcBorders>
                  <w:vAlign w:val="center"/>
                </w:tcPr>
                <w:p>
                  <w:pPr>
                    <w:pStyle w:val="3232"/>
                    <w:rPr>
                      <w:rFonts w:cs="Times New Roman" w:eastAsiaTheme="minorEastAsia"/>
                    </w:rPr>
                  </w:pPr>
                  <w:r>
                    <w:rPr>
                      <w:rFonts w:cs="Times New Roman" w:eastAsiaTheme="minorEastAsia"/>
                    </w:rPr>
                    <w:t>29.425</w:t>
                  </w:r>
                </w:p>
                <w:p>
                  <w:pPr>
                    <w:pStyle w:val="3232"/>
                    <w:rPr>
                      <w:rFonts w:cs="Times New Roman" w:eastAsiaTheme="minorEastAsia"/>
                    </w:rPr>
                  </w:pPr>
                  <w:r>
                    <w:rPr>
                      <w:rFonts w:cs="Times New Roman" w:eastAsiaTheme="minorEastAsia"/>
                    </w:rPr>
                    <w:t>731</w:t>
                  </w:r>
                </w:p>
              </w:tc>
              <w:tc>
                <w:tcPr>
                  <w:tcW w:w="404" w:type="pct"/>
                  <w:vAlign w:val="center"/>
                </w:tcPr>
                <w:p>
                  <w:pPr>
                    <w:pStyle w:val="3232"/>
                    <w:rPr>
                      <w:rFonts w:cs="Times New Roman"/>
                    </w:rPr>
                  </w:pPr>
                  <w:r>
                    <w:rPr>
                      <w:rFonts w:cs="Times New Roman"/>
                    </w:rPr>
                    <w:t>S</w:t>
                  </w:r>
                </w:p>
              </w:tc>
              <w:tc>
                <w:tcPr>
                  <w:tcW w:w="550" w:type="pct"/>
                  <w:vAlign w:val="center"/>
                </w:tcPr>
                <w:p>
                  <w:pPr>
                    <w:pStyle w:val="3232"/>
                    <w:rPr>
                      <w:rFonts w:cs="Times New Roman"/>
                    </w:rPr>
                  </w:pPr>
                  <w:r>
                    <w:rPr>
                      <w:rFonts w:cs="Times New Roman"/>
                    </w:rPr>
                    <w:t>1450</w:t>
                  </w:r>
                </w:p>
              </w:tc>
              <w:tc>
                <w:tcPr>
                  <w:tcW w:w="739" w:type="pct"/>
                  <w:vAlign w:val="center"/>
                </w:tcPr>
                <w:p>
                  <w:pPr>
                    <w:pStyle w:val="3232"/>
                    <w:rPr>
                      <w:rFonts w:cs="Times New Roman"/>
                    </w:rPr>
                  </w:pPr>
                  <w:r>
                    <w:rPr>
                      <w:rFonts w:cs="Times New Roman"/>
                    </w:rPr>
                    <w:t>1450</w:t>
                  </w:r>
                </w:p>
              </w:tc>
              <w:tc>
                <w:tcPr>
                  <w:tcW w:w="673" w:type="pct"/>
                  <w:vAlign w:val="center"/>
                </w:tcPr>
                <w:p>
                  <w:pPr>
                    <w:pStyle w:val="3232"/>
                    <w:rPr>
                      <w:rFonts w:cs="Times New Roman"/>
                    </w:rPr>
                  </w:pPr>
                  <w:r>
                    <w:rPr>
                      <w:rFonts w:eastAsia="宋体" w:cs="Times New Roman"/>
                    </w:rPr>
                    <w:t>师生约</w:t>
                  </w:r>
                  <w:r>
                    <w:rPr>
                      <w:rFonts w:cs="Times New Roman"/>
                    </w:rPr>
                    <w:t>1500</w:t>
                  </w:r>
                  <w:r>
                    <w:rPr>
                      <w:rFonts w:eastAsia="宋体" w:cs="Times New Roman"/>
                    </w:rPr>
                    <w:t>人</w:t>
                  </w:r>
                </w:p>
              </w:tc>
              <w:tc>
                <w:tcPr>
                  <w:tcW w:w="757" w:type="pct"/>
                  <w:vAlign w:val="center"/>
                </w:tcPr>
                <w:p>
                  <w:pPr>
                    <w:pStyle w:val="3232"/>
                    <w:rPr>
                      <w:rFonts w:cs="Times New Roman"/>
                    </w:rPr>
                  </w:pPr>
                  <w:r>
                    <w:rPr>
                      <w:rFonts w:eastAsia="宋体" w:cs="Times New Roman"/>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8" w:type="pct"/>
                  <w:vAlign w:val="center"/>
                </w:tcPr>
                <w:p>
                  <w:pPr>
                    <w:pStyle w:val="3232"/>
                    <w:rPr>
                      <w:rFonts w:cs="Times New Roman" w:eastAsiaTheme="minorEastAsia"/>
                    </w:rPr>
                  </w:pPr>
                  <w:r>
                    <w:rPr>
                      <w:rFonts w:hint="eastAsia" w:cs="Times New Roman" w:eastAsiaTheme="minorEastAsia"/>
                    </w:rPr>
                    <w:t>9</w:t>
                  </w:r>
                </w:p>
              </w:tc>
              <w:tc>
                <w:tcPr>
                  <w:tcW w:w="669" w:type="pct"/>
                  <w:vAlign w:val="center"/>
                </w:tcPr>
                <w:p>
                  <w:pPr>
                    <w:pStyle w:val="3232"/>
                    <w:rPr>
                      <w:rFonts w:cs="Times New Roman"/>
                    </w:rPr>
                  </w:pPr>
                  <w:r>
                    <w:rPr>
                      <w:rFonts w:eastAsia="宋体" w:cs="Times New Roman"/>
                    </w:rPr>
                    <w:t>邮亭中心小学</w:t>
                  </w:r>
                </w:p>
              </w:tc>
              <w:tc>
                <w:tcPr>
                  <w:tcW w:w="476" w:type="pct"/>
                  <w:tcBorders>
                    <w:right w:val="single" w:color="auto" w:sz="4" w:space="0"/>
                  </w:tcBorders>
                  <w:vAlign w:val="center"/>
                </w:tcPr>
                <w:p>
                  <w:pPr>
                    <w:pStyle w:val="3232"/>
                    <w:rPr>
                      <w:rFonts w:cs="Times New Roman" w:eastAsiaTheme="minorEastAsia"/>
                    </w:rPr>
                  </w:pPr>
                  <w:r>
                    <w:rPr>
                      <w:rFonts w:cs="Times New Roman" w:eastAsiaTheme="minorEastAsia"/>
                    </w:rPr>
                    <w:t>105.743</w:t>
                  </w:r>
                </w:p>
                <w:p>
                  <w:pPr>
                    <w:pStyle w:val="3232"/>
                    <w:rPr>
                      <w:rFonts w:cs="Times New Roman" w:eastAsiaTheme="minorEastAsia"/>
                    </w:rPr>
                  </w:pPr>
                  <w:r>
                    <w:rPr>
                      <w:rFonts w:cs="Times New Roman" w:eastAsiaTheme="minorEastAsia"/>
                    </w:rPr>
                    <w:t>108</w:t>
                  </w:r>
                </w:p>
              </w:tc>
              <w:tc>
                <w:tcPr>
                  <w:tcW w:w="494" w:type="pct"/>
                  <w:tcBorders>
                    <w:left w:val="single" w:color="auto" w:sz="4" w:space="0"/>
                  </w:tcBorders>
                  <w:vAlign w:val="center"/>
                </w:tcPr>
                <w:p>
                  <w:pPr>
                    <w:pStyle w:val="3232"/>
                    <w:rPr>
                      <w:rFonts w:cs="Times New Roman" w:eastAsiaTheme="minorEastAsia"/>
                    </w:rPr>
                  </w:pPr>
                  <w:r>
                    <w:rPr>
                      <w:rFonts w:cs="Times New Roman" w:eastAsiaTheme="minorEastAsia"/>
                    </w:rPr>
                    <w:t>29.425</w:t>
                  </w:r>
                </w:p>
                <w:p>
                  <w:pPr>
                    <w:pStyle w:val="3232"/>
                    <w:rPr>
                      <w:rFonts w:cs="Times New Roman" w:eastAsiaTheme="minorEastAsia"/>
                    </w:rPr>
                  </w:pPr>
                  <w:r>
                    <w:rPr>
                      <w:rFonts w:cs="Times New Roman" w:eastAsiaTheme="minorEastAsia"/>
                    </w:rPr>
                    <w:t>451</w:t>
                  </w:r>
                </w:p>
              </w:tc>
              <w:tc>
                <w:tcPr>
                  <w:tcW w:w="404" w:type="pct"/>
                  <w:vAlign w:val="center"/>
                </w:tcPr>
                <w:p>
                  <w:pPr>
                    <w:pStyle w:val="3232"/>
                    <w:rPr>
                      <w:rFonts w:cs="Times New Roman"/>
                    </w:rPr>
                  </w:pPr>
                  <w:r>
                    <w:rPr>
                      <w:rFonts w:cs="Times New Roman"/>
                    </w:rPr>
                    <w:t>S</w:t>
                  </w:r>
                </w:p>
              </w:tc>
              <w:tc>
                <w:tcPr>
                  <w:tcW w:w="550" w:type="pct"/>
                  <w:vAlign w:val="center"/>
                </w:tcPr>
                <w:p>
                  <w:pPr>
                    <w:pStyle w:val="3232"/>
                    <w:rPr>
                      <w:rFonts w:cs="Times New Roman"/>
                    </w:rPr>
                  </w:pPr>
                  <w:r>
                    <w:rPr>
                      <w:rFonts w:cs="Times New Roman"/>
                    </w:rPr>
                    <w:t>1350</w:t>
                  </w:r>
                </w:p>
              </w:tc>
              <w:tc>
                <w:tcPr>
                  <w:tcW w:w="739" w:type="pct"/>
                  <w:vAlign w:val="center"/>
                </w:tcPr>
                <w:p>
                  <w:pPr>
                    <w:pStyle w:val="3232"/>
                    <w:rPr>
                      <w:rFonts w:cs="Times New Roman"/>
                    </w:rPr>
                  </w:pPr>
                  <w:r>
                    <w:rPr>
                      <w:rFonts w:cs="Times New Roman"/>
                    </w:rPr>
                    <w:t>1350</w:t>
                  </w:r>
                </w:p>
              </w:tc>
              <w:tc>
                <w:tcPr>
                  <w:tcW w:w="673" w:type="pct"/>
                  <w:vAlign w:val="center"/>
                </w:tcPr>
                <w:p>
                  <w:pPr>
                    <w:pStyle w:val="3232"/>
                    <w:rPr>
                      <w:rFonts w:cs="Times New Roman"/>
                    </w:rPr>
                  </w:pPr>
                  <w:r>
                    <w:rPr>
                      <w:rFonts w:eastAsia="宋体" w:cs="Times New Roman"/>
                    </w:rPr>
                    <w:t>师生约</w:t>
                  </w:r>
                  <w:r>
                    <w:rPr>
                      <w:rFonts w:cs="Times New Roman"/>
                    </w:rPr>
                    <w:t>1200</w:t>
                  </w:r>
                  <w:r>
                    <w:rPr>
                      <w:rFonts w:eastAsia="宋体" w:cs="Times New Roman"/>
                    </w:rPr>
                    <w:t>人</w:t>
                  </w:r>
                </w:p>
              </w:tc>
              <w:tc>
                <w:tcPr>
                  <w:tcW w:w="757" w:type="pct"/>
                  <w:vAlign w:val="center"/>
                </w:tcPr>
                <w:p>
                  <w:pPr>
                    <w:pStyle w:val="3232"/>
                    <w:rPr>
                      <w:rFonts w:cs="Times New Roman"/>
                    </w:rPr>
                  </w:pPr>
                  <w:r>
                    <w:rPr>
                      <w:rFonts w:eastAsia="宋体" w:cs="Times New Roman"/>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8" w:type="pct"/>
                  <w:vAlign w:val="center"/>
                </w:tcPr>
                <w:p>
                  <w:pPr>
                    <w:pStyle w:val="3232"/>
                    <w:rPr>
                      <w:rFonts w:cs="Times New Roman" w:eastAsiaTheme="minorEastAsia"/>
                    </w:rPr>
                  </w:pPr>
                  <w:r>
                    <w:rPr>
                      <w:rFonts w:cs="Times New Roman"/>
                    </w:rPr>
                    <w:t>1</w:t>
                  </w:r>
                  <w:r>
                    <w:rPr>
                      <w:rFonts w:hint="eastAsia" w:cs="Times New Roman" w:eastAsiaTheme="minorEastAsia"/>
                    </w:rPr>
                    <w:t>0</w:t>
                  </w:r>
                </w:p>
              </w:tc>
              <w:tc>
                <w:tcPr>
                  <w:tcW w:w="669" w:type="pct"/>
                  <w:vAlign w:val="center"/>
                </w:tcPr>
                <w:p>
                  <w:pPr>
                    <w:pStyle w:val="3232"/>
                    <w:rPr>
                      <w:rFonts w:cs="Times New Roman"/>
                    </w:rPr>
                  </w:pPr>
                  <w:r>
                    <w:rPr>
                      <w:rFonts w:eastAsia="宋体" w:cs="Times New Roman"/>
                    </w:rPr>
                    <w:t>新胜水库</w:t>
                  </w:r>
                </w:p>
              </w:tc>
              <w:tc>
                <w:tcPr>
                  <w:tcW w:w="970" w:type="pct"/>
                  <w:gridSpan w:val="2"/>
                  <w:vAlign w:val="center"/>
                </w:tcPr>
                <w:p>
                  <w:pPr>
                    <w:pStyle w:val="3232"/>
                    <w:rPr>
                      <w:rFonts w:cs="Times New Roman" w:eastAsiaTheme="minorEastAsia"/>
                    </w:rPr>
                  </w:pPr>
                  <w:r>
                    <w:rPr>
                      <w:rFonts w:hint="eastAsia" w:cs="Times New Roman" w:eastAsiaTheme="minorEastAsia"/>
                    </w:rPr>
                    <w:t>/</w:t>
                  </w:r>
                </w:p>
              </w:tc>
              <w:tc>
                <w:tcPr>
                  <w:tcW w:w="404" w:type="pct"/>
                  <w:vAlign w:val="center"/>
                </w:tcPr>
                <w:p>
                  <w:pPr>
                    <w:pStyle w:val="3232"/>
                    <w:rPr>
                      <w:rFonts w:cs="Times New Roman"/>
                    </w:rPr>
                  </w:pPr>
                  <w:r>
                    <w:rPr>
                      <w:rFonts w:cs="Times New Roman"/>
                    </w:rPr>
                    <w:t>N</w:t>
                  </w:r>
                </w:p>
              </w:tc>
              <w:tc>
                <w:tcPr>
                  <w:tcW w:w="550" w:type="pct"/>
                  <w:vAlign w:val="center"/>
                </w:tcPr>
                <w:p>
                  <w:pPr>
                    <w:pStyle w:val="3232"/>
                    <w:rPr>
                      <w:rFonts w:cs="Times New Roman"/>
                    </w:rPr>
                  </w:pPr>
                  <w:r>
                    <w:rPr>
                      <w:rFonts w:cs="Times New Roman"/>
                    </w:rPr>
                    <w:t>1960</w:t>
                  </w:r>
                </w:p>
              </w:tc>
              <w:tc>
                <w:tcPr>
                  <w:tcW w:w="739" w:type="pct"/>
                  <w:vAlign w:val="center"/>
                </w:tcPr>
                <w:p>
                  <w:pPr>
                    <w:pStyle w:val="3232"/>
                    <w:rPr>
                      <w:rFonts w:cs="Times New Roman"/>
                    </w:rPr>
                  </w:pPr>
                  <w:r>
                    <w:rPr>
                      <w:rFonts w:cs="Times New Roman"/>
                    </w:rPr>
                    <w:t>/</w:t>
                  </w:r>
                </w:p>
              </w:tc>
              <w:tc>
                <w:tcPr>
                  <w:tcW w:w="1430" w:type="pct"/>
                  <w:gridSpan w:val="2"/>
                  <w:vAlign w:val="center"/>
                </w:tcPr>
                <w:p>
                  <w:pPr>
                    <w:pStyle w:val="3232"/>
                    <w:rPr>
                      <w:rFonts w:cs="Times New Roman"/>
                    </w:rPr>
                  </w:pPr>
                  <w:r>
                    <w:rPr>
                      <w:rFonts w:eastAsia="宋体" w:cs="Times New Roman"/>
                    </w:rPr>
                    <w:t>未划分水域功能</w:t>
                  </w:r>
                  <w:r>
                    <w:rPr>
                      <w:rFonts w:hint="eastAsia" w:eastAsia="宋体" w:cs="Times New Roman"/>
                    </w:rPr>
                    <w:t>，</w:t>
                  </w:r>
                  <w:r>
                    <w:rPr>
                      <w:rFonts w:eastAsia="宋体" w:cs="Times New Roman"/>
                    </w:rPr>
                    <w:t>以灌溉、防洪为主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8" w:type="pct"/>
                  <w:vAlign w:val="center"/>
                </w:tcPr>
                <w:p>
                  <w:pPr>
                    <w:pStyle w:val="3232"/>
                    <w:rPr>
                      <w:rFonts w:cs="Times New Roman" w:eastAsiaTheme="minorEastAsia"/>
                    </w:rPr>
                  </w:pPr>
                  <w:r>
                    <w:rPr>
                      <w:rFonts w:cs="Times New Roman"/>
                    </w:rPr>
                    <w:t>1</w:t>
                  </w:r>
                  <w:r>
                    <w:rPr>
                      <w:rFonts w:hint="eastAsia" w:cs="Times New Roman" w:eastAsiaTheme="minorEastAsia"/>
                    </w:rPr>
                    <w:t>1</w:t>
                  </w:r>
                </w:p>
              </w:tc>
              <w:tc>
                <w:tcPr>
                  <w:tcW w:w="669" w:type="pct"/>
                  <w:vAlign w:val="center"/>
                </w:tcPr>
                <w:p>
                  <w:pPr>
                    <w:pStyle w:val="3232"/>
                    <w:rPr>
                      <w:rFonts w:cs="Times New Roman"/>
                    </w:rPr>
                  </w:pPr>
                  <w:r>
                    <w:rPr>
                      <w:rFonts w:eastAsia="宋体" w:cs="Times New Roman"/>
                    </w:rPr>
                    <w:t>红旗水库</w:t>
                  </w:r>
                </w:p>
              </w:tc>
              <w:tc>
                <w:tcPr>
                  <w:tcW w:w="970" w:type="pct"/>
                  <w:gridSpan w:val="2"/>
                  <w:vAlign w:val="center"/>
                </w:tcPr>
                <w:p>
                  <w:pPr>
                    <w:pStyle w:val="3232"/>
                    <w:rPr>
                      <w:rFonts w:cs="Times New Roman" w:eastAsiaTheme="minorEastAsia"/>
                    </w:rPr>
                  </w:pPr>
                  <w:r>
                    <w:rPr>
                      <w:rFonts w:hint="eastAsia" w:cs="Times New Roman" w:eastAsiaTheme="minorEastAsia"/>
                    </w:rPr>
                    <w:t>/</w:t>
                  </w:r>
                </w:p>
              </w:tc>
              <w:tc>
                <w:tcPr>
                  <w:tcW w:w="404" w:type="pct"/>
                  <w:vAlign w:val="center"/>
                </w:tcPr>
                <w:p>
                  <w:pPr>
                    <w:pStyle w:val="3232"/>
                    <w:rPr>
                      <w:rFonts w:cs="Times New Roman"/>
                    </w:rPr>
                  </w:pPr>
                  <w:r>
                    <w:rPr>
                      <w:rFonts w:cs="Times New Roman"/>
                    </w:rPr>
                    <w:t>S</w:t>
                  </w:r>
                </w:p>
              </w:tc>
              <w:tc>
                <w:tcPr>
                  <w:tcW w:w="550" w:type="pct"/>
                  <w:vAlign w:val="center"/>
                </w:tcPr>
                <w:p>
                  <w:pPr>
                    <w:pStyle w:val="3232"/>
                    <w:rPr>
                      <w:rFonts w:cs="Times New Roman"/>
                    </w:rPr>
                  </w:pPr>
                  <w:r>
                    <w:rPr>
                      <w:rFonts w:cs="Times New Roman"/>
                    </w:rPr>
                    <w:t>2020</w:t>
                  </w:r>
                </w:p>
              </w:tc>
              <w:tc>
                <w:tcPr>
                  <w:tcW w:w="739" w:type="pct"/>
                  <w:vAlign w:val="center"/>
                </w:tcPr>
                <w:p>
                  <w:pPr>
                    <w:pStyle w:val="3232"/>
                    <w:rPr>
                      <w:rFonts w:cs="Times New Roman"/>
                    </w:rPr>
                  </w:pPr>
                  <w:r>
                    <w:rPr>
                      <w:rFonts w:cs="Times New Roman"/>
                    </w:rPr>
                    <w:t>/</w:t>
                  </w:r>
                </w:p>
              </w:tc>
              <w:tc>
                <w:tcPr>
                  <w:tcW w:w="1430" w:type="pct"/>
                  <w:gridSpan w:val="2"/>
                  <w:vAlign w:val="center"/>
                </w:tcPr>
                <w:p>
                  <w:pPr>
                    <w:pStyle w:val="3232"/>
                    <w:rPr>
                      <w:rFonts w:cs="Times New Roman"/>
                    </w:rPr>
                  </w:pPr>
                  <w:r>
                    <w:rPr>
                      <w:rFonts w:eastAsia="宋体" w:cs="Times New Roman"/>
                    </w:rPr>
                    <w:t>未划分水域功能</w:t>
                  </w:r>
                  <w:r>
                    <w:rPr>
                      <w:rFonts w:hint="eastAsia" w:eastAsia="宋体" w:cs="Times New Roman"/>
                    </w:rPr>
                    <w:t>，</w:t>
                  </w:r>
                  <w:r>
                    <w:rPr>
                      <w:rFonts w:eastAsia="宋体" w:cs="Times New Roman"/>
                    </w:rPr>
                    <w:t>以灌溉、防洪为主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8" w:type="pct"/>
                  <w:vAlign w:val="center"/>
                </w:tcPr>
                <w:p>
                  <w:pPr>
                    <w:pStyle w:val="3232"/>
                    <w:rPr>
                      <w:rFonts w:cs="Times New Roman" w:eastAsiaTheme="minorEastAsia"/>
                    </w:rPr>
                  </w:pPr>
                  <w:r>
                    <w:rPr>
                      <w:rFonts w:cs="Times New Roman"/>
                    </w:rPr>
                    <w:t>1</w:t>
                  </w:r>
                  <w:r>
                    <w:rPr>
                      <w:rFonts w:hint="eastAsia" w:cs="Times New Roman" w:eastAsiaTheme="minorEastAsia"/>
                    </w:rPr>
                    <w:t>2</w:t>
                  </w:r>
                </w:p>
              </w:tc>
              <w:tc>
                <w:tcPr>
                  <w:tcW w:w="669" w:type="pct"/>
                  <w:vAlign w:val="center"/>
                </w:tcPr>
                <w:p>
                  <w:pPr>
                    <w:pStyle w:val="3232"/>
                    <w:rPr>
                      <w:rFonts w:cs="Times New Roman"/>
                    </w:rPr>
                  </w:pPr>
                  <w:r>
                    <w:rPr>
                      <w:rFonts w:eastAsia="宋体" w:cs="Times New Roman"/>
                    </w:rPr>
                    <w:t>高洞子水库</w:t>
                  </w:r>
                </w:p>
              </w:tc>
              <w:tc>
                <w:tcPr>
                  <w:tcW w:w="970" w:type="pct"/>
                  <w:gridSpan w:val="2"/>
                  <w:vAlign w:val="center"/>
                </w:tcPr>
                <w:p>
                  <w:pPr>
                    <w:pStyle w:val="3232"/>
                    <w:rPr>
                      <w:rFonts w:cs="Times New Roman" w:eastAsiaTheme="minorEastAsia"/>
                    </w:rPr>
                  </w:pPr>
                  <w:r>
                    <w:rPr>
                      <w:rFonts w:hint="eastAsia" w:cs="Times New Roman" w:eastAsiaTheme="minorEastAsia"/>
                    </w:rPr>
                    <w:t>/</w:t>
                  </w:r>
                </w:p>
              </w:tc>
              <w:tc>
                <w:tcPr>
                  <w:tcW w:w="404" w:type="pct"/>
                  <w:vAlign w:val="center"/>
                </w:tcPr>
                <w:p>
                  <w:pPr>
                    <w:pStyle w:val="3232"/>
                    <w:rPr>
                      <w:rFonts w:cs="Times New Roman"/>
                    </w:rPr>
                  </w:pPr>
                  <w:r>
                    <w:rPr>
                      <w:rFonts w:cs="Times New Roman"/>
                    </w:rPr>
                    <w:t>NE</w:t>
                  </w:r>
                </w:p>
              </w:tc>
              <w:tc>
                <w:tcPr>
                  <w:tcW w:w="550" w:type="pct"/>
                  <w:vAlign w:val="center"/>
                </w:tcPr>
                <w:p>
                  <w:pPr>
                    <w:pStyle w:val="3232"/>
                    <w:rPr>
                      <w:rFonts w:cs="Times New Roman"/>
                    </w:rPr>
                  </w:pPr>
                  <w:r>
                    <w:rPr>
                      <w:rFonts w:cs="Times New Roman"/>
                    </w:rPr>
                    <w:t>1060</w:t>
                  </w:r>
                </w:p>
              </w:tc>
              <w:tc>
                <w:tcPr>
                  <w:tcW w:w="739" w:type="pct"/>
                  <w:vAlign w:val="center"/>
                </w:tcPr>
                <w:p>
                  <w:pPr>
                    <w:pStyle w:val="3232"/>
                    <w:rPr>
                      <w:rFonts w:cs="Times New Roman"/>
                    </w:rPr>
                  </w:pPr>
                  <w:r>
                    <w:rPr>
                      <w:rFonts w:cs="Times New Roman"/>
                    </w:rPr>
                    <w:t>/</w:t>
                  </w:r>
                </w:p>
              </w:tc>
              <w:tc>
                <w:tcPr>
                  <w:tcW w:w="1430" w:type="pct"/>
                  <w:gridSpan w:val="2"/>
                  <w:vAlign w:val="center"/>
                </w:tcPr>
                <w:p>
                  <w:pPr>
                    <w:pStyle w:val="3232"/>
                    <w:rPr>
                      <w:rFonts w:cs="Times New Roman"/>
                    </w:rPr>
                  </w:pPr>
                  <w:r>
                    <w:rPr>
                      <w:rFonts w:eastAsia="宋体" w:cs="Times New Roman"/>
                    </w:rPr>
                    <w:t>未划分水域功能</w:t>
                  </w:r>
                  <w:r>
                    <w:rPr>
                      <w:rFonts w:hint="eastAsia" w:eastAsia="宋体" w:cs="Times New Roman"/>
                    </w:rPr>
                    <w:t>，</w:t>
                  </w:r>
                  <w:r>
                    <w:rPr>
                      <w:rFonts w:eastAsia="宋体" w:cs="Times New Roman"/>
                    </w:rPr>
                    <w:t>以灌溉、防洪为主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8" w:type="pct"/>
                  <w:vAlign w:val="center"/>
                </w:tcPr>
                <w:p>
                  <w:pPr>
                    <w:pStyle w:val="3232"/>
                    <w:rPr>
                      <w:rFonts w:cs="Times New Roman" w:eastAsiaTheme="minorEastAsia"/>
                    </w:rPr>
                  </w:pPr>
                  <w:r>
                    <w:rPr>
                      <w:rFonts w:cs="Times New Roman"/>
                    </w:rPr>
                    <w:t>1</w:t>
                  </w:r>
                  <w:r>
                    <w:rPr>
                      <w:rFonts w:hint="eastAsia" w:cs="Times New Roman" w:eastAsiaTheme="minorEastAsia"/>
                    </w:rPr>
                    <w:t>3</w:t>
                  </w:r>
                </w:p>
              </w:tc>
              <w:tc>
                <w:tcPr>
                  <w:tcW w:w="669" w:type="pct"/>
                  <w:vAlign w:val="center"/>
                </w:tcPr>
                <w:p>
                  <w:pPr>
                    <w:pStyle w:val="3232"/>
                    <w:rPr>
                      <w:rFonts w:cs="Times New Roman"/>
                    </w:rPr>
                  </w:pPr>
                  <w:r>
                    <w:rPr>
                      <w:rFonts w:eastAsia="宋体" w:cs="Times New Roman"/>
                    </w:rPr>
                    <w:t>苦水河</w:t>
                  </w:r>
                </w:p>
              </w:tc>
              <w:tc>
                <w:tcPr>
                  <w:tcW w:w="970" w:type="pct"/>
                  <w:gridSpan w:val="2"/>
                  <w:vAlign w:val="center"/>
                </w:tcPr>
                <w:p>
                  <w:pPr>
                    <w:pStyle w:val="3232"/>
                    <w:rPr>
                      <w:rFonts w:cs="Times New Roman" w:eastAsiaTheme="minorEastAsia"/>
                    </w:rPr>
                  </w:pPr>
                  <w:r>
                    <w:rPr>
                      <w:rFonts w:hint="eastAsia" w:cs="Times New Roman" w:eastAsiaTheme="minorEastAsia"/>
                    </w:rPr>
                    <w:t>/</w:t>
                  </w:r>
                </w:p>
              </w:tc>
              <w:tc>
                <w:tcPr>
                  <w:tcW w:w="404" w:type="pct"/>
                  <w:vAlign w:val="center"/>
                </w:tcPr>
                <w:p>
                  <w:pPr>
                    <w:pStyle w:val="3232"/>
                    <w:rPr>
                      <w:rFonts w:cs="Times New Roman"/>
                    </w:rPr>
                  </w:pPr>
                  <w:r>
                    <w:rPr>
                      <w:rFonts w:cs="Times New Roman"/>
                    </w:rPr>
                    <w:t>SE</w:t>
                  </w:r>
                </w:p>
              </w:tc>
              <w:tc>
                <w:tcPr>
                  <w:tcW w:w="550" w:type="pct"/>
                  <w:vAlign w:val="center"/>
                </w:tcPr>
                <w:p>
                  <w:pPr>
                    <w:pStyle w:val="3232"/>
                    <w:rPr>
                      <w:rFonts w:cs="Times New Roman" w:eastAsiaTheme="minorEastAsia"/>
                    </w:rPr>
                  </w:pPr>
                  <w:r>
                    <w:rPr>
                      <w:rFonts w:cs="Times New Roman" w:eastAsiaTheme="minorEastAsia"/>
                    </w:rPr>
                    <w:t>730</w:t>
                  </w:r>
                </w:p>
              </w:tc>
              <w:tc>
                <w:tcPr>
                  <w:tcW w:w="739" w:type="pct"/>
                  <w:vAlign w:val="center"/>
                </w:tcPr>
                <w:p>
                  <w:pPr>
                    <w:pStyle w:val="3232"/>
                    <w:rPr>
                      <w:rFonts w:cs="Times New Roman"/>
                    </w:rPr>
                  </w:pPr>
                  <w:r>
                    <w:rPr>
                      <w:rFonts w:cs="Times New Roman"/>
                    </w:rPr>
                    <w:t>/</w:t>
                  </w:r>
                </w:p>
              </w:tc>
              <w:tc>
                <w:tcPr>
                  <w:tcW w:w="673" w:type="pct"/>
                  <w:vAlign w:val="center"/>
                </w:tcPr>
                <w:p>
                  <w:pPr>
                    <w:pStyle w:val="3232"/>
                    <w:rPr>
                      <w:rFonts w:cs="Times New Roman"/>
                    </w:rPr>
                  </w:pPr>
                  <w:r>
                    <w:rPr>
                      <w:rFonts w:eastAsia="宋体" w:cs="Times New Roman"/>
                    </w:rPr>
                    <w:t>项目纳污水体</w:t>
                  </w:r>
                </w:p>
              </w:tc>
              <w:tc>
                <w:tcPr>
                  <w:tcW w:w="757" w:type="pct"/>
                  <w:vAlign w:val="center"/>
                </w:tcPr>
                <w:p>
                  <w:pPr>
                    <w:pStyle w:val="3232"/>
                    <w:rPr>
                      <w:rFonts w:cs="Times New Roman"/>
                    </w:rPr>
                  </w:pPr>
                  <w:r>
                    <w:rPr>
                      <w:rFonts w:hint="eastAsia" w:ascii="宋体" w:hAnsi="宋体" w:eastAsia="宋体" w:cs="宋体"/>
                    </w:rPr>
                    <w:t>地表水Ⅳ</w:t>
                  </w:r>
                  <w:r>
                    <w:rPr>
                      <w:rFonts w:eastAsia="宋体" w:cs="Times New Roman"/>
                    </w:rPr>
                    <w:t>类水域</w:t>
                  </w:r>
                </w:p>
              </w:tc>
            </w:tr>
          </w:tbl>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Chars="0"/>
            </w:pPr>
          </w:p>
          <w:p>
            <w:pPr>
              <w:ind w:firstLineChars="0"/>
            </w:pPr>
          </w:p>
          <w:p>
            <w:pPr>
              <w:ind w:firstLineChars="0"/>
            </w:pPr>
          </w:p>
          <w:p>
            <w:pPr>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4" w:hRule="atLeast"/>
          <w:jc w:val="center"/>
        </w:trPr>
        <w:tc>
          <w:tcPr>
            <w:tcW w:w="484" w:type="dxa"/>
            <w:tcBorders>
              <w:top w:val="single" w:color="auto" w:sz="4" w:space="0"/>
              <w:left w:val="single" w:color="auto" w:sz="8" w:space="0"/>
              <w:bottom w:val="single" w:color="auto" w:sz="8" w:space="0"/>
              <w:right w:val="single" w:color="auto" w:sz="4" w:space="0"/>
            </w:tcBorders>
            <w:tcMar>
              <w:top w:w="16" w:type="dxa"/>
              <w:left w:w="16" w:type="dxa"/>
              <w:right w:w="16" w:type="dxa"/>
            </w:tcMar>
            <w:vAlign w:val="center"/>
          </w:tcPr>
          <w:p>
            <w:pPr>
              <w:pStyle w:val="169"/>
              <w:rPr>
                <w:sz w:val="24"/>
                <w:szCs w:val="24"/>
              </w:rPr>
            </w:pPr>
            <w:r>
              <w:rPr>
                <w:rFonts w:hint="eastAsia"/>
                <w:sz w:val="24"/>
                <w:szCs w:val="24"/>
              </w:rPr>
              <w:t>区域环境质量现状</w:t>
            </w:r>
          </w:p>
        </w:tc>
        <w:tc>
          <w:tcPr>
            <w:tcW w:w="8488" w:type="dxa"/>
            <w:tcBorders>
              <w:top w:val="single" w:color="auto" w:sz="4" w:space="0"/>
              <w:left w:val="single" w:color="auto" w:sz="4" w:space="0"/>
              <w:bottom w:val="single" w:color="auto" w:sz="8" w:space="0"/>
              <w:right w:val="single" w:color="auto" w:sz="8" w:space="0"/>
            </w:tcBorders>
            <w:vAlign w:val="center"/>
          </w:tcPr>
          <w:p>
            <w:pPr>
              <w:pStyle w:val="5"/>
              <w:numPr>
                <w:ilvl w:val="0"/>
                <w:numId w:val="0"/>
              </w:numPr>
            </w:pPr>
            <w:r>
              <w:rPr>
                <w:rFonts w:hint="eastAsia"/>
              </w:rPr>
              <w:t>3.7污染物排放控制标准</w:t>
            </w:r>
          </w:p>
          <w:p>
            <w:pPr>
              <w:pStyle w:val="5"/>
              <w:numPr>
                <w:ilvl w:val="0"/>
                <w:numId w:val="0"/>
              </w:numPr>
              <w:rPr>
                <w:sz w:val="24"/>
                <w:szCs w:val="24"/>
              </w:rPr>
            </w:pPr>
            <w:r>
              <w:rPr>
                <w:rFonts w:hint="eastAsia"/>
                <w:sz w:val="24"/>
                <w:szCs w:val="24"/>
              </w:rPr>
              <w:t>3.7.1废气</w:t>
            </w:r>
          </w:p>
          <w:p>
            <w:pPr>
              <w:pStyle w:val="3229"/>
              <w:ind w:firstLine="480"/>
            </w:pPr>
            <w:r>
              <w:rPr>
                <w:rFonts w:hint="eastAsia"/>
              </w:rPr>
              <w:t>项目除尘灰资源化利用过程中会产生铅、铬、镉及其化合物，目前《炼钢工业大气污染物排放标准》（GB 28664-2012）针对电炉设施只对颗粒物和二噁英进行控制，因此本次评价大气污染物铅、铬、镉及其化合物参考执行《水泥窑协同处置固体废物污染控制标准》（</w:t>
            </w:r>
            <w:r>
              <w:t>GB 30485-2013</w:t>
            </w:r>
            <w:r>
              <w:rPr>
                <w:rFonts w:hint="eastAsia"/>
              </w:rPr>
              <w:t>）；现有工程炼钢废气污染物颗粒物、二</w:t>
            </w:r>
            <w:r>
              <w:rPr>
                <w:kern w:val="0"/>
              </w:rPr>
              <w:t>噁英</w:t>
            </w:r>
            <w:r>
              <w:rPr>
                <w:rFonts w:hint="eastAsia"/>
                <w:kern w:val="0"/>
              </w:rPr>
              <w:t>类</w:t>
            </w:r>
            <w:r>
              <w:rPr>
                <w:rFonts w:hint="eastAsia"/>
              </w:rPr>
              <w:t>执行《炼钢工业大气污染物排放标准》（GB 28664-2012）表2、表4中的排放限值，</w:t>
            </w:r>
            <w:r>
              <w:t>SO</w:t>
            </w:r>
            <w:r>
              <w:rPr>
                <w:vertAlign w:val="subscript"/>
              </w:rPr>
              <w:t>2</w:t>
            </w:r>
            <w:r>
              <w:rPr>
                <w:rFonts w:hint="eastAsia"/>
                <w:snapToGrid w:val="0"/>
              </w:rPr>
              <w:t>、</w:t>
            </w:r>
            <w:r>
              <w:t>NO</w:t>
            </w:r>
            <w:r>
              <w:rPr>
                <w:vertAlign w:val="subscript"/>
              </w:rPr>
              <w:t>2</w:t>
            </w:r>
            <w:r>
              <w:rPr>
                <w:rFonts w:hint="eastAsia"/>
                <w:snapToGrid w:val="0"/>
              </w:rPr>
              <w:t>执行《工业炉窑大气污染物排放标准》（DB50/659-2016）表1中的排放限值；现有工程轧钢废气污染物颗粒物、</w:t>
            </w:r>
            <w:r>
              <w:rPr>
                <w:snapToGrid w:val="0"/>
              </w:rPr>
              <w:t>SO</w:t>
            </w:r>
            <w:r>
              <w:rPr>
                <w:snapToGrid w:val="0"/>
                <w:vertAlign w:val="subscript"/>
              </w:rPr>
              <w:t>2</w:t>
            </w:r>
            <w:r>
              <w:rPr>
                <w:rFonts w:hint="eastAsia"/>
                <w:snapToGrid w:val="0"/>
              </w:rPr>
              <w:t>、</w:t>
            </w:r>
            <w:r>
              <w:rPr>
                <w:snapToGrid w:val="0"/>
              </w:rPr>
              <w:t>NO</w:t>
            </w:r>
            <w:r>
              <w:rPr>
                <w:snapToGrid w:val="0"/>
                <w:vertAlign w:val="subscript"/>
              </w:rPr>
              <w:t>2</w:t>
            </w:r>
            <w:r>
              <w:rPr>
                <w:rFonts w:hint="eastAsia"/>
                <w:snapToGrid w:val="0"/>
              </w:rPr>
              <w:t>执行《轧钢工业大气污染物排放标准》（GB 28665-2012）表2、表4中的排放限值；现有工程</w:t>
            </w:r>
            <w:r>
              <w:rPr>
                <w:rFonts w:hint="eastAsia"/>
              </w:rPr>
              <w:t>钢包、中间罐烘烤天然气燃烧废气及其他无组织排放污染物执行《大气污染物综合排放标准》（DB 50/418-2016）。</w:t>
            </w:r>
            <w:r>
              <w:t>具体标准见表</w:t>
            </w:r>
            <w:r>
              <w:rPr>
                <w:rFonts w:hint="eastAsia"/>
              </w:rPr>
              <w:t>3.7-1~3.7-5</w:t>
            </w:r>
            <w:r>
              <w:t>。</w:t>
            </w:r>
          </w:p>
          <w:p>
            <w:pPr>
              <w:pStyle w:val="3230"/>
              <w:rPr>
                <w:rFonts w:eastAsiaTheme="minorEastAsia"/>
                <w:color w:val="auto"/>
                <w:szCs w:val="21"/>
              </w:rPr>
            </w:pPr>
            <w:r>
              <w:rPr>
                <w:rFonts w:eastAsiaTheme="minorEastAsia"/>
                <w:color w:val="auto"/>
                <w:szCs w:val="21"/>
              </w:rPr>
              <w:t>表3.</w:t>
            </w:r>
            <w:r>
              <w:rPr>
                <w:rFonts w:hint="eastAsia" w:eastAsiaTheme="minorEastAsia"/>
                <w:color w:val="auto"/>
                <w:szCs w:val="21"/>
              </w:rPr>
              <w:t>7</w:t>
            </w:r>
            <w:r>
              <w:rPr>
                <w:rFonts w:eastAsiaTheme="minorEastAsia"/>
                <w:color w:val="auto"/>
                <w:szCs w:val="21"/>
              </w:rPr>
              <w:t xml:space="preserve">-1   </w:t>
            </w:r>
            <w:r>
              <w:rPr>
                <w:rFonts w:hint="eastAsia" w:eastAsiaTheme="minorEastAsia"/>
                <w:color w:val="auto"/>
                <w:szCs w:val="21"/>
              </w:rPr>
              <w:t>《水泥窑协同处置固体废物污染控制标准》（</w:t>
            </w:r>
            <w:r>
              <w:rPr>
                <w:rFonts w:eastAsiaTheme="minorEastAsia"/>
                <w:color w:val="auto"/>
                <w:szCs w:val="21"/>
              </w:rPr>
              <w:t>GB 30485-2013</w:t>
            </w:r>
            <w:r>
              <w:rPr>
                <w:rFonts w:hint="eastAsia" w:eastAsiaTheme="minorEastAsia"/>
                <w:color w:val="auto"/>
                <w:szCs w:val="21"/>
              </w:rPr>
              <w:t>）</w:t>
            </w:r>
            <w:r>
              <w:rPr>
                <w:rFonts w:eastAsiaTheme="minorEastAsia"/>
                <w:color w:val="auto"/>
                <w:szCs w:val="21"/>
              </w:rPr>
              <w:t xml:space="preserve">  单位：mg/m</w:t>
            </w:r>
            <w:r>
              <w:rPr>
                <w:rFonts w:eastAsiaTheme="minorEastAsia"/>
                <w:color w:val="auto"/>
                <w:szCs w:val="21"/>
                <w:vertAlign w:val="superscript"/>
              </w:rPr>
              <w:t>3</w:t>
            </w:r>
          </w:p>
          <w:tbl>
            <w:tblPr>
              <w:tblStyle w:val="88"/>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3"/>
              <w:gridCol w:w="1416"/>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942" w:type="pct"/>
                  <w:shd w:val="clear" w:color="auto" w:fill="auto"/>
                  <w:vAlign w:val="center"/>
                </w:tcPr>
                <w:p>
                  <w:pPr>
                    <w:pStyle w:val="186"/>
                    <w:textAlignment w:val="baseline"/>
                  </w:pPr>
                  <w:r>
                    <w:rPr>
                      <w:rFonts w:hint="eastAsia"/>
                    </w:rPr>
                    <w:t>污染物</w:t>
                  </w:r>
                </w:p>
              </w:tc>
              <w:tc>
                <w:tcPr>
                  <w:tcW w:w="855" w:type="pct"/>
                  <w:shd w:val="clear" w:color="auto" w:fill="auto"/>
                  <w:vAlign w:val="center"/>
                </w:tcPr>
                <w:p>
                  <w:pPr>
                    <w:pStyle w:val="186"/>
                    <w:textAlignment w:val="baseline"/>
                  </w:pPr>
                  <w:r>
                    <w:rPr>
                      <w:rFonts w:hint="eastAsia"/>
                    </w:rPr>
                    <w:t>最高允许排放浓度限值</w:t>
                  </w:r>
                </w:p>
              </w:tc>
              <w:tc>
                <w:tcPr>
                  <w:tcW w:w="1203" w:type="pct"/>
                  <w:shd w:val="clear" w:color="auto" w:fill="auto"/>
                  <w:vAlign w:val="center"/>
                </w:tcPr>
                <w:p>
                  <w:pPr>
                    <w:pStyle w:val="186"/>
                    <w:textAlignment w:val="baseline"/>
                  </w:pPr>
                  <w:r>
                    <w:rPr>
                      <w:rFonts w:hint="eastAsia"/>
                    </w:rPr>
                    <w:t>无组织浓度</w:t>
                  </w:r>
                </w:p>
                <w:p>
                  <w:pPr>
                    <w:pStyle w:val="186"/>
                    <w:textAlignment w:val="baseline"/>
                  </w:pPr>
                  <w:r>
                    <w:rPr>
                      <w:rFonts w:hint="eastAsia"/>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942" w:type="pct"/>
                  <w:shd w:val="clear" w:color="auto" w:fill="auto"/>
                  <w:vAlign w:val="center"/>
                </w:tcPr>
                <w:p>
                  <w:pPr>
                    <w:pStyle w:val="186"/>
                    <w:jc w:val="left"/>
                    <w:textAlignment w:val="baseline"/>
                  </w:pPr>
                  <w:r>
                    <w:rPr>
                      <w:rFonts w:hint="eastAsia"/>
                    </w:rPr>
                    <w:t xml:space="preserve">铊、镉、铅、砷及其化合物（以 </w:t>
                  </w:r>
                  <w:r>
                    <w:t>Tl+Cd+Pb+As</w:t>
                  </w:r>
                  <w:r>
                    <w:rPr>
                      <w:rFonts w:hint="eastAsia"/>
                    </w:rPr>
                    <w:t>计）</w:t>
                  </w:r>
                </w:p>
              </w:tc>
              <w:tc>
                <w:tcPr>
                  <w:tcW w:w="855" w:type="pct"/>
                  <w:shd w:val="clear" w:color="auto" w:fill="auto"/>
                  <w:vAlign w:val="center"/>
                </w:tcPr>
                <w:p>
                  <w:pPr>
                    <w:pStyle w:val="186"/>
                    <w:textAlignment w:val="baseline"/>
                  </w:pPr>
                  <w:r>
                    <w:rPr>
                      <w:rFonts w:hint="eastAsia"/>
                    </w:rPr>
                    <w:t>1.0</w:t>
                  </w:r>
                </w:p>
              </w:tc>
              <w:tc>
                <w:tcPr>
                  <w:tcW w:w="1203" w:type="pct"/>
                  <w:shd w:val="clear" w:color="auto" w:fill="auto"/>
                  <w:vAlign w:val="center"/>
                </w:tcPr>
                <w:p>
                  <w:pPr>
                    <w:pStyle w:val="186"/>
                    <w:textAlignment w:val="baseline"/>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942" w:type="pct"/>
                  <w:shd w:val="clear" w:color="auto" w:fill="auto"/>
                  <w:vAlign w:val="center"/>
                </w:tcPr>
                <w:p>
                  <w:pPr>
                    <w:pStyle w:val="186"/>
                    <w:textAlignment w:val="baseline"/>
                  </w:pPr>
                  <w:r>
                    <w:rPr>
                      <w:rFonts w:hint="eastAsia"/>
                    </w:rPr>
                    <w:t xml:space="preserve">铍、铬、锡、锑、铜、钴、锰、镍、钒及其化合物 （以 </w:t>
                  </w:r>
                  <w:r>
                    <w:t xml:space="preserve">Be+Cr+Sn+Sb+Cu+Co+Mn+Ni+V </w:t>
                  </w:r>
                  <w:r>
                    <w:rPr>
                      <w:rFonts w:hint="eastAsia"/>
                    </w:rPr>
                    <w:t>计）</w:t>
                  </w:r>
                </w:p>
              </w:tc>
              <w:tc>
                <w:tcPr>
                  <w:tcW w:w="855" w:type="pct"/>
                  <w:shd w:val="clear" w:color="auto" w:fill="auto"/>
                  <w:vAlign w:val="center"/>
                </w:tcPr>
                <w:p>
                  <w:pPr>
                    <w:pStyle w:val="186"/>
                    <w:textAlignment w:val="baseline"/>
                  </w:pPr>
                  <w:r>
                    <w:rPr>
                      <w:rFonts w:hint="eastAsia"/>
                    </w:rPr>
                    <w:t>0.5</w:t>
                  </w:r>
                </w:p>
              </w:tc>
              <w:tc>
                <w:tcPr>
                  <w:tcW w:w="1203" w:type="pct"/>
                  <w:shd w:val="clear" w:color="auto" w:fill="auto"/>
                  <w:vAlign w:val="center"/>
                </w:tcPr>
                <w:p>
                  <w:pPr>
                    <w:pStyle w:val="186"/>
                    <w:textAlignment w:val="baseline"/>
                  </w:pPr>
                  <w:r>
                    <w:rPr>
                      <w:rFonts w:hint="eastAsia"/>
                    </w:rPr>
                    <w:t>/</w:t>
                  </w:r>
                </w:p>
              </w:tc>
            </w:tr>
          </w:tbl>
          <w:p>
            <w:pPr>
              <w:pStyle w:val="3230"/>
              <w:rPr>
                <w:rFonts w:eastAsiaTheme="minorEastAsia"/>
                <w:color w:val="auto"/>
                <w:szCs w:val="21"/>
                <w:vertAlign w:val="superscript"/>
              </w:rPr>
            </w:pPr>
            <w:r>
              <w:rPr>
                <w:rFonts w:eastAsiaTheme="minorEastAsia"/>
                <w:color w:val="auto"/>
                <w:szCs w:val="21"/>
              </w:rPr>
              <w:t>表3.</w:t>
            </w:r>
            <w:r>
              <w:rPr>
                <w:rFonts w:hint="eastAsia" w:eastAsiaTheme="minorEastAsia"/>
                <w:color w:val="auto"/>
                <w:szCs w:val="21"/>
              </w:rPr>
              <w:t>7</w:t>
            </w:r>
            <w:r>
              <w:rPr>
                <w:rFonts w:eastAsiaTheme="minorEastAsia"/>
                <w:color w:val="auto"/>
                <w:szCs w:val="21"/>
              </w:rPr>
              <w:t>-</w:t>
            </w:r>
            <w:r>
              <w:rPr>
                <w:rFonts w:hint="eastAsia" w:eastAsiaTheme="minorEastAsia"/>
                <w:color w:val="auto"/>
                <w:szCs w:val="21"/>
              </w:rPr>
              <w:t>2</w:t>
            </w:r>
            <w:r>
              <w:rPr>
                <w:rFonts w:eastAsiaTheme="minorEastAsia"/>
                <w:color w:val="auto"/>
                <w:szCs w:val="21"/>
              </w:rPr>
              <w:t xml:space="preserve">   </w:t>
            </w:r>
            <w:r>
              <w:rPr>
                <w:rFonts w:hint="eastAsia" w:eastAsiaTheme="minorEastAsia"/>
                <w:color w:val="auto"/>
                <w:szCs w:val="21"/>
              </w:rPr>
              <w:t>《炼钢工业大气污染物排放标准》（GB 28664-2012）</w:t>
            </w:r>
            <w:r>
              <w:rPr>
                <w:rFonts w:eastAsiaTheme="minorEastAsia"/>
                <w:color w:val="auto"/>
                <w:szCs w:val="21"/>
              </w:rPr>
              <w:t xml:space="preserve">   单位：mg/m</w:t>
            </w:r>
            <w:r>
              <w:rPr>
                <w:rFonts w:eastAsiaTheme="minorEastAsia"/>
                <w:color w:val="auto"/>
                <w:szCs w:val="21"/>
                <w:vertAlign w:val="superscript"/>
              </w:rPr>
              <w:t>3</w:t>
            </w:r>
          </w:p>
          <w:tbl>
            <w:tblPr>
              <w:tblStyle w:val="88"/>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2475"/>
              <w:gridCol w:w="1196"/>
              <w:gridCol w:w="1590"/>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28" w:type="pct"/>
                  <w:shd w:val="clear" w:color="auto" w:fill="auto"/>
                  <w:vAlign w:val="center"/>
                </w:tcPr>
                <w:p>
                  <w:pPr>
                    <w:pStyle w:val="186"/>
                    <w:textAlignment w:val="baseline"/>
                  </w:pPr>
                  <w:r>
                    <w:rPr>
                      <w:rFonts w:hint="eastAsia"/>
                    </w:rPr>
                    <w:t>污染物</w:t>
                  </w:r>
                </w:p>
              </w:tc>
              <w:tc>
                <w:tcPr>
                  <w:tcW w:w="1473" w:type="pct"/>
                  <w:shd w:val="clear" w:color="auto" w:fill="auto"/>
                  <w:vAlign w:val="center"/>
                </w:tcPr>
                <w:p>
                  <w:pPr>
                    <w:pStyle w:val="186"/>
                    <w:textAlignment w:val="baseline"/>
                  </w:pPr>
                  <w:r>
                    <w:rPr>
                      <w:rFonts w:hint="eastAsia"/>
                    </w:rPr>
                    <w:t>生产工序或设施</w:t>
                  </w:r>
                </w:p>
              </w:tc>
              <w:tc>
                <w:tcPr>
                  <w:tcW w:w="712" w:type="pct"/>
                  <w:shd w:val="clear" w:color="auto" w:fill="auto"/>
                  <w:vAlign w:val="center"/>
                </w:tcPr>
                <w:p>
                  <w:pPr>
                    <w:pStyle w:val="186"/>
                    <w:textAlignment w:val="baseline"/>
                  </w:pPr>
                  <w:r>
                    <w:rPr>
                      <w:rFonts w:hint="eastAsia"/>
                    </w:rPr>
                    <w:t>限值</w:t>
                  </w:r>
                </w:p>
              </w:tc>
              <w:tc>
                <w:tcPr>
                  <w:tcW w:w="946" w:type="pct"/>
                  <w:shd w:val="clear" w:color="auto" w:fill="auto"/>
                  <w:vAlign w:val="center"/>
                </w:tcPr>
                <w:p>
                  <w:pPr>
                    <w:pStyle w:val="186"/>
                    <w:textAlignment w:val="baseline"/>
                  </w:pPr>
                  <w:r>
                    <w:rPr>
                      <w:rFonts w:hint="eastAsia"/>
                    </w:rPr>
                    <w:t>污染物排放监控位置</w:t>
                  </w:r>
                </w:p>
              </w:tc>
              <w:tc>
                <w:tcPr>
                  <w:tcW w:w="1142" w:type="pct"/>
                  <w:shd w:val="clear" w:color="auto" w:fill="auto"/>
                  <w:vAlign w:val="center"/>
                </w:tcPr>
                <w:p>
                  <w:pPr>
                    <w:pStyle w:val="186"/>
                    <w:textAlignment w:val="baseline"/>
                  </w:pPr>
                  <w:r>
                    <w:rPr>
                      <w:rFonts w:hint="eastAsia"/>
                    </w:rPr>
                    <w:t>无组织浓度排放限值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8" w:type="pct"/>
                  <w:vMerge w:val="restart"/>
                  <w:shd w:val="clear" w:color="auto" w:fill="auto"/>
                  <w:vAlign w:val="center"/>
                </w:tcPr>
                <w:p>
                  <w:pPr>
                    <w:pStyle w:val="186"/>
                    <w:textAlignment w:val="baseline"/>
                  </w:pPr>
                  <w:r>
                    <w:rPr>
                      <w:rFonts w:hint="eastAsia"/>
                    </w:rPr>
                    <w:t>颗粒物</w:t>
                  </w:r>
                </w:p>
              </w:tc>
              <w:tc>
                <w:tcPr>
                  <w:tcW w:w="1473" w:type="pct"/>
                  <w:shd w:val="clear" w:color="auto" w:fill="auto"/>
                  <w:vAlign w:val="center"/>
                </w:tcPr>
                <w:p>
                  <w:pPr>
                    <w:pStyle w:val="186"/>
                    <w:textAlignment w:val="baseline"/>
                  </w:pPr>
                  <w:r>
                    <w:rPr>
                      <w:rFonts w:hint="eastAsia"/>
                    </w:rPr>
                    <w:t>电炉、精炼炉</w:t>
                  </w:r>
                </w:p>
              </w:tc>
              <w:tc>
                <w:tcPr>
                  <w:tcW w:w="712" w:type="pct"/>
                  <w:shd w:val="clear" w:color="auto" w:fill="auto"/>
                  <w:vAlign w:val="center"/>
                </w:tcPr>
                <w:p>
                  <w:pPr>
                    <w:pStyle w:val="186"/>
                    <w:textAlignment w:val="baseline"/>
                  </w:pPr>
                  <w:r>
                    <w:rPr>
                      <w:rFonts w:hint="eastAsia"/>
                    </w:rPr>
                    <w:t>20</w:t>
                  </w:r>
                </w:p>
              </w:tc>
              <w:tc>
                <w:tcPr>
                  <w:tcW w:w="946" w:type="pct"/>
                  <w:vMerge w:val="restart"/>
                  <w:shd w:val="clear" w:color="auto" w:fill="auto"/>
                  <w:vAlign w:val="center"/>
                </w:tcPr>
                <w:p>
                  <w:pPr>
                    <w:pStyle w:val="186"/>
                    <w:textAlignment w:val="baseline"/>
                  </w:pPr>
                  <w:r>
                    <w:rPr>
                      <w:rFonts w:hint="eastAsia"/>
                    </w:rPr>
                    <w:t>车间或生产设施排气筒</w:t>
                  </w:r>
                </w:p>
              </w:tc>
              <w:tc>
                <w:tcPr>
                  <w:tcW w:w="1142" w:type="pct"/>
                  <w:vMerge w:val="restart"/>
                  <w:shd w:val="clear" w:color="auto" w:fill="auto"/>
                  <w:vAlign w:val="center"/>
                </w:tcPr>
                <w:p>
                  <w:pPr>
                    <w:pStyle w:val="186"/>
                    <w:textAlignment w:val="baseline"/>
                  </w:pPr>
                  <w:r>
                    <w:rPr>
                      <w:rFonts w:hint="eastAsia"/>
                    </w:rPr>
                    <w:t>8.0</w:t>
                  </w:r>
                </w:p>
                <w:p>
                  <w:pPr>
                    <w:pStyle w:val="186"/>
                    <w:textAlignment w:val="baseline"/>
                  </w:pPr>
                  <w:r>
                    <w:rPr>
                      <w:rFonts w:hint="eastAsia"/>
                    </w:rPr>
                    <w:t>（有厂房生产车间）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28" w:type="pct"/>
                  <w:vMerge w:val="continue"/>
                  <w:shd w:val="clear" w:color="auto" w:fill="auto"/>
                  <w:vAlign w:val="center"/>
                </w:tcPr>
                <w:p>
                  <w:pPr>
                    <w:pStyle w:val="186"/>
                    <w:textAlignment w:val="baseline"/>
                  </w:pPr>
                </w:p>
              </w:tc>
              <w:tc>
                <w:tcPr>
                  <w:tcW w:w="1473" w:type="pct"/>
                  <w:shd w:val="clear" w:color="auto" w:fill="auto"/>
                  <w:vAlign w:val="center"/>
                </w:tcPr>
                <w:p>
                  <w:pPr>
                    <w:pStyle w:val="186"/>
                    <w:textAlignment w:val="baseline"/>
                  </w:pPr>
                  <w:r>
                    <w:rPr>
                      <w:rFonts w:hint="eastAsia"/>
                    </w:rPr>
                    <w:t>连铸切割</w:t>
                  </w:r>
                </w:p>
              </w:tc>
              <w:tc>
                <w:tcPr>
                  <w:tcW w:w="712" w:type="pct"/>
                  <w:shd w:val="clear" w:color="auto" w:fill="auto"/>
                  <w:vAlign w:val="center"/>
                </w:tcPr>
                <w:p>
                  <w:pPr>
                    <w:pStyle w:val="186"/>
                    <w:textAlignment w:val="baseline"/>
                  </w:pPr>
                  <w:r>
                    <w:rPr>
                      <w:rFonts w:hint="eastAsia"/>
                    </w:rPr>
                    <w:t>30</w:t>
                  </w:r>
                </w:p>
              </w:tc>
              <w:tc>
                <w:tcPr>
                  <w:tcW w:w="946" w:type="pct"/>
                  <w:vMerge w:val="continue"/>
                  <w:shd w:val="clear" w:color="auto" w:fill="auto"/>
                  <w:vAlign w:val="center"/>
                </w:tcPr>
                <w:p>
                  <w:pPr>
                    <w:pStyle w:val="186"/>
                    <w:textAlignment w:val="baseline"/>
                  </w:pPr>
                </w:p>
              </w:tc>
              <w:tc>
                <w:tcPr>
                  <w:tcW w:w="1142" w:type="pct"/>
                  <w:vMerge w:val="continue"/>
                  <w:shd w:val="clear" w:color="auto" w:fill="auto"/>
                  <w:vAlign w:val="center"/>
                </w:tcPr>
                <w:p>
                  <w:pPr>
                    <w:pStyle w:val="186"/>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28" w:type="pct"/>
                  <w:vMerge w:val="continue"/>
                  <w:shd w:val="clear" w:color="auto" w:fill="auto"/>
                  <w:vAlign w:val="center"/>
                </w:tcPr>
                <w:p>
                  <w:pPr>
                    <w:pStyle w:val="186"/>
                    <w:textAlignment w:val="baseline"/>
                  </w:pPr>
                </w:p>
              </w:tc>
              <w:tc>
                <w:tcPr>
                  <w:tcW w:w="1473" w:type="pct"/>
                  <w:shd w:val="clear" w:color="auto" w:fill="auto"/>
                  <w:vAlign w:val="center"/>
                </w:tcPr>
                <w:p>
                  <w:pPr>
                    <w:pStyle w:val="186"/>
                    <w:textAlignment w:val="baseline"/>
                  </w:pPr>
                  <w:r>
                    <w:rPr>
                      <w:rFonts w:hint="eastAsia"/>
                    </w:rPr>
                    <w:t>其他生产设施</w:t>
                  </w:r>
                </w:p>
              </w:tc>
              <w:tc>
                <w:tcPr>
                  <w:tcW w:w="712" w:type="pct"/>
                  <w:shd w:val="clear" w:color="auto" w:fill="auto"/>
                  <w:vAlign w:val="center"/>
                </w:tcPr>
                <w:p>
                  <w:pPr>
                    <w:pStyle w:val="186"/>
                    <w:textAlignment w:val="baseline"/>
                  </w:pPr>
                  <w:r>
                    <w:rPr>
                      <w:rFonts w:hint="eastAsia"/>
                    </w:rPr>
                    <w:t>20</w:t>
                  </w:r>
                </w:p>
              </w:tc>
              <w:tc>
                <w:tcPr>
                  <w:tcW w:w="946" w:type="pct"/>
                  <w:vMerge w:val="continue"/>
                  <w:shd w:val="clear" w:color="auto" w:fill="auto"/>
                  <w:vAlign w:val="center"/>
                </w:tcPr>
                <w:p>
                  <w:pPr>
                    <w:pStyle w:val="186"/>
                    <w:textAlignment w:val="baseline"/>
                  </w:pPr>
                </w:p>
              </w:tc>
              <w:tc>
                <w:tcPr>
                  <w:tcW w:w="1142" w:type="pct"/>
                  <w:vMerge w:val="continue"/>
                  <w:shd w:val="clear" w:color="auto" w:fill="auto"/>
                  <w:vAlign w:val="center"/>
                </w:tcPr>
                <w:p>
                  <w:pPr>
                    <w:pStyle w:val="186"/>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28" w:type="pct"/>
                  <w:shd w:val="clear" w:color="auto" w:fill="auto"/>
                  <w:vAlign w:val="center"/>
                </w:tcPr>
                <w:p>
                  <w:pPr>
                    <w:pStyle w:val="186"/>
                    <w:textAlignment w:val="baseline"/>
                  </w:pPr>
                  <w:r>
                    <w:rPr>
                      <w:rFonts w:hint="eastAsia"/>
                    </w:rPr>
                    <w:t>二噁英</w:t>
                  </w:r>
                </w:p>
              </w:tc>
              <w:tc>
                <w:tcPr>
                  <w:tcW w:w="1473" w:type="pct"/>
                  <w:shd w:val="clear" w:color="auto" w:fill="auto"/>
                  <w:vAlign w:val="center"/>
                </w:tcPr>
                <w:p>
                  <w:pPr>
                    <w:pStyle w:val="186"/>
                    <w:textAlignment w:val="baseline"/>
                    <w:rPr>
                      <w:kern w:val="0"/>
                    </w:rPr>
                  </w:pPr>
                  <w:r>
                    <w:rPr>
                      <w:rFonts w:hint="eastAsia"/>
                    </w:rPr>
                    <w:t>电炉</w:t>
                  </w:r>
                </w:p>
                <w:p>
                  <w:pPr>
                    <w:pStyle w:val="186"/>
                    <w:textAlignment w:val="baseline"/>
                  </w:pPr>
                  <w:r>
                    <w:rPr>
                      <w:kern w:val="0"/>
                    </w:rPr>
                    <w:t>ng</w:t>
                  </w:r>
                  <w:r>
                    <w:rPr>
                      <w:rFonts w:hint="eastAsia"/>
                      <w:kern w:val="0"/>
                    </w:rPr>
                    <w:t>-</w:t>
                  </w:r>
                  <w:r>
                    <w:rPr>
                      <w:kern w:val="0"/>
                    </w:rPr>
                    <w:t>TEQ/m</w:t>
                  </w:r>
                  <w:r>
                    <w:rPr>
                      <w:kern w:val="0"/>
                      <w:vertAlign w:val="superscript"/>
                    </w:rPr>
                    <w:t>3</w:t>
                  </w:r>
                </w:p>
              </w:tc>
              <w:tc>
                <w:tcPr>
                  <w:tcW w:w="712" w:type="pct"/>
                  <w:shd w:val="clear" w:color="auto" w:fill="auto"/>
                  <w:vAlign w:val="center"/>
                </w:tcPr>
                <w:p>
                  <w:pPr>
                    <w:pStyle w:val="186"/>
                    <w:textAlignment w:val="baseline"/>
                  </w:pPr>
                  <w:r>
                    <w:rPr>
                      <w:rFonts w:hint="eastAsia"/>
                    </w:rPr>
                    <w:t>0.5</w:t>
                  </w:r>
                </w:p>
              </w:tc>
              <w:tc>
                <w:tcPr>
                  <w:tcW w:w="946" w:type="pct"/>
                  <w:vMerge w:val="continue"/>
                  <w:shd w:val="clear" w:color="auto" w:fill="auto"/>
                  <w:vAlign w:val="center"/>
                </w:tcPr>
                <w:p>
                  <w:pPr>
                    <w:pStyle w:val="186"/>
                    <w:textAlignment w:val="baseline"/>
                  </w:pPr>
                </w:p>
              </w:tc>
              <w:tc>
                <w:tcPr>
                  <w:tcW w:w="1142" w:type="pct"/>
                  <w:shd w:val="clear" w:color="auto" w:fill="auto"/>
                  <w:vAlign w:val="center"/>
                </w:tcPr>
                <w:p>
                  <w:pPr>
                    <w:pStyle w:val="186"/>
                    <w:textAlignment w:val="baseline"/>
                  </w:pPr>
                  <w:r>
                    <w:rPr>
                      <w:rFonts w:hint="eastAsia"/>
                    </w:rPr>
                    <w:t>/</w:t>
                  </w:r>
                </w:p>
              </w:tc>
            </w:tr>
          </w:tbl>
          <w:p>
            <w:pPr>
              <w:pStyle w:val="3230"/>
              <w:rPr>
                <w:rFonts w:eastAsiaTheme="minorEastAsia"/>
                <w:color w:val="auto"/>
                <w:szCs w:val="21"/>
              </w:rPr>
            </w:pPr>
            <w:r>
              <w:rPr>
                <w:rFonts w:eastAsiaTheme="minorEastAsia"/>
                <w:color w:val="auto"/>
                <w:szCs w:val="21"/>
              </w:rPr>
              <w:t>表3.</w:t>
            </w:r>
            <w:r>
              <w:rPr>
                <w:rFonts w:hint="eastAsia" w:eastAsiaTheme="minorEastAsia"/>
                <w:color w:val="auto"/>
                <w:szCs w:val="21"/>
              </w:rPr>
              <w:t>7</w:t>
            </w:r>
            <w:r>
              <w:rPr>
                <w:rFonts w:eastAsiaTheme="minorEastAsia"/>
                <w:color w:val="auto"/>
                <w:szCs w:val="21"/>
              </w:rPr>
              <w:t>-</w:t>
            </w:r>
            <w:r>
              <w:rPr>
                <w:rFonts w:hint="eastAsia" w:eastAsiaTheme="minorEastAsia"/>
                <w:color w:val="auto"/>
                <w:szCs w:val="21"/>
              </w:rPr>
              <w:t>3</w:t>
            </w:r>
            <w:r>
              <w:rPr>
                <w:rFonts w:eastAsiaTheme="minorEastAsia"/>
                <w:color w:val="auto"/>
                <w:szCs w:val="21"/>
              </w:rPr>
              <w:t xml:space="preserve">   </w:t>
            </w:r>
            <w:r>
              <w:rPr>
                <w:rFonts w:hint="eastAsia" w:eastAsiaTheme="minorEastAsia"/>
                <w:color w:val="auto"/>
                <w:szCs w:val="21"/>
              </w:rPr>
              <w:t xml:space="preserve">《轧钢工业大气污染物排放标准》（GB 28665-2012） </w:t>
            </w:r>
            <w:r>
              <w:rPr>
                <w:rFonts w:eastAsiaTheme="minorEastAsia"/>
                <w:color w:val="auto"/>
                <w:szCs w:val="21"/>
              </w:rPr>
              <w:t>单位：mg/m</w:t>
            </w:r>
            <w:r>
              <w:rPr>
                <w:rFonts w:eastAsiaTheme="minorEastAsia"/>
                <w:color w:val="auto"/>
                <w:szCs w:val="21"/>
                <w:vertAlign w:val="superscript"/>
              </w:rPr>
              <w:t>3</w:t>
            </w:r>
          </w:p>
          <w:tbl>
            <w:tblPr>
              <w:tblStyle w:val="88"/>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2475"/>
              <w:gridCol w:w="1196"/>
              <w:gridCol w:w="1590"/>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28" w:type="pct"/>
                  <w:shd w:val="clear" w:color="auto" w:fill="auto"/>
                  <w:vAlign w:val="center"/>
                </w:tcPr>
                <w:p>
                  <w:pPr>
                    <w:pStyle w:val="186"/>
                    <w:textAlignment w:val="baseline"/>
                  </w:pPr>
                  <w:r>
                    <w:rPr>
                      <w:rFonts w:hint="eastAsia"/>
                    </w:rPr>
                    <w:t>污染物</w:t>
                  </w:r>
                </w:p>
              </w:tc>
              <w:tc>
                <w:tcPr>
                  <w:tcW w:w="1473" w:type="pct"/>
                  <w:shd w:val="clear" w:color="auto" w:fill="auto"/>
                  <w:vAlign w:val="center"/>
                </w:tcPr>
                <w:p>
                  <w:pPr>
                    <w:pStyle w:val="186"/>
                    <w:textAlignment w:val="baseline"/>
                  </w:pPr>
                  <w:r>
                    <w:rPr>
                      <w:rFonts w:hint="eastAsia"/>
                    </w:rPr>
                    <w:t>生产工序或设施</w:t>
                  </w:r>
                </w:p>
              </w:tc>
              <w:tc>
                <w:tcPr>
                  <w:tcW w:w="712" w:type="pct"/>
                  <w:shd w:val="clear" w:color="auto" w:fill="auto"/>
                  <w:vAlign w:val="center"/>
                </w:tcPr>
                <w:p>
                  <w:pPr>
                    <w:pStyle w:val="186"/>
                    <w:textAlignment w:val="baseline"/>
                  </w:pPr>
                  <w:r>
                    <w:rPr>
                      <w:rFonts w:hint="eastAsia"/>
                    </w:rPr>
                    <w:t>限值</w:t>
                  </w:r>
                </w:p>
              </w:tc>
              <w:tc>
                <w:tcPr>
                  <w:tcW w:w="946" w:type="pct"/>
                  <w:shd w:val="clear" w:color="auto" w:fill="auto"/>
                  <w:vAlign w:val="center"/>
                </w:tcPr>
                <w:p>
                  <w:pPr>
                    <w:pStyle w:val="186"/>
                    <w:textAlignment w:val="baseline"/>
                  </w:pPr>
                  <w:r>
                    <w:rPr>
                      <w:rFonts w:hint="eastAsia"/>
                    </w:rPr>
                    <w:t>污染物排放监控位置</w:t>
                  </w:r>
                </w:p>
              </w:tc>
              <w:tc>
                <w:tcPr>
                  <w:tcW w:w="1142" w:type="pct"/>
                  <w:shd w:val="clear" w:color="auto" w:fill="auto"/>
                  <w:vAlign w:val="center"/>
                </w:tcPr>
                <w:p>
                  <w:pPr>
                    <w:pStyle w:val="186"/>
                    <w:textAlignment w:val="baseline"/>
                  </w:pPr>
                  <w:r>
                    <w:rPr>
                      <w:rFonts w:hint="eastAsia"/>
                    </w:rPr>
                    <w:t>无组织浓度排放限值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8" w:type="pct"/>
                  <w:vMerge w:val="restart"/>
                  <w:shd w:val="clear" w:color="auto" w:fill="auto"/>
                  <w:vAlign w:val="center"/>
                </w:tcPr>
                <w:p>
                  <w:pPr>
                    <w:pStyle w:val="186"/>
                    <w:textAlignment w:val="baseline"/>
                  </w:pPr>
                  <w:r>
                    <w:rPr>
                      <w:rFonts w:hint="eastAsia"/>
                    </w:rPr>
                    <w:t>颗粒物</w:t>
                  </w:r>
                </w:p>
              </w:tc>
              <w:tc>
                <w:tcPr>
                  <w:tcW w:w="1473" w:type="pct"/>
                  <w:shd w:val="clear" w:color="auto" w:fill="auto"/>
                  <w:vAlign w:val="center"/>
                </w:tcPr>
                <w:p>
                  <w:pPr>
                    <w:pStyle w:val="186"/>
                    <w:textAlignment w:val="baseline"/>
                  </w:pPr>
                  <w:r>
                    <w:rPr>
                      <w:rFonts w:hint="eastAsia"/>
                    </w:rPr>
                    <w:t>热轧精轧机</w:t>
                  </w:r>
                </w:p>
              </w:tc>
              <w:tc>
                <w:tcPr>
                  <w:tcW w:w="712" w:type="pct"/>
                  <w:shd w:val="clear" w:color="auto" w:fill="auto"/>
                  <w:vAlign w:val="center"/>
                </w:tcPr>
                <w:p>
                  <w:pPr>
                    <w:pStyle w:val="186"/>
                    <w:textAlignment w:val="baseline"/>
                  </w:pPr>
                  <w:r>
                    <w:rPr>
                      <w:rFonts w:hint="eastAsia"/>
                    </w:rPr>
                    <w:t>30</w:t>
                  </w:r>
                </w:p>
              </w:tc>
              <w:tc>
                <w:tcPr>
                  <w:tcW w:w="946" w:type="pct"/>
                  <w:vMerge w:val="restart"/>
                  <w:shd w:val="clear" w:color="auto" w:fill="auto"/>
                  <w:vAlign w:val="center"/>
                </w:tcPr>
                <w:p>
                  <w:pPr>
                    <w:pStyle w:val="186"/>
                    <w:textAlignment w:val="baseline"/>
                  </w:pPr>
                  <w:r>
                    <w:rPr>
                      <w:rFonts w:hint="eastAsia"/>
                    </w:rPr>
                    <w:t>车间或生产设施排气筒</w:t>
                  </w:r>
                </w:p>
              </w:tc>
              <w:tc>
                <w:tcPr>
                  <w:tcW w:w="1142" w:type="pct"/>
                  <w:vMerge w:val="restart"/>
                  <w:shd w:val="clear" w:color="auto" w:fill="auto"/>
                  <w:vAlign w:val="center"/>
                </w:tcPr>
                <w:p>
                  <w:pPr>
                    <w:pStyle w:val="186"/>
                    <w:textAlignment w:val="baseline"/>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hRule="atLeast"/>
                <w:jc w:val="center"/>
              </w:trPr>
              <w:tc>
                <w:tcPr>
                  <w:tcW w:w="728" w:type="pct"/>
                  <w:vMerge w:val="continue"/>
                  <w:shd w:val="clear" w:color="auto" w:fill="auto"/>
                  <w:vAlign w:val="center"/>
                </w:tcPr>
                <w:p>
                  <w:pPr>
                    <w:pStyle w:val="186"/>
                    <w:textAlignment w:val="baseline"/>
                  </w:pPr>
                </w:p>
              </w:tc>
              <w:tc>
                <w:tcPr>
                  <w:tcW w:w="1473" w:type="pct"/>
                  <w:shd w:val="clear" w:color="auto" w:fill="auto"/>
                  <w:vAlign w:val="center"/>
                </w:tcPr>
                <w:p>
                  <w:pPr>
                    <w:pStyle w:val="186"/>
                    <w:textAlignment w:val="baseline"/>
                  </w:pPr>
                  <w:r>
                    <w:rPr>
                      <w:rFonts w:hint="eastAsia"/>
                    </w:rPr>
                    <w:t>热处理炉</w:t>
                  </w:r>
                </w:p>
              </w:tc>
              <w:tc>
                <w:tcPr>
                  <w:tcW w:w="712" w:type="pct"/>
                  <w:shd w:val="clear" w:color="auto" w:fill="auto"/>
                  <w:vAlign w:val="center"/>
                </w:tcPr>
                <w:p>
                  <w:pPr>
                    <w:pStyle w:val="186"/>
                    <w:textAlignment w:val="baseline"/>
                  </w:pPr>
                  <w:r>
                    <w:rPr>
                      <w:rFonts w:hint="eastAsia"/>
                    </w:rPr>
                    <w:t>20</w:t>
                  </w:r>
                </w:p>
              </w:tc>
              <w:tc>
                <w:tcPr>
                  <w:tcW w:w="946" w:type="pct"/>
                  <w:vMerge w:val="continue"/>
                  <w:shd w:val="clear" w:color="auto" w:fill="auto"/>
                  <w:vAlign w:val="center"/>
                </w:tcPr>
                <w:p>
                  <w:pPr>
                    <w:pStyle w:val="186"/>
                    <w:textAlignment w:val="baseline"/>
                  </w:pPr>
                </w:p>
              </w:tc>
              <w:tc>
                <w:tcPr>
                  <w:tcW w:w="1142" w:type="pct"/>
                  <w:vMerge w:val="continue"/>
                  <w:shd w:val="clear" w:color="auto" w:fill="auto"/>
                  <w:vAlign w:val="center"/>
                </w:tcPr>
                <w:p>
                  <w:pPr>
                    <w:pStyle w:val="186"/>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hRule="atLeast"/>
                <w:jc w:val="center"/>
              </w:trPr>
              <w:tc>
                <w:tcPr>
                  <w:tcW w:w="728" w:type="pct"/>
                  <w:shd w:val="clear" w:color="auto" w:fill="auto"/>
                  <w:vAlign w:val="center"/>
                </w:tcPr>
                <w:p>
                  <w:pPr>
                    <w:pStyle w:val="186"/>
                    <w:textAlignment w:val="baseline"/>
                  </w:pPr>
                  <w:r>
                    <w:rPr>
                      <w:rFonts w:hint="eastAsia"/>
                    </w:rPr>
                    <w:t>二氧化硫</w:t>
                  </w:r>
                </w:p>
              </w:tc>
              <w:tc>
                <w:tcPr>
                  <w:tcW w:w="1473" w:type="pct"/>
                  <w:shd w:val="clear" w:color="auto" w:fill="auto"/>
                  <w:vAlign w:val="center"/>
                </w:tcPr>
                <w:p>
                  <w:pPr>
                    <w:pStyle w:val="186"/>
                    <w:textAlignment w:val="baseline"/>
                  </w:pPr>
                  <w:r>
                    <w:rPr>
                      <w:rFonts w:hint="eastAsia"/>
                    </w:rPr>
                    <w:t>热处理炉</w:t>
                  </w:r>
                </w:p>
              </w:tc>
              <w:tc>
                <w:tcPr>
                  <w:tcW w:w="712" w:type="pct"/>
                  <w:shd w:val="clear" w:color="auto" w:fill="auto"/>
                  <w:vAlign w:val="center"/>
                </w:tcPr>
                <w:p>
                  <w:pPr>
                    <w:pStyle w:val="186"/>
                    <w:textAlignment w:val="baseline"/>
                  </w:pPr>
                  <w:r>
                    <w:rPr>
                      <w:rFonts w:hint="eastAsia"/>
                    </w:rPr>
                    <w:t>150</w:t>
                  </w:r>
                </w:p>
              </w:tc>
              <w:tc>
                <w:tcPr>
                  <w:tcW w:w="946" w:type="pct"/>
                  <w:vMerge w:val="continue"/>
                  <w:shd w:val="clear" w:color="auto" w:fill="auto"/>
                  <w:vAlign w:val="center"/>
                </w:tcPr>
                <w:p>
                  <w:pPr>
                    <w:pStyle w:val="186"/>
                    <w:textAlignment w:val="baseline"/>
                  </w:pPr>
                </w:p>
              </w:tc>
              <w:tc>
                <w:tcPr>
                  <w:tcW w:w="1142" w:type="pct"/>
                  <w:shd w:val="clear" w:color="auto" w:fill="auto"/>
                  <w:vAlign w:val="center"/>
                </w:tcPr>
                <w:p>
                  <w:pPr>
                    <w:pStyle w:val="186"/>
                    <w:textAlignment w:val="baseline"/>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28" w:type="pct"/>
                  <w:shd w:val="clear" w:color="auto" w:fill="auto"/>
                  <w:vAlign w:val="center"/>
                </w:tcPr>
                <w:p>
                  <w:pPr>
                    <w:pStyle w:val="186"/>
                    <w:textAlignment w:val="baseline"/>
                  </w:pPr>
                  <w:r>
                    <w:rPr>
                      <w:rFonts w:hint="eastAsia"/>
                    </w:rPr>
                    <w:t>氮氧化物</w:t>
                  </w:r>
                </w:p>
              </w:tc>
              <w:tc>
                <w:tcPr>
                  <w:tcW w:w="1473" w:type="pct"/>
                  <w:shd w:val="clear" w:color="auto" w:fill="auto"/>
                  <w:vAlign w:val="center"/>
                </w:tcPr>
                <w:p>
                  <w:pPr>
                    <w:pStyle w:val="186"/>
                    <w:textAlignment w:val="baseline"/>
                  </w:pPr>
                  <w:r>
                    <w:rPr>
                      <w:rFonts w:hint="eastAsia"/>
                    </w:rPr>
                    <w:t>热处理炉</w:t>
                  </w:r>
                </w:p>
              </w:tc>
              <w:tc>
                <w:tcPr>
                  <w:tcW w:w="712" w:type="pct"/>
                  <w:shd w:val="clear" w:color="auto" w:fill="auto"/>
                  <w:vAlign w:val="center"/>
                </w:tcPr>
                <w:p>
                  <w:pPr>
                    <w:pStyle w:val="186"/>
                    <w:textAlignment w:val="baseline"/>
                  </w:pPr>
                  <w:r>
                    <w:rPr>
                      <w:rFonts w:hint="eastAsia"/>
                    </w:rPr>
                    <w:t>300</w:t>
                  </w:r>
                </w:p>
              </w:tc>
              <w:tc>
                <w:tcPr>
                  <w:tcW w:w="946" w:type="pct"/>
                  <w:vMerge w:val="continue"/>
                  <w:shd w:val="clear" w:color="auto" w:fill="auto"/>
                  <w:vAlign w:val="center"/>
                </w:tcPr>
                <w:p>
                  <w:pPr>
                    <w:pStyle w:val="186"/>
                    <w:textAlignment w:val="baseline"/>
                  </w:pPr>
                </w:p>
              </w:tc>
              <w:tc>
                <w:tcPr>
                  <w:tcW w:w="1142" w:type="pct"/>
                  <w:shd w:val="clear" w:color="auto" w:fill="auto"/>
                  <w:vAlign w:val="center"/>
                </w:tcPr>
                <w:p>
                  <w:pPr>
                    <w:pStyle w:val="186"/>
                    <w:textAlignment w:val="baseline"/>
                  </w:pPr>
                  <w:r>
                    <w:rPr>
                      <w:rFonts w:hint="eastAsia"/>
                    </w:rPr>
                    <w:t>/</w:t>
                  </w:r>
                </w:p>
              </w:tc>
            </w:tr>
          </w:tbl>
          <w:p>
            <w:pPr>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04" w:hRule="atLeast"/>
          <w:jc w:val="center"/>
        </w:trPr>
        <w:tc>
          <w:tcPr>
            <w:tcW w:w="484" w:type="dxa"/>
            <w:tcBorders>
              <w:top w:val="single" w:color="auto" w:sz="4" w:space="0"/>
              <w:left w:val="single" w:color="auto" w:sz="8" w:space="0"/>
              <w:bottom w:val="single" w:color="auto" w:sz="8" w:space="0"/>
              <w:right w:val="single" w:color="auto" w:sz="4" w:space="0"/>
            </w:tcBorders>
            <w:tcMar>
              <w:top w:w="16" w:type="dxa"/>
              <w:left w:w="16" w:type="dxa"/>
              <w:right w:w="16" w:type="dxa"/>
            </w:tcMar>
            <w:vAlign w:val="center"/>
          </w:tcPr>
          <w:p>
            <w:pPr>
              <w:pStyle w:val="169"/>
              <w:rPr>
                <w:sz w:val="24"/>
                <w:szCs w:val="24"/>
              </w:rPr>
            </w:pPr>
            <w:r>
              <w:rPr>
                <w:rFonts w:hint="eastAsia"/>
                <w:sz w:val="24"/>
                <w:szCs w:val="24"/>
              </w:rPr>
              <w:t>区域环境质量现状</w:t>
            </w:r>
          </w:p>
        </w:tc>
        <w:tc>
          <w:tcPr>
            <w:tcW w:w="8488" w:type="dxa"/>
            <w:tcBorders>
              <w:top w:val="single" w:color="auto" w:sz="4" w:space="0"/>
              <w:left w:val="single" w:color="auto" w:sz="4" w:space="0"/>
              <w:bottom w:val="single" w:color="auto" w:sz="8" w:space="0"/>
              <w:right w:val="single" w:color="auto" w:sz="8" w:space="0"/>
            </w:tcBorders>
            <w:vAlign w:val="center"/>
          </w:tcPr>
          <w:p>
            <w:pPr>
              <w:pStyle w:val="3230"/>
              <w:rPr>
                <w:rFonts w:eastAsiaTheme="minorEastAsia"/>
                <w:color w:val="auto"/>
              </w:rPr>
            </w:pPr>
            <w:r>
              <w:rPr>
                <w:rFonts w:eastAsiaTheme="minorEastAsia"/>
                <w:color w:val="auto"/>
              </w:rPr>
              <w:t>表3.</w:t>
            </w:r>
            <w:r>
              <w:rPr>
                <w:rFonts w:hint="eastAsia" w:eastAsiaTheme="minorEastAsia"/>
                <w:color w:val="auto"/>
              </w:rPr>
              <w:t>7</w:t>
            </w:r>
            <w:r>
              <w:rPr>
                <w:rFonts w:eastAsiaTheme="minorEastAsia"/>
                <w:color w:val="auto"/>
              </w:rPr>
              <w:t>-</w:t>
            </w:r>
            <w:r>
              <w:rPr>
                <w:rFonts w:hint="eastAsia" w:eastAsiaTheme="minorEastAsia"/>
                <w:color w:val="auto"/>
              </w:rPr>
              <w:t>4</w:t>
            </w:r>
            <w:r>
              <w:rPr>
                <w:rFonts w:eastAsiaTheme="minorEastAsia"/>
                <w:color w:val="auto"/>
                <w:szCs w:val="21"/>
              </w:rPr>
              <w:t xml:space="preserve">  《</w:t>
            </w:r>
            <w:r>
              <w:rPr>
                <w:rFonts w:eastAsiaTheme="minorEastAsia"/>
                <w:snapToGrid w:val="0"/>
                <w:color w:val="auto"/>
              </w:rPr>
              <w:t>工业炉窑大气污染物排放标准</w:t>
            </w:r>
            <w:r>
              <w:rPr>
                <w:rFonts w:eastAsiaTheme="minorEastAsia"/>
                <w:color w:val="auto"/>
                <w:szCs w:val="21"/>
              </w:rPr>
              <w:t>》（</w:t>
            </w:r>
            <w:r>
              <w:rPr>
                <w:rFonts w:eastAsiaTheme="minorEastAsia"/>
                <w:snapToGrid w:val="0"/>
                <w:color w:val="auto"/>
              </w:rPr>
              <w:t>DB50/659-2016</w:t>
            </w:r>
            <w:r>
              <w:rPr>
                <w:rFonts w:eastAsiaTheme="minorEastAsia"/>
                <w:color w:val="auto"/>
                <w:szCs w:val="21"/>
              </w:rPr>
              <w:t>） [摘录]   单位：mg</w:t>
            </w:r>
            <w:r>
              <w:rPr>
                <w:rFonts w:eastAsiaTheme="minorEastAsia"/>
                <w:color w:val="auto"/>
              </w:rPr>
              <w:t>/m</w:t>
            </w:r>
            <w:r>
              <w:rPr>
                <w:rFonts w:eastAsiaTheme="minorEastAsia"/>
                <w:color w:val="auto"/>
                <w:vertAlign w:val="superscript"/>
              </w:rPr>
              <w:t>3</w:t>
            </w:r>
          </w:p>
          <w:tbl>
            <w:tblPr>
              <w:tblStyle w:val="88"/>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35"/>
              <w:gridCol w:w="1417"/>
              <w:gridCol w:w="1667"/>
              <w:gridCol w:w="2046"/>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129" w:type="dxa"/>
                  <w:shd w:val="clear" w:color="auto" w:fill="auto"/>
                </w:tcPr>
                <w:p>
                  <w:pPr>
                    <w:pStyle w:val="186"/>
                  </w:pPr>
                  <w:r>
                    <w:rPr>
                      <w:rFonts w:hint="eastAsia"/>
                    </w:rPr>
                    <w:t>序号</w:t>
                  </w:r>
                </w:p>
              </w:tc>
              <w:tc>
                <w:tcPr>
                  <w:tcW w:w="3069" w:type="dxa"/>
                  <w:gridSpan w:val="2"/>
                  <w:shd w:val="clear" w:color="auto" w:fill="auto"/>
                </w:tcPr>
                <w:p>
                  <w:pPr>
                    <w:pStyle w:val="186"/>
                  </w:pPr>
                  <w:r>
                    <w:rPr>
                      <w:rFonts w:hint="eastAsia"/>
                    </w:rPr>
                    <w:t>有害污染物名称</w:t>
                  </w:r>
                </w:p>
              </w:tc>
              <w:tc>
                <w:tcPr>
                  <w:tcW w:w="2036" w:type="dxa"/>
                  <w:shd w:val="clear" w:color="auto" w:fill="auto"/>
                </w:tcPr>
                <w:p>
                  <w:pPr>
                    <w:pStyle w:val="186"/>
                  </w:pPr>
                  <w:r>
                    <w:rPr>
                      <w:rFonts w:hint="eastAsia"/>
                    </w:rPr>
                    <w:t>适用区域</w:t>
                  </w:r>
                </w:p>
              </w:tc>
              <w:tc>
                <w:tcPr>
                  <w:tcW w:w="2141" w:type="dxa"/>
                  <w:shd w:val="clear" w:color="auto" w:fill="auto"/>
                </w:tcPr>
                <w:p>
                  <w:pPr>
                    <w:pStyle w:val="186"/>
                  </w:pPr>
                  <w:r>
                    <w:rPr>
                      <w:rFonts w:hint="eastAsia"/>
                    </w:rPr>
                    <w:t>最高允许浓度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129" w:type="dxa"/>
                  <w:shd w:val="clear" w:color="auto" w:fill="auto"/>
                </w:tcPr>
                <w:p>
                  <w:pPr>
                    <w:pStyle w:val="186"/>
                  </w:pPr>
                  <w:r>
                    <w:rPr>
                      <w:rFonts w:hint="eastAsia"/>
                    </w:rPr>
                    <w:t>1</w:t>
                  </w:r>
                </w:p>
              </w:tc>
              <w:tc>
                <w:tcPr>
                  <w:tcW w:w="1410" w:type="dxa"/>
                  <w:shd w:val="clear" w:color="auto" w:fill="auto"/>
                  <w:vAlign w:val="center"/>
                </w:tcPr>
                <w:p>
                  <w:pPr>
                    <w:pStyle w:val="186"/>
                  </w:pPr>
                  <w:r>
                    <w:rPr>
                      <w:rFonts w:hint="eastAsia"/>
                    </w:rPr>
                    <w:t>二氧化硫</w:t>
                  </w:r>
                </w:p>
              </w:tc>
              <w:tc>
                <w:tcPr>
                  <w:tcW w:w="1659" w:type="dxa"/>
                  <w:shd w:val="clear" w:color="auto" w:fill="auto"/>
                </w:tcPr>
                <w:p>
                  <w:pPr>
                    <w:pStyle w:val="186"/>
                  </w:pPr>
                  <w:r>
                    <w:rPr>
                      <w:rFonts w:hint="eastAsia"/>
                    </w:rPr>
                    <w:t>其他窑炉</w:t>
                  </w:r>
                </w:p>
              </w:tc>
              <w:tc>
                <w:tcPr>
                  <w:tcW w:w="2036" w:type="dxa"/>
                  <w:shd w:val="clear" w:color="auto" w:fill="auto"/>
                </w:tcPr>
                <w:p>
                  <w:pPr>
                    <w:pStyle w:val="186"/>
                  </w:pPr>
                  <w:r>
                    <w:rPr>
                      <w:rFonts w:hint="eastAsia"/>
                    </w:rPr>
                    <w:t>其他区域</w:t>
                  </w:r>
                </w:p>
              </w:tc>
              <w:tc>
                <w:tcPr>
                  <w:tcW w:w="2141" w:type="dxa"/>
                  <w:shd w:val="clear" w:color="auto" w:fill="auto"/>
                </w:tcPr>
                <w:p>
                  <w:pPr>
                    <w:pStyle w:val="186"/>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29" w:type="dxa"/>
                  <w:shd w:val="clear" w:color="auto" w:fill="auto"/>
                </w:tcPr>
                <w:p>
                  <w:pPr>
                    <w:pStyle w:val="186"/>
                  </w:pPr>
                  <w:r>
                    <w:rPr>
                      <w:rFonts w:hint="eastAsia"/>
                    </w:rPr>
                    <w:t>2</w:t>
                  </w:r>
                </w:p>
              </w:tc>
              <w:tc>
                <w:tcPr>
                  <w:tcW w:w="1410" w:type="dxa"/>
                  <w:shd w:val="clear" w:color="auto" w:fill="auto"/>
                  <w:vAlign w:val="center"/>
                </w:tcPr>
                <w:p>
                  <w:pPr>
                    <w:pStyle w:val="186"/>
                  </w:pPr>
                  <w:r>
                    <w:rPr>
                      <w:rFonts w:hint="eastAsia"/>
                    </w:rPr>
                    <w:t>氮氧化物</w:t>
                  </w:r>
                </w:p>
              </w:tc>
              <w:tc>
                <w:tcPr>
                  <w:tcW w:w="1659" w:type="dxa"/>
                  <w:shd w:val="clear" w:color="auto" w:fill="auto"/>
                </w:tcPr>
                <w:p>
                  <w:pPr>
                    <w:pStyle w:val="186"/>
                  </w:pPr>
                  <w:r>
                    <w:rPr>
                      <w:rFonts w:hint="eastAsia"/>
                    </w:rPr>
                    <w:t>其他窑炉</w:t>
                  </w:r>
                </w:p>
              </w:tc>
              <w:tc>
                <w:tcPr>
                  <w:tcW w:w="2036" w:type="dxa"/>
                  <w:shd w:val="clear" w:color="auto" w:fill="auto"/>
                </w:tcPr>
                <w:p>
                  <w:pPr>
                    <w:pStyle w:val="186"/>
                  </w:pPr>
                  <w:r>
                    <w:rPr>
                      <w:rFonts w:hint="eastAsia"/>
                    </w:rPr>
                    <w:t>其他区域</w:t>
                  </w:r>
                </w:p>
              </w:tc>
              <w:tc>
                <w:tcPr>
                  <w:tcW w:w="2141" w:type="dxa"/>
                  <w:shd w:val="clear" w:color="auto" w:fill="auto"/>
                </w:tcPr>
                <w:p>
                  <w:pPr>
                    <w:pStyle w:val="186"/>
                  </w:pPr>
                  <w:r>
                    <w:rPr>
                      <w:rFonts w:hint="eastAsia"/>
                    </w:rPr>
                    <w:t>700</w:t>
                  </w:r>
                </w:p>
              </w:tc>
            </w:tr>
          </w:tbl>
          <w:p>
            <w:pPr>
              <w:pStyle w:val="3230"/>
              <w:rPr>
                <w:rFonts w:eastAsiaTheme="minorEastAsia"/>
                <w:color w:val="auto"/>
              </w:rPr>
            </w:pPr>
            <w:r>
              <w:rPr>
                <w:rFonts w:eastAsiaTheme="minorEastAsia"/>
                <w:color w:val="auto"/>
              </w:rPr>
              <w:t>表</w:t>
            </w:r>
            <w:r>
              <w:rPr>
                <w:rFonts w:eastAsiaTheme="minorEastAsia"/>
                <w:color w:val="auto"/>
                <w:spacing w:val="-60"/>
              </w:rPr>
              <w:t xml:space="preserve"> </w:t>
            </w:r>
            <w:r>
              <w:rPr>
                <w:rFonts w:eastAsiaTheme="minorEastAsia"/>
                <w:color w:val="auto"/>
              </w:rPr>
              <w:t>3.</w:t>
            </w:r>
            <w:r>
              <w:rPr>
                <w:rFonts w:hint="eastAsia" w:eastAsiaTheme="minorEastAsia"/>
                <w:color w:val="auto"/>
              </w:rPr>
              <w:t>7</w:t>
            </w:r>
            <w:r>
              <w:rPr>
                <w:rFonts w:eastAsiaTheme="minorEastAsia"/>
                <w:color w:val="auto"/>
              </w:rPr>
              <w:t>-</w:t>
            </w:r>
            <w:r>
              <w:rPr>
                <w:rFonts w:hint="eastAsia" w:eastAsiaTheme="minorEastAsia"/>
                <w:color w:val="auto"/>
              </w:rPr>
              <w:t>5</w:t>
            </w:r>
            <w:r>
              <w:rPr>
                <w:rFonts w:eastAsiaTheme="minorEastAsia"/>
                <w:color w:val="auto"/>
              </w:rPr>
              <w:t xml:space="preserve">  《大气污染物综合排放标准》（DB50/418-2016）二级标准  [摘录]</w:t>
            </w:r>
          </w:p>
          <w:tbl>
            <w:tblPr>
              <w:tblStyle w:val="88"/>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65"/>
              <w:gridCol w:w="1825"/>
              <w:gridCol w:w="1224"/>
              <w:gridCol w:w="1598"/>
              <w:gridCol w:w="133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0" w:hRule="atLeast"/>
                <w:jc w:val="center"/>
              </w:trPr>
              <w:tc>
                <w:tcPr>
                  <w:tcW w:w="965" w:type="dxa"/>
                  <w:vMerge w:val="restart"/>
                  <w:vAlign w:val="center"/>
                </w:tcPr>
                <w:p>
                  <w:pPr>
                    <w:pStyle w:val="186"/>
                  </w:pPr>
                  <w:r>
                    <w:rPr>
                      <w:rFonts w:hint="eastAsia"/>
                    </w:rPr>
                    <w:t>污染物名称</w:t>
                  </w:r>
                </w:p>
              </w:tc>
              <w:tc>
                <w:tcPr>
                  <w:tcW w:w="1825" w:type="dxa"/>
                  <w:vMerge w:val="restart"/>
                  <w:vAlign w:val="center"/>
                </w:tcPr>
                <w:p>
                  <w:pPr>
                    <w:pStyle w:val="186"/>
                  </w:pPr>
                  <w:r>
                    <w:rPr>
                      <w:rFonts w:hint="eastAsia"/>
                    </w:rPr>
                    <w:t>最高允许排放浓度（mg/m</w:t>
                  </w:r>
                  <w:r>
                    <w:rPr>
                      <w:rFonts w:hint="eastAsia"/>
                      <w:vertAlign w:val="superscript"/>
                    </w:rPr>
                    <w:t>3</w:t>
                  </w:r>
                  <w:r>
                    <w:rPr>
                      <w:rFonts w:hint="eastAsia"/>
                    </w:rPr>
                    <w:t>）</w:t>
                  </w:r>
                </w:p>
              </w:tc>
              <w:tc>
                <w:tcPr>
                  <w:tcW w:w="1224" w:type="dxa"/>
                  <w:vMerge w:val="restart"/>
                  <w:vAlign w:val="center"/>
                </w:tcPr>
                <w:p>
                  <w:pPr>
                    <w:pStyle w:val="186"/>
                  </w:pPr>
                  <w:r>
                    <w:rPr>
                      <w:rFonts w:hint="eastAsia"/>
                    </w:rPr>
                    <w:t>排气筒（m）</w:t>
                  </w:r>
                </w:p>
              </w:tc>
              <w:tc>
                <w:tcPr>
                  <w:tcW w:w="1598" w:type="dxa"/>
                  <w:vMerge w:val="restart"/>
                  <w:vAlign w:val="center"/>
                </w:tcPr>
                <w:p>
                  <w:pPr>
                    <w:pStyle w:val="186"/>
                  </w:pPr>
                  <w:r>
                    <w:rPr>
                      <w:rFonts w:hint="eastAsia"/>
                    </w:rPr>
                    <w:t>最高允许排放速率（kg/h）</w:t>
                  </w:r>
                </w:p>
              </w:tc>
              <w:tc>
                <w:tcPr>
                  <w:tcW w:w="2790" w:type="dxa"/>
                  <w:gridSpan w:val="2"/>
                  <w:vAlign w:val="center"/>
                </w:tcPr>
                <w:p>
                  <w:pPr>
                    <w:pStyle w:val="186"/>
                  </w:pPr>
                  <w:r>
                    <w:rPr>
                      <w:rFonts w:hint="eastAsia"/>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 w:hRule="atLeast"/>
                <w:jc w:val="center"/>
              </w:trPr>
              <w:tc>
                <w:tcPr>
                  <w:tcW w:w="965" w:type="dxa"/>
                  <w:vMerge w:val="continue"/>
                  <w:vAlign w:val="center"/>
                </w:tcPr>
                <w:p>
                  <w:pPr>
                    <w:pStyle w:val="186"/>
                  </w:pPr>
                </w:p>
              </w:tc>
              <w:tc>
                <w:tcPr>
                  <w:tcW w:w="1825" w:type="dxa"/>
                  <w:vMerge w:val="continue"/>
                  <w:vAlign w:val="center"/>
                </w:tcPr>
                <w:p>
                  <w:pPr>
                    <w:pStyle w:val="186"/>
                  </w:pPr>
                </w:p>
              </w:tc>
              <w:tc>
                <w:tcPr>
                  <w:tcW w:w="1224" w:type="dxa"/>
                  <w:vMerge w:val="continue"/>
                  <w:vAlign w:val="center"/>
                </w:tcPr>
                <w:p>
                  <w:pPr>
                    <w:pStyle w:val="186"/>
                  </w:pPr>
                </w:p>
              </w:tc>
              <w:tc>
                <w:tcPr>
                  <w:tcW w:w="1598" w:type="dxa"/>
                  <w:vMerge w:val="continue"/>
                  <w:vAlign w:val="center"/>
                </w:tcPr>
                <w:p>
                  <w:pPr>
                    <w:pStyle w:val="186"/>
                  </w:pPr>
                </w:p>
              </w:tc>
              <w:tc>
                <w:tcPr>
                  <w:tcW w:w="1330" w:type="dxa"/>
                  <w:vAlign w:val="center"/>
                </w:tcPr>
                <w:p>
                  <w:pPr>
                    <w:pStyle w:val="186"/>
                  </w:pPr>
                  <w:r>
                    <w:rPr>
                      <w:rFonts w:hint="eastAsia"/>
                    </w:rPr>
                    <w:t>监控点</w:t>
                  </w:r>
                </w:p>
              </w:tc>
              <w:tc>
                <w:tcPr>
                  <w:tcW w:w="1460" w:type="dxa"/>
                  <w:vAlign w:val="center"/>
                </w:tcPr>
                <w:p>
                  <w:pPr>
                    <w:pStyle w:val="186"/>
                  </w:pPr>
                  <w:r>
                    <w:rPr>
                      <w:rFonts w:hint="eastAsia"/>
                    </w:rPr>
                    <w:t>浓度（mg/m</w:t>
                  </w:r>
                  <w:r>
                    <w:rPr>
                      <w:rFonts w:hint="eastAsia"/>
                      <w:vertAlign w:val="super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965" w:type="dxa"/>
                  <w:vAlign w:val="center"/>
                </w:tcPr>
                <w:p>
                  <w:pPr>
                    <w:pStyle w:val="186"/>
                  </w:pPr>
                  <w:r>
                    <w:rPr>
                      <w:rFonts w:hint="eastAsia"/>
                    </w:rPr>
                    <w:t>颗粒物</w:t>
                  </w:r>
                </w:p>
              </w:tc>
              <w:tc>
                <w:tcPr>
                  <w:tcW w:w="1825" w:type="dxa"/>
                  <w:vAlign w:val="center"/>
                </w:tcPr>
                <w:p>
                  <w:pPr>
                    <w:pStyle w:val="186"/>
                  </w:pPr>
                  <w:r>
                    <w:rPr>
                      <w:rFonts w:hint="eastAsia"/>
                    </w:rPr>
                    <w:t>120</w:t>
                  </w:r>
                </w:p>
              </w:tc>
              <w:tc>
                <w:tcPr>
                  <w:tcW w:w="1224" w:type="dxa"/>
                  <w:vAlign w:val="center"/>
                </w:tcPr>
                <w:p>
                  <w:pPr>
                    <w:pStyle w:val="186"/>
                  </w:pPr>
                  <w:r>
                    <w:rPr>
                      <w:rFonts w:hint="eastAsia"/>
                    </w:rPr>
                    <w:t>15</w:t>
                  </w:r>
                </w:p>
              </w:tc>
              <w:tc>
                <w:tcPr>
                  <w:tcW w:w="1598" w:type="dxa"/>
                  <w:vAlign w:val="center"/>
                </w:tcPr>
                <w:p>
                  <w:pPr>
                    <w:pStyle w:val="186"/>
                  </w:pPr>
                  <w:r>
                    <w:rPr>
                      <w:rFonts w:hint="eastAsia"/>
                    </w:rPr>
                    <w:t>3.5</w:t>
                  </w:r>
                </w:p>
              </w:tc>
              <w:tc>
                <w:tcPr>
                  <w:tcW w:w="1330" w:type="dxa"/>
                  <w:vMerge w:val="restart"/>
                  <w:vAlign w:val="center"/>
                </w:tcPr>
                <w:p>
                  <w:pPr>
                    <w:pStyle w:val="186"/>
                  </w:pPr>
                  <w:r>
                    <w:rPr>
                      <w:rFonts w:hint="eastAsia"/>
                    </w:rPr>
                    <w:t>周界外浓度最高点</w:t>
                  </w:r>
                </w:p>
              </w:tc>
              <w:tc>
                <w:tcPr>
                  <w:tcW w:w="1460" w:type="dxa"/>
                  <w:vAlign w:val="center"/>
                </w:tcPr>
                <w:p>
                  <w:pPr>
                    <w:pStyle w:val="186"/>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965" w:type="dxa"/>
                  <w:vAlign w:val="center"/>
                </w:tcPr>
                <w:p>
                  <w:pPr>
                    <w:pStyle w:val="186"/>
                  </w:pPr>
                  <w:r>
                    <w:rPr>
                      <w:rFonts w:hint="eastAsia"/>
                    </w:rPr>
                    <w:t>二氧化硫</w:t>
                  </w:r>
                </w:p>
              </w:tc>
              <w:tc>
                <w:tcPr>
                  <w:tcW w:w="1825" w:type="dxa"/>
                  <w:vAlign w:val="center"/>
                </w:tcPr>
                <w:p>
                  <w:pPr>
                    <w:pStyle w:val="186"/>
                  </w:pPr>
                  <w:r>
                    <w:rPr>
                      <w:rFonts w:hint="eastAsia"/>
                    </w:rPr>
                    <w:t>550</w:t>
                  </w:r>
                </w:p>
              </w:tc>
              <w:tc>
                <w:tcPr>
                  <w:tcW w:w="1224" w:type="dxa"/>
                  <w:vAlign w:val="center"/>
                </w:tcPr>
                <w:p>
                  <w:pPr>
                    <w:pStyle w:val="186"/>
                  </w:pPr>
                  <w:r>
                    <w:rPr>
                      <w:rFonts w:hint="eastAsia"/>
                    </w:rPr>
                    <w:t>15</w:t>
                  </w:r>
                </w:p>
              </w:tc>
              <w:tc>
                <w:tcPr>
                  <w:tcW w:w="1598" w:type="dxa"/>
                  <w:vAlign w:val="center"/>
                </w:tcPr>
                <w:p>
                  <w:pPr>
                    <w:pStyle w:val="186"/>
                  </w:pPr>
                  <w:r>
                    <w:rPr>
                      <w:rFonts w:hint="eastAsia"/>
                    </w:rPr>
                    <w:t>2.6</w:t>
                  </w:r>
                </w:p>
              </w:tc>
              <w:tc>
                <w:tcPr>
                  <w:tcW w:w="1330" w:type="dxa"/>
                  <w:vMerge w:val="continue"/>
                  <w:vAlign w:val="center"/>
                </w:tcPr>
                <w:p>
                  <w:pPr>
                    <w:pStyle w:val="186"/>
                  </w:pPr>
                </w:p>
              </w:tc>
              <w:tc>
                <w:tcPr>
                  <w:tcW w:w="1460" w:type="dxa"/>
                  <w:vAlign w:val="center"/>
                </w:tcPr>
                <w:p>
                  <w:pPr>
                    <w:pStyle w:val="186"/>
                  </w:pPr>
                  <w:r>
                    <w:rPr>
                      <w:rFonts w:hint="eastAsia"/>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965" w:type="dxa"/>
                  <w:vAlign w:val="center"/>
                </w:tcPr>
                <w:p>
                  <w:pPr>
                    <w:pStyle w:val="186"/>
                  </w:pPr>
                  <w:r>
                    <w:rPr>
                      <w:rFonts w:hint="eastAsia"/>
                    </w:rPr>
                    <w:t>氮氧化物</w:t>
                  </w:r>
                </w:p>
              </w:tc>
              <w:tc>
                <w:tcPr>
                  <w:tcW w:w="1825" w:type="dxa"/>
                  <w:vAlign w:val="center"/>
                </w:tcPr>
                <w:p>
                  <w:pPr>
                    <w:pStyle w:val="186"/>
                  </w:pPr>
                  <w:r>
                    <w:rPr>
                      <w:rFonts w:hint="eastAsia"/>
                    </w:rPr>
                    <w:t>240</w:t>
                  </w:r>
                </w:p>
              </w:tc>
              <w:tc>
                <w:tcPr>
                  <w:tcW w:w="1224" w:type="dxa"/>
                  <w:vAlign w:val="center"/>
                </w:tcPr>
                <w:p>
                  <w:pPr>
                    <w:pStyle w:val="186"/>
                  </w:pPr>
                  <w:r>
                    <w:rPr>
                      <w:rFonts w:hint="eastAsia"/>
                    </w:rPr>
                    <w:t>15</w:t>
                  </w:r>
                </w:p>
              </w:tc>
              <w:tc>
                <w:tcPr>
                  <w:tcW w:w="1598" w:type="dxa"/>
                  <w:vAlign w:val="center"/>
                </w:tcPr>
                <w:p>
                  <w:pPr>
                    <w:pStyle w:val="186"/>
                  </w:pPr>
                  <w:r>
                    <w:rPr>
                      <w:rFonts w:hint="eastAsia"/>
                    </w:rPr>
                    <w:t>0.77</w:t>
                  </w:r>
                </w:p>
              </w:tc>
              <w:tc>
                <w:tcPr>
                  <w:tcW w:w="1330" w:type="dxa"/>
                  <w:vMerge w:val="continue"/>
                  <w:vAlign w:val="center"/>
                </w:tcPr>
                <w:p>
                  <w:pPr>
                    <w:pStyle w:val="186"/>
                  </w:pPr>
                </w:p>
              </w:tc>
              <w:tc>
                <w:tcPr>
                  <w:tcW w:w="1460" w:type="dxa"/>
                  <w:vAlign w:val="center"/>
                </w:tcPr>
                <w:p>
                  <w:pPr>
                    <w:pStyle w:val="186"/>
                  </w:pPr>
                  <w:r>
                    <w:rPr>
                      <w:rFonts w:hint="eastAsia"/>
                    </w:rPr>
                    <w:t>0.12</w:t>
                  </w:r>
                </w:p>
              </w:tc>
            </w:tr>
          </w:tbl>
          <w:p>
            <w:pPr>
              <w:pStyle w:val="5"/>
              <w:numPr>
                <w:ilvl w:val="0"/>
                <w:numId w:val="0"/>
              </w:numPr>
              <w:rPr>
                <w:sz w:val="24"/>
                <w:szCs w:val="24"/>
              </w:rPr>
            </w:pPr>
            <w:r>
              <w:rPr>
                <w:rFonts w:hint="eastAsia"/>
                <w:sz w:val="24"/>
                <w:szCs w:val="24"/>
              </w:rPr>
              <w:t>3.7.2废水</w:t>
            </w:r>
          </w:p>
          <w:p>
            <w:pPr>
              <w:pStyle w:val="3229"/>
              <w:ind w:firstLine="480"/>
            </w:pPr>
            <w:r>
              <w:rPr>
                <w:rFonts w:hint="eastAsia"/>
              </w:rPr>
              <w:t>生活污水经生化池处理达到《污水综合排放标准》（</w:t>
            </w:r>
            <w:r>
              <w:t>GB8978-1996</w:t>
            </w:r>
            <w:r>
              <w:rPr>
                <w:rFonts w:hint="eastAsia"/>
              </w:rPr>
              <w:t>）三级标准要求后，排入双桥工业园区污水处理厂进一步处理达《城镇污水处理厂污染物排放标准》（GB18918-2002）一级A标准后排入苦水河（其中</w:t>
            </w:r>
            <w:r>
              <w:t>COD、</w:t>
            </w:r>
            <w:r>
              <w:rPr>
                <w:rFonts w:hint="eastAsia"/>
              </w:rPr>
              <w:t>B</w:t>
            </w:r>
            <w:r>
              <w:t>OD</w:t>
            </w:r>
            <w:r>
              <w:rPr>
                <w:vertAlign w:val="subscript"/>
              </w:rPr>
              <w:t>5</w:t>
            </w:r>
            <w:r>
              <w:rPr>
                <w:rFonts w:hint="eastAsia"/>
              </w:rPr>
              <w:t>、</w:t>
            </w:r>
            <w:r>
              <w:t>氨氮、TP</w:t>
            </w:r>
            <w:r>
              <w:rPr>
                <w:rFonts w:hint="eastAsia"/>
              </w:rPr>
              <w:t>执行</w:t>
            </w:r>
            <w:r>
              <w:t>《地表水环境质量标准》（GB 3838-2002）</w:t>
            </w:r>
            <w:r>
              <w:rPr>
                <w:rFonts w:hint="eastAsia"/>
              </w:rPr>
              <w:t>Ⅳ</w:t>
            </w:r>
            <w:r>
              <w:t>类标准</w:t>
            </w:r>
            <w:r>
              <w:rPr>
                <w:rFonts w:hint="eastAsia"/>
              </w:rPr>
              <w:t>）。具体标准见表3.7-6。</w:t>
            </w:r>
          </w:p>
          <w:p>
            <w:pPr>
              <w:pStyle w:val="3230"/>
              <w:rPr>
                <w:rFonts w:eastAsiaTheme="minorEastAsia"/>
                <w:color w:val="auto"/>
              </w:rPr>
            </w:pPr>
            <w:r>
              <w:rPr>
                <w:rFonts w:hint="eastAsia" w:eastAsiaTheme="minorEastAsia"/>
                <w:color w:val="auto"/>
              </w:rPr>
              <w:t xml:space="preserve">表3.7-6   </w:t>
            </w:r>
            <w:r>
              <w:rPr>
                <w:rFonts w:eastAsiaTheme="minorEastAsia"/>
                <w:color w:val="auto"/>
              </w:rPr>
              <w:t>废水污染物排放标准</w:t>
            </w:r>
            <w:r>
              <w:rPr>
                <w:rFonts w:hint="eastAsia" w:eastAsiaTheme="minorEastAsia"/>
                <w:color w:val="auto"/>
              </w:rPr>
              <w:t xml:space="preserve">   </w:t>
            </w:r>
            <w:r>
              <w:rPr>
                <w:rFonts w:eastAsiaTheme="minorEastAsia"/>
                <w:color w:val="auto"/>
              </w:rPr>
              <w:t>单位：mg/L</w:t>
            </w:r>
          </w:p>
          <w:p>
            <w:pPr>
              <w:kinsoku w:val="0"/>
              <w:overflowPunct w:val="0"/>
              <w:spacing w:before="1" w:line="60" w:lineRule="exact"/>
              <w:ind w:firstLine="120"/>
              <w:rPr>
                <w:sz w:val="6"/>
              </w:rPr>
            </w:pPr>
          </w:p>
          <w:tbl>
            <w:tblPr>
              <w:tblStyle w:val="88"/>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28" w:type="dxa"/>
                <w:bottom w:w="0" w:type="dxa"/>
                <w:right w:w="28" w:type="dxa"/>
              </w:tblCellMar>
            </w:tblPr>
            <w:tblGrid>
              <w:gridCol w:w="2620"/>
              <w:gridCol w:w="631"/>
              <w:gridCol w:w="693"/>
              <w:gridCol w:w="595"/>
              <w:gridCol w:w="952"/>
              <w:gridCol w:w="1068"/>
              <w:gridCol w:w="947"/>
              <w:gridCol w:w="9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8" w:hRule="exact"/>
                <w:jc w:val="center"/>
              </w:trPr>
              <w:tc>
                <w:tcPr>
                  <w:tcW w:w="1550" w:type="pct"/>
                  <w:tcBorders>
                    <w:tl2br w:val="single" w:color="auto" w:sz="4" w:space="0"/>
                  </w:tcBorders>
                  <w:vAlign w:val="center"/>
                </w:tcPr>
                <w:p>
                  <w:pPr>
                    <w:pStyle w:val="186"/>
                  </w:pPr>
                  <w:r>
                    <w:rPr>
                      <w:rFonts w:hint="eastAsia"/>
                    </w:rPr>
                    <w:t xml:space="preserve">                    项目</w:t>
                  </w:r>
                </w:p>
                <w:p>
                  <w:pPr>
                    <w:pStyle w:val="186"/>
                    <w:jc w:val="left"/>
                  </w:pPr>
                  <w:r>
                    <w:rPr>
                      <w:rFonts w:hint="eastAsia"/>
                    </w:rPr>
                    <w:t>标准</w:t>
                  </w:r>
                </w:p>
              </w:tc>
              <w:tc>
                <w:tcPr>
                  <w:tcW w:w="373" w:type="pct"/>
                  <w:vAlign w:val="center"/>
                </w:tcPr>
                <w:p>
                  <w:pPr>
                    <w:pStyle w:val="186"/>
                  </w:pPr>
                  <w:r>
                    <w:t>pH</w:t>
                  </w:r>
                </w:p>
              </w:tc>
              <w:tc>
                <w:tcPr>
                  <w:tcW w:w="410" w:type="pct"/>
                  <w:vAlign w:val="center"/>
                </w:tcPr>
                <w:p>
                  <w:pPr>
                    <w:pStyle w:val="186"/>
                  </w:pPr>
                  <w:r>
                    <w:t>COD</w:t>
                  </w:r>
                </w:p>
              </w:tc>
              <w:tc>
                <w:tcPr>
                  <w:tcW w:w="352" w:type="pct"/>
                  <w:vAlign w:val="center"/>
                </w:tcPr>
                <w:p>
                  <w:pPr>
                    <w:pStyle w:val="186"/>
                  </w:pPr>
                  <w:r>
                    <w:t>SS</w:t>
                  </w:r>
                </w:p>
              </w:tc>
              <w:tc>
                <w:tcPr>
                  <w:tcW w:w="563" w:type="pct"/>
                  <w:vAlign w:val="center"/>
                </w:tcPr>
                <w:p>
                  <w:pPr>
                    <w:pStyle w:val="186"/>
                  </w:pPr>
                  <w:r>
                    <w:t>NH</w:t>
                  </w:r>
                  <w:r>
                    <w:rPr>
                      <w:vertAlign w:val="subscript"/>
                    </w:rPr>
                    <w:t>3</w:t>
                  </w:r>
                  <w:r>
                    <w:t>-N</w:t>
                  </w:r>
                </w:p>
              </w:tc>
              <w:tc>
                <w:tcPr>
                  <w:tcW w:w="632" w:type="pct"/>
                  <w:vAlign w:val="center"/>
                </w:tcPr>
                <w:p>
                  <w:pPr>
                    <w:pStyle w:val="186"/>
                  </w:pPr>
                  <w:r>
                    <w:rPr>
                      <w:rFonts w:hint="eastAsia"/>
                    </w:rPr>
                    <w:t>石油类</w:t>
                  </w:r>
                </w:p>
              </w:tc>
              <w:tc>
                <w:tcPr>
                  <w:tcW w:w="560" w:type="pct"/>
                  <w:vAlign w:val="center"/>
                </w:tcPr>
                <w:p>
                  <w:pPr>
                    <w:pStyle w:val="186"/>
                  </w:pPr>
                  <w:r>
                    <w:t>动植物油</w:t>
                  </w:r>
                </w:p>
              </w:tc>
              <w:tc>
                <w:tcPr>
                  <w:tcW w:w="560" w:type="pct"/>
                  <w:vAlign w:val="center"/>
                </w:tcPr>
                <w:p>
                  <w:pPr>
                    <w:pStyle w:val="186"/>
                  </w:pPr>
                  <w:r>
                    <w:rPr>
                      <w:rFonts w:hint="eastAsia"/>
                    </w:rPr>
                    <w:t>TP</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8" w:hRule="exact"/>
                <w:jc w:val="center"/>
              </w:trPr>
              <w:tc>
                <w:tcPr>
                  <w:tcW w:w="1550" w:type="pct"/>
                  <w:vAlign w:val="center"/>
                </w:tcPr>
                <w:p>
                  <w:pPr>
                    <w:pStyle w:val="186"/>
                  </w:pPr>
                  <w:r>
                    <w:rPr>
                      <w:rFonts w:hint="eastAsia"/>
                    </w:rPr>
                    <w:t>《污水综合排放标准》（</w:t>
                  </w:r>
                  <w:r>
                    <w:t>GB8978-1996</w:t>
                  </w:r>
                  <w:r>
                    <w:rPr>
                      <w:rFonts w:hint="eastAsia"/>
                    </w:rPr>
                    <w:t>）三级标准</w:t>
                  </w:r>
                </w:p>
              </w:tc>
              <w:tc>
                <w:tcPr>
                  <w:tcW w:w="373" w:type="pct"/>
                  <w:vAlign w:val="center"/>
                </w:tcPr>
                <w:p>
                  <w:pPr>
                    <w:pStyle w:val="186"/>
                  </w:pPr>
                  <w:r>
                    <w:t>6~9</w:t>
                  </w:r>
                </w:p>
              </w:tc>
              <w:tc>
                <w:tcPr>
                  <w:tcW w:w="410" w:type="pct"/>
                  <w:vAlign w:val="center"/>
                </w:tcPr>
                <w:p>
                  <w:pPr>
                    <w:pStyle w:val="186"/>
                  </w:pPr>
                  <w:r>
                    <w:t>500</w:t>
                  </w:r>
                </w:p>
              </w:tc>
              <w:tc>
                <w:tcPr>
                  <w:tcW w:w="352" w:type="pct"/>
                  <w:vAlign w:val="center"/>
                </w:tcPr>
                <w:p>
                  <w:pPr>
                    <w:pStyle w:val="186"/>
                  </w:pPr>
                  <w:r>
                    <w:t>400</w:t>
                  </w:r>
                </w:p>
              </w:tc>
              <w:tc>
                <w:tcPr>
                  <w:tcW w:w="563" w:type="pct"/>
                  <w:vAlign w:val="center"/>
                </w:tcPr>
                <w:p>
                  <w:pPr>
                    <w:pStyle w:val="186"/>
                  </w:pPr>
                  <w:r>
                    <w:rPr>
                      <w:rFonts w:hint="eastAsia"/>
                    </w:rPr>
                    <w:t>45</w:t>
                  </w:r>
                  <w:r>
                    <w:rPr>
                      <w:vertAlign w:val="superscript"/>
                    </w:rPr>
                    <w:fldChar w:fldCharType="begin"/>
                  </w:r>
                  <w:r>
                    <w:rPr>
                      <w:vertAlign w:val="superscript"/>
                    </w:rPr>
                    <w:instrText xml:space="preserve"> </w:instrText>
                  </w:r>
                  <w:r>
                    <w:rPr>
                      <w:rFonts w:hint="eastAsia"/>
                      <w:vertAlign w:val="superscript"/>
                    </w:rPr>
                    <w:instrText xml:space="preserve">= 1 \* GB3</w:instrText>
                  </w:r>
                  <w:r>
                    <w:rPr>
                      <w:vertAlign w:val="superscript"/>
                    </w:rPr>
                    <w:instrText xml:space="preserve"> </w:instrText>
                  </w:r>
                  <w:r>
                    <w:rPr>
                      <w:vertAlign w:val="superscript"/>
                    </w:rPr>
                    <w:fldChar w:fldCharType="separate"/>
                  </w:r>
                  <w:r>
                    <w:rPr>
                      <w:rFonts w:hint="eastAsia"/>
                      <w:vertAlign w:val="superscript"/>
                    </w:rPr>
                    <w:t>①</w:t>
                  </w:r>
                  <w:r>
                    <w:rPr>
                      <w:vertAlign w:val="superscript"/>
                    </w:rPr>
                    <w:fldChar w:fldCharType="end"/>
                  </w:r>
                </w:p>
              </w:tc>
              <w:tc>
                <w:tcPr>
                  <w:tcW w:w="632" w:type="pct"/>
                  <w:vAlign w:val="center"/>
                </w:tcPr>
                <w:p>
                  <w:pPr>
                    <w:pStyle w:val="186"/>
                  </w:pPr>
                  <w:r>
                    <w:t>20</w:t>
                  </w:r>
                </w:p>
              </w:tc>
              <w:tc>
                <w:tcPr>
                  <w:tcW w:w="560" w:type="pct"/>
                  <w:vAlign w:val="center"/>
                </w:tcPr>
                <w:p>
                  <w:pPr>
                    <w:pStyle w:val="186"/>
                  </w:pPr>
                  <w:r>
                    <w:rPr>
                      <w:rFonts w:hint="eastAsia"/>
                    </w:rPr>
                    <w:t>100</w:t>
                  </w:r>
                </w:p>
              </w:tc>
              <w:tc>
                <w:tcPr>
                  <w:tcW w:w="560" w:type="pct"/>
                  <w:vAlign w:val="center"/>
                </w:tcPr>
                <w:p>
                  <w:pPr>
                    <w:pStyle w:val="186"/>
                  </w:pPr>
                  <w:r>
                    <w:rPr>
                      <w:rFonts w:hint="eastAsia"/>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8" w:hRule="exact"/>
                <w:jc w:val="center"/>
              </w:trPr>
              <w:tc>
                <w:tcPr>
                  <w:tcW w:w="1550" w:type="pct"/>
                  <w:vAlign w:val="center"/>
                </w:tcPr>
                <w:p>
                  <w:pPr>
                    <w:pStyle w:val="186"/>
                  </w:pPr>
                  <w:r>
                    <w:rPr>
                      <w:rFonts w:hint="eastAsia"/>
                    </w:rPr>
                    <w:t>《城镇污水处理厂污染物排放标准》（GB18918-2002）</w:t>
                  </w:r>
                </w:p>
                <w:p>
                  <w:pPr>
                    <w:pStyle w:val="186"/>
                  </w:pPr>
                  <w:r>
                    <w:rPr>
                      <w:rFonts w:hint="eastAsia"/>
                    </w:rPr>
                    <w:t>一级A标</w:t>
                  </w:r>
                </w:p>
              </w:tc>
              <w:tc>
                <w:tcPr>
                  <w:tcW w:w="373" w:type="pct"/>
                  <w:vAlign w:val="center"/>
                </w:tcPr>
                <w:p>
                  <w:pPr>
                    <w:pStyle w:val="186"/>
                  </w:pPr>
                  <w:r>
                    <w:t>6～9</w:t>
                  </w:r>
                </w:p>
              </w:tc>
              <w:tc>
                <w:tcPr>
                  <w:tcW w:w="410" w:type="pct"/>
                  <w:vAlign w:val="center"/>
                </w:tcPr>
                <w:p>
                  <w:pPr>
                    <w:pStyle w:val="186"/>
                  </w:pPr>
                  <w:r>
                    <w:rPr>
                      <w:rFonts w:hint="eastAsia"/>
                    </w:rPr>
                    <w:t>3</w:t>
                  </w:r>
                  <w:r>
                    <w:t>0</w:t>
                  </w:r>
                </w:p>
              </w:tc>
              <w:tc>
                <w:tcPr>
                  <w:tcW w:w="352" w:type="pct"/>
                  <w:vAlign w:val="center"/>
                </w:tcPr>
                <w:p>
                  <w:pPr>
                    <w:pStyle w:val="186"/>
                  </w:pPr>
                  <w:r>
                    <w:rPr>
                      <w:rFonts w:hint="eastAsia"/>
                    </w:rPr>
                    <w:t>1</w:t>
                  </w:r>
                  <w:r>
                    <w:t>0</w:t>
                  </w:r>
                </w:p>
              </w:tc>
              <w:tc>
                <w:tcPr>
                  <w:tcW w:w="563" w:type="pct"/>
                  <w:vAlign w:val="center"/>
                </w:tcPr>
                <w:p>
                  <w:pPr>
                    <w:pStyle w:val="186"/>
                  </w:pPr>
                  <w:r>
                    <w:rPr>
                      <w:rFonts w:hint="eastAsia"/>
                    </w:rPr>
                    <w:t>1.5</w:t>
                  </w:r>
                </w:p>
              </w:tc>
              <w:tc>
                <w:tcPr>
                  <w:tcW w:w="632" w:type="pct"/>
                  <w:vAlign w:val="center"/>
                </w:tcPr>
                <w:p>
                  <w:pPr>
                    <w:pStyle w:val="186"/>
                  </w:pPr>
                  <w:r>
                    <w:rPr>
                      <w:rFonts w:hint="eastAsia"/>
                    </w:rPr>
                    <w:t>1</w:t>
                  </w:r>
                </w:p>
              </w:tc>
              <w:tc>
                <w:tcPr>
                  <w:tcW w:w="560" w:type="pct"/>
                  <w:vAlign w:val="center"/>
                </w:tcPr>
                <w:p>
                  <w:pPr>
                    <w:pStyle w:val="186"/>
                  </w:pPr>
                  <w:r>
                    <w:rPr>
                      <w:rFonts w:hint="eastAsia"/>
                    </w:rPr>
                    <w:t>1</w:t>
                  </w:r>
                </w:p>
              </w:tc>
              <w:tc>
                <w:tcPr>
                  <w:tcW w:w="560" w:type="pct"/>
                  <w:vAlign w:val="center"/>
                </w:tcPr>
                <w:p>
                  <w:pPr>
                    <w:pStyle w:val="186"/>
                  </w:pPr>
                  <w:r>
                    <w:rPr>
                      <w:rFonts w:hint="eastAsia"/>
                    </w:rPr>
                    <w:t>0.3</w:t>
                  </w:r>
                </w:p>
              </w:tc>
            </w:tr>
          </w:tbl>
          <w:p>
            <w:pPr>
              <w:pStyle w:val="3229"/>
              <w:spacing w:line="240" w:lineRule="auto"/>
              <w:ind w:firstLine="0" w:firstLineChars="0"/>
              <w:rPr>
                <w:snapToGrid w:val="0"/>
                <w:sz w:val="21"/>
                <w:szCs w:val="21"/>
              </w:rPr>
            </w:pPr>
            <w:r>
              <w:rPr>
                <w:rFonts w:hint="eastAsia"/>
                <w:sz w:val="21"/>
                <w:szCs w:val="21"/>
              </w:rPr>
              <w:t>注：</w:t>
            </w:r>
            <w:r>
              <w:rPr>
                <w:snapToGrid w:val="0"/>
                <w:sz w:val="21"/>
                <w:szCs w:val="21"/>
              </w:rPr>
              <w:fldChar w:fldCharType="begin"/>
            </w:r>
            <w:r>
              <w:rPr>
                <w:snapToGrid w:val="0"/>
                <w:sz w:val="21"/>
                <w:szCs w:val="21"/>
              </w:rPr>
              <w:instrText xml:space="preserve"> </w:instrText>
            </w:r>
            <w:r>
              <w:rPr>
                <w:rFonts w:hint="eastAsia"/>
                <w:snapToGrid w:val="0"/>
                <w:sz w:val="21"/>
                <w:szCs w:val="21"/>
              </w:rPr>
              <w:instrText xml:space="preserve">= 1 \* GB3</w:instrText>
            </w:r>
            <w:r>
              <w:rPr>
                <w:snapToGrid w:val="0"/>
                <w:sz w:val="21"/>
                <w:szCs w:val="21"/>
              </w:rPr>
              <w:instrText xml:space="preserve"> </w:instrText>
            </w:r>
            <w:r>
              <w:rPr>
                <w:snapToGrid w:val="0"/>
                <w:sz w:val="21"/>
                <w:szCs w:val="21"/>
              </w:rPr>
              <w:fldChar w:fldCharType="separate"/>
            </w:r>
            <w:r>
              <w:rPr>
                <w:rFonts w:hint="eastAsia"/>
                <w:snapToGrid w:val="0"/>
                <w:sz w:val="21"/>
                <w:szCs w:val="21"/>
              </w:rPr>
              <w:t>①</w:t>
            </w:r>
            <w:r>
              <w:rPr>
                <w:snapToGrid w:val="0"/>
                <w:sz w:val="21"/>
                <w:szCs w:val="21"/>
              </w:rPr>
              <w:fldChar w:fldCharType="end"/>
            </w:r>
            <w:r>
              <w:rPr>
                <w:rFonts w:hint="eastAsia"/>
                <w:snapToGrid w:val="0"/>
                <w:sz w:val="21"/>
                <w:szCs w:val="21"/>
              </w:rPr>
              <w:t>氨氮的三级排放标准参照《污水排入城镇下水道水质标准》（GB/T 31962-2015）；</w:t>
            </w:r>
          </w:p>
          <w:p>
            <w:pPr>
              <w:spacing w:line="240" w:lineRule="auto"/>
              <w:ind w:firstLine="420"/>
              <w:rPr>
                <w:sz w:val="21"/>
                <w:szCs w:val="21"/>
              </w:rPr>
            </w:pPr>
            <w:r>
              <w:rPr>
                <w:sz w:val="21"/>
                <w:szCs w:val="21"/>
              </w:rPr>
              <w:fldChar w:fldCharType="begin"/>
            </w:r>
            <w:r>
              <w:rPr>
                <w:sz w:val="21"/>
                <w:szCs w:val="21"/>
              </w:rPr>
              <w:instrText xml:space="preserve"> </w:instrText>
            </w:r>
            <w:r>
              <w:rPr>
                <w:rFonts w:hint="eastAsia"/>
                <w:sz w:val="21"/>
                <w:szCs w:val="21"/>
              </w:rPr>
              <w:instrText xml:space="preserve">=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sz w:val="21"/>
                <w:szCs w:val="21"/>
              </w:rPr>
              <w:t>COD、氨氮、TP</w:t>
            </w:r>
            <w:r>
              <w:rPr>
                <w:rFonts w:hint="eastAsia"/>
                <w:sz w:val="21"/>
                <w:szCs w:val="21"/>
              </w:rPr>
              <w:t>执行</w:t>
            </w:r>
            <w:r>
              <w:rPr>
                <w:sz w:val="21"/>
                <w:szCs w:val="21"/>
              </w:rPr>
              <w:t>《地表水环境质量标准》（GB 3838-2002）</w:t>
            </w:r>
            <w:r>
              <w:rPr>
                <w:rFonts w:hint="eastAsia"/>
                <w:sz w:val="21"/>
                <w:szCs w:val="21"/>
              </w:rPr>
              <w:t>Ⅳ</w:t>
            </w:r>
            <w:r>
              <w:rPr>
                <w:sz w:val="21"/>
                <w:szCs w:val="21"/>
              </w:rPr>
              <w:t>类标准</w:t>
            </w:r>
            <w:r>
              <w:rPr>
                <w:rFonts w:hint="eastAsia"/>
                <w:sz w:val="21"/>
                <w:szCs w:val="21"/>
              </w:rPr>
              <w:t>。</w:t>
            </w:r>
          </w:p>
          <w:p>
            <w:pPr>
              <w:pStyle w:val="5"/>
              <w:numPr>
                <w:ilvl w:val="0"/>
                <w:numId w:val="0"/>
              </w:numPr>
              <w:rPr>
                <w:sz w:val="24"/>
                <w:szCs w:val="24"/>
              </w:rPr>
            </w:pPr>
            <w:r>
              <w:rPr>
                <w:rFonts w:hint="eastAsia"/>
                <w:sz w:val="24"/>
                <w:szCs w:val="24"/>
              </w:rPr>
              <w:t>3.7.3噪声</w:t>
            </w:r>
          </w:p>
          <w:p>
            <w:r>
              <w:rPr>
                <w:rFonts w:hint="eastAsia"/>
              </w:rPr>
              <w:t>厂界噪声执行《工业企业厂界环境噪声排放标准》（</w:t>
            </w:r>
            <w:r>
              <w:t>GB12348-2008</w:t>
            </w:r>
            <w:r>
              <w:rPr>
                <w:rFonts w:hint="eastAsia"/>
              </w:rPr>
              <w:t>）中3类标准，即昼间</w:t>
            </w:r>
            <w:r>
              <w:t>6</w:t>
            </w:r>
            <w:r>
              <w:rPr>
                <w:rFonts w:hint="eastAsia"/>
              </w:rPr>
              <w:t>5</w:t>
            </w:r>
            <w:r>
              <w:t>dB</w:t>
            </w:r>
            <w:r>
              <w:rPr>
                <w:rFonts w:hint="eastAsia"/>
              </w:rPr>
              <w:t>（</w:t>
            </w:r>
            <w:r>
              <w:t>A</w:t>
            </w:r>
            <w:r>
              <w:rPr>
                <w:rFonts w:hint="eastAsia"/>
              </w:rPr>
              <w:t>）、夜间</w:t>
            </w:r>
            <w:r>
              <w:t>5</w:t>
            </w:r>
            <w:r>
              <w:rPr>
                <w:rFonts w:hint="eastAsia"/>
              </w:rPr>
              <w:t>5</w:t>
            </w:r>
            <w:r>
              <w:t>dB</w:t>
            </w:r>
            <w:r>
              <w:rPr>
                <w:rFonts w:hint="eastAsia"/>
              </w:rPr>
              <w:t>（</w:t>
            </w:r>
            <w:r>
              <w:t>A</w:t>
            </w:r>
            <w:r>
              <w:rPr>
                <w:rFonts w:hint="eastAsia"/>
              </w:rPr>
              <w:t>）。</w:t>
            </w:r>
          </w:p>
          <w:p>
            <w:pPr>
              <w:pStyle w:val="5"/>
              <w:numPr>
                <w:ilvl w:val="0"/>
                <w:numId w:val="0"/>
              </w:numPr>
            </w:pPr>
            <w:r>
              <w:rPr>
                <w:rFonts w:hint="eastAsia"/>
                <w:sz w:val="24"/>
                <w:szCs w:val="24"/>
              </w:rPr>
              <w:t>3.7.4固体废物</w:t>
            </w:r>
          </w:p>
          <w:p>
            <w:r>
              <w:rPr>
                <w:rFonts w:hint="eastAsia"/>
              </w:rPr>
              <w:t>根据《一般工业固体废物贮存和填埋污染控制标准》（</w:t>
            </w:r>
            <w:r>
              <w:t>GB18599-2020</w:t>
            </w:r>
            <w:r>
              <w:rPr>
                <w:rFonts w:hint="eastAsia"/>
              </w:rPr>
              <w:t>），</w:t>
            </w:r>
            <w:r>
              <w:t>采用库房、包装工具（罐、桶、包装袋等）贮存一般工业固体废物过程的污染控制，不适用本标准，其贮存过程应满足相应防渗漏、防雨淋、防扬尘等环境保护要求</w:t>
            </w:r>
            <w:r>
              <w:rPr>
                <w:rFonts w:hint="eastAsia"/>
              </w:rPr>
              <w:t>；危险废物执行《国家危险废物名录》（</w:t>
            </w:r>
            <w:r>
              <w:t>2021</w:t>
            </w:r>
            <w:r>
              <w:rPr>
                <w:rFonts w:hint="eastAsia"/>
              </w:rPr>
              <w:t>版）、《</w:t>
            </w:r>
            <w:r>
              <w:t>危险废物贮存污染控制标准</w:t>
            </w:r>
            <w:r>
              <w:rPr>
                <w:rFonts w:hint="eastAsia"/>
              </w:rPr>
              <w:t>》（</w:t>
            </w:r>
            <w:r>
              <w:t>GB18597-20</w:t>
            </w:r>
            <w:r>
              <w:rPr>
                <w:rFonts w:hint="eastAsia"/>
              </w:rPr>
              <w:t>23）。</w:t>
            </w:r>
          </w:p>
          <w:p/>
          <w:p/>
          <w:p/>
          <w:p/>
          <w:p/>
          <w:p/>
          <w:p/>
          <w:p/>
          <w:p/>
          <w:p/>
          <w:p/>
          <w:p/>
          <w:p/>
          <w:p/>
          <w:p/>
          <w:p/>
          <w:p/>
          <w:p/>
          <w:p/>
          <w:p/>
          <w:p/>
          <w:p/>
          <w:p/>
          <w:p/>
          <w:p/>
          <w:p/>
          <w:p/>
          <w:p/>
          <w:p/>
          <w:p/>
        </w:tc>
      </w:tr>
    </w:tbl>
    <w:p>
      <w:pPr>
        <w:pStyle w:val="3"/>
        <w:numPr>
          <w:ilvl w:val="0"/>
          <w:numId w:val="0"/>
        </w:numPr>
        <w:rPr>
          <w:color w:val="auto"/>
        </w:rPr>
      </w:pPr>
    </w:p>
    <w:p>
      <w:pPr>
        <w:pStyle w:val="3"/>
        <w:numPr>
          <w:ilvl w:val="0"/>
          <w:numId w:val="0"/>
        </w:numPr>
        <w:ind w:left="720" w:leftChars="300" w:firstLine="1343" w:firstLineChars="446"/>
        <w:jc w:val="left"/>
        <w:rPr>
          <w:color w:val="auto"/>
        </w:rPr>
      </w:pPr>
      <w:r>
        <w:rPr>
          <w:color w:val="auto"/>
        </w:rPr>
        <w:t>四、主要环境影响和保护措施</w:t>
      </w:r>
    </w:p>
    <w:tbl>
      <w:tblPr>
        <w:tblStyle w:val="88"/>
        <w:tblW w:w="89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7"/>
        <w:gridCol w:w="84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09" w:hRule="atLeast"/>
          <w:jc w:val="center"/>
        </w:trPr>
        <w:tc>
          <w:tcPr>
            <w:tcW w:w="457" w:type="dxa"/>
            <w:tcMar>
              <w:top w:w="16" w:type="dxa"/>
              <w:left w:w="16" w:type="dxa"/>
              <w:right w:w="16" w:type="dxa"/>
            </w:tcMar>
            <w:vAlign w:val="center"/>
          </w:tcPr>
          <w:p>
            <w:pPr>
              <w:pStyle w:val="169"/>
              <w:rPr>
                <w:sz w:val="24"/>
                <w:szCs w:val="24"/>
              </w:rPr>
            </w:pPr>
            <w:r>
              <w:rPr>
                <w:rFonts w:hint="eastAsia"/>
                <w:sz w:val="24"/>
                <w:szCs w:val="24"/>
              </w:rPr>
              <w:t>运营期环境影响和保护措施</w:t>
            </w:r>
          </w:p>
        </w:tc>
        <w:tc>
          <w:tcPr>
            <w:tcW w:w="8449" w:type="dxa"/>
            <w:vAlign w:val="center"/>
          </w:tcPr>
          <w:p>
            <w:pPr>
              <w:pStyle w:val="169"/>
              <w:spacing w:line="360" w:lineRule="auto"/>
              <w:jc w:val="left"/>
              <w:rPr>
                <w:b/>
                <w:sz w:val="28"/>
                <w:szCs w:val="28"/>
              </w:rPr>
            </w:pPr>
            <w:r>
              <w:rPr>
                <w:rFonts w:hint="eastAsia"/>
                <w:b/>
                <w:sz w:val="28"/>
                <w:szCs w:val="28"/>
              </w:rPr>
              <w:t>4.1运营期环境影响和保护措施</w:t>
            </w:r>
          </w:p>
          <w:p>
            <w:pPr>
              <w:pStyle w:val="169"/>
              <w:spacing w:line="360" w:lineRule="auto"/>
              <w:jc w:val="left"/>
              <w:rPr>
                <w:b/>
                <w:sz w:val="24"/>
                <w:szCs w:val="24"/>
              </w:rPr>
            </w:pPr>
            <w:r>
              <w:rPr>
                <w:rFonts w:hint="eastAsia"/>
                <w:b/>
                <w:sz w:val="24"/>
                <w:szCs w:val="24"/>
              </w:rPr>
              <w:t>4.1.1废气</w:t>
            </w:r>
          </w:p>
          <w:p>
            <w:pPr>
              <w:pStyle w:val="169"/>
              <w:spacing w:line="360" w:lineRule="auto"/>
              <w:ind w:firstLine="480"/>
              <w:jc w:val="left"/>
              <w:rPr>
                <w:sz w:val="24"/>
                <w:szCs w:val="24"/>
              </w:rPr>
            </w:pPr>
            <w:r>
              <w:rPr>
                <w:rFonts w:hint="eastAsia"/>
                <w:sz w:val="24"/>
                <w:szCs w:val="24"/>
              </w:rPr>
              <w:t>大气专项环境影响评价结论：</w:t>
            </w:r>
          </w:p>
          <w:p>
            <w:r>
              <w:rPr>
                <w:rFonts w:hint="eastAsia"/>
              </w:rPr>
              <w:t>除尘灰回炉利用过程产生的废气主要为铅、镉和铬及其化合物，经现有“第四孔排烟+密闭罩+屋顶罩+袋式除尘器”处理后，1#电炉排气筒铅+镉及其化合物排放量为0.0136t/a，0.0018kg/h，排放浓度为0.0019mg/m</w:t>
            </w:r>
            <w:r>
              <w:rPr>
                <w:rFonts w:hint="eastAsia"/>
                <w:vertAlign w:val="superscript"/>
              </w:rPr>
              <w:t>3</w:t>
            </w:r>
            <w:r>
              <w:rPr>
                <w:rFonts w:hint="eastAsia"/>
              </w:rPr>
              <w:t>；铬及其化合物排放量为2×10</w:t>
            </w:r>
            <w:r>
              <w:rPr>
                <w:rFonts w:hint="eastAsia"/>
                <w:vertAlign w:val="superscript"/>
              </w:rPr>
              <w:t>-6</w:t>
            </w:r>
            <w:r>
              <w:rPr>
                <w:rFonts w:hint="eastAsia"/>
              </w:rPr>
              <w:t>t/a，2.5×10</w:t>
            </w:r>
            <w:r>
              <w:rPr>
                <w:rFonts w:hint="eastAsia"/>
                <w:vertAlign w:val="superscript"/>
              </w:rPr>
              <w:t>-7</w:t>
            </w:r>
            <w:r>
              <w:rPr>
                <w:rFonts w:hint="eastAsia"/>
              </w:rPr>
              <w:t>kg/h，排放浓度为2.8×10</w:t>
            </w:r>
            <w:r>
              <w:rPr>
                <w:rFonts w:hint="eastAsia"/>
                <w:vertAlign w:val="superscript"/>
              </w:rPr>
              <w:t>-7</w:t>
            </w:r>
            <w:r>
              <w:rPr>
                <w:rFonts w:hint="eastAsia"/>
              </w:rPr>
              <w:t>mg/m</w:t>
            </w:r>
            <w:r>
              <w:rPr>
                <w:rFonts w:hint="eastAsia"/>
                <w:vertAlign w:val="superscript"/>
              </w:rPr>
              <w:t>3</w:t>
            </w:r>
            <w:r>
              <w:rPr>
                <w:rFonts w:hint="eastAsia"/>
              </w:rPr>
              <w:t>。2#电炉排气筒1铅+镉及其化合物排放量为0.0068t/a，0.0009kg/h，排放浓度为0.0010mg/m</w:t>
            </w:r>
            <w:r>
              <w:rPr>
                <w:rFonts w:hint="eastAsia"/>
                <w:vertAlign w:val="superscript"/>
              </w:rPr>
              <w:t>3</w:t>
            </w:r>
            <w:r>
              <w:rPr>
                <w:rFonts w:hint="eastAsia"/>
              </w:rPr>
              <w:t>；铬及其化合物排放量为1×10</w:t>
            </w:r>
            <w:r>
              <w:rPr>
                <w:rFonts w:hint="eastAsia"/>
                <w:vertAlign w:val="superscript"/>
              </w:rPr>
              <w:t>-6</w:t>
            </w:r>
            <w:r>
              <w:rPr>
                <w:rFonts w:hint="eastAsia"/>
              </w:rPr>
              <w:t>t/a，1.25×10</w:t>
            </w:r>
            <w:r>
              <w:rPr>
                <w:rFonts w:hint="eastAsia"/>
                <w:vertAlign w:val="superscript"/>
              </w:rPr>
              <w:t>-7</w:t>
            </w:r>
            <w:r>
              <w:rPr>
                <w:rFonts w:hint="eastAsia"/>
              </w:rPr>
              <w:t>kg/h，排放浓度为1.4×10</w:t>
            </w:r>
            <w:r>
              <w:rPr>
                <w:rFonts w:hint="eastAsia"/>
                <w:vertAlign w:val="superscript"/>
              </w:rPr>
              <w:t>-7</w:t>
            </w:r>
            <w:r>
              <w:rPr>
                <w:rFonts w:hint="eastAsia"/>
              </w:rPr>
              <w:t>mg/m</w:t>
            </w:r>
            <w:r>
              <w:rPr>
                <w:rFonts w:hint="eastAsia"/>
                <w:vertAlign w:val="superscript"/>
              </w:rPr>
              <w:t>3</w:t>
            </w:r>
            <w:r>
              <w:rPr>
                <w:rFonts w:hint="eastAsia"/>
              </w:rPr>
              <w:t>。2#电炉排气筒2铅+镉及其化合物排放量为0.0068t/a，0.0009kg/h，排放浓度为0.0010mg/m</w:t>
            </w:r>
            <w:r>
              <w:rPr>
                <w:rFonts w:hint="eastAsia"/>
                <w:vertAlign w:val="superscript"/>
              </w:rPr>
              <w:t>3</w:t>
            </w:r>
            <w:r>
              <w:rPr>
                <w:rFonts w:hint="eastAsia"/>
              </w:rPr>
              <w:t>；铬及其化合物排放量为1×10</w:t>
            </w:r>
            <w:r>
              <w:rPr>
                <w:rFonts w:hint="eastAsia"/>
                <w:vertAlign w:val="superscript"/>
              </w:rPr>
              <w:t>-6</w:t>
            </w:r>
            <w:r>
              <w:rPr>
                <w:rFonts w:hint="eastAsia"/>
              </w:rPr>
              <w:t>t/a，1.25×10</w:t>
            </w:r>
            <w:r>
              <w:rPr>
                <w:rFonts w:hint="eastAsia"/>
                <w:vertAlign w:val="superscript"/>
              </w:rPr>
              <w:t>-7</w:t>
            </w:r>
            <w:r>
              <w:rPr>
                <w:rFonts w:hint="eastAsia"/>
              </w:rPr>
              <w:t>kg/h，排放浓度为1.4×10</w:t>
            </w:r>
            <w:r>
              <w:rPr>
                <w:rFonts w:hint="eastAsia"/>
                <w:vertAlign w:val="superscript"/>
              </w:rPr>
              <w:t>-7</w:t>
            </w:r>
            <w:r>
              <w:rPr>
                <w:rFonts w:hint="eastAsia"/>
              </w:rPr>
              <w:t>mg/m</w:t>
            </w:r>
            <w:r>
              <w:rPr>
                <w:rFonts w:hint="eastAsia"/>
                <w:vertAlign w:val="superscript"/>
              </w:rPr>
              <w:t>3</w:t>
            </w:r>
            <w:r>
              <w:rPr>
                <w:rFonts w:hint="eastAsia"/>
              </w:rPr>
              <w:t>，能够满足《水泥窑协同处置固体废物污染控制标准》（</w:t>
            </w:r>
            <w:r>
              <w:t>GB 30485-2013</w:t>
            </w:r>
            <w:r>
              <w:rPr>
                <w:rFonts w:hint="eastAsia"/>
              </w:rPr>
              <w:t>）中的相关要求，对大气环境影响很小。</w:t>
            </w:r>
          </w:p>
          <w:p>
            <w:r>
              <w:rPr>
                <w:rFonts w:hint="eastAsia"/>
              </w:rPr>
              <w:t>项目采取的污染防治措施可行，对周围大气环境质量影响较小，环境可以接受。</w:t>
            </w:r>
          </w:p>
          <w:p>
            <w:pPr>
              <w:pStyle w:val="169"/>
              <w:spacing w:line="360" w:lineRule="auto"/>
              <w:jc w:val="left"/>
              <w:rPr>
                <w:b/>
                <w:sz w:val="24"/>
                <w:szCs w:val="24"/>
              </w:rPr>
            </w:pPr>
            <w:r>
              <w:rPr>
                <w:rFonts w:hint="eastAsia"/>
                <w:b/>
                <w:sz w:val="24"/>
                <w:szCs w:val="24"/>
              </w:rPr>
              <w:t>4.1.2废水</w:t>
            </w:r>
          </w:p>
          <w:p>
            <w:r>
              <w:rPr>
                <w:rFonts w:hint="eastAsia"/>
              </w:rPr>
              <w:t>（1）环境影响及保护措施</w:t>
            </w:r>
          </w:p>
          <w:p>
            <w:r>
              <w:rPr>
                <w:rFonts w:hint="eastAsia"/>
              </w:rPr>
              <w:t>本次除尘灰回收利用不涉及用水环节，无生产废水，项目不新增工作人员，生活污水污染物排放量不发生变化。项目生活污水经生化池处理达《污水综合排放标准》（</w:t>
            </w:r>
            <w:r>
              <w:t>GB8978-1996</w:t>
            </w:r>
            <w:r>
              <w:rPr>
                <w:rFonts w:hint="eastAsia"/>
              </w:rPr>
              <w:t>）三级标准后接入市政管网，进入双桥工业园区污水处理厂进行深度处理。</w:t>
            </w:r>
          </w:p>
          <w:p>
            <w:r>
              <w:rPr>
                <w:rFonts w:hint="eastAsia"/>
              </w:rPr>
              <w:t>（2）监测计划</w:t>
            </w:r>
          </w:p>
          <w:p>
            <w:r>
              <w:rPr>
                <w:rFonts w:hint="eastAsia"/>
              </w:rPr>
              <w:t>根据企业现有自行监测方案，厂区生化池设置废水排口1个，出水的pH、COD、氨氮、SS、</w:t>
            </w:r>
            <w:r>
              <w:t>动植物油</w:t>
            </w:r>
            <w:r>
              <w:rPr>
                <w:rFonts w:hint="eastAsia"/>
              </w:rPr>
              <w:t>采用手工监测，监测频次为</w:t>
            </w:r>
            <w:r>
              <w:t>1次/</w:t>
            </w:r>
            <w:r>
              <w:rPr>
                <w:rFonts w:hint="eastAsia"/>
              </w:rPr>
              <w:t>月。上述监测因子已包含本项目生活污水污染物，监测频次满足《排污单位自行监测技术指南</w:t>
            </w:r>
            <w:r>
              <w:t xml:space="preserve"> </w:t>
            </w:r>
            <w:r>
              <w:rPr>
                <w:rFonts w:hint="eastAsia"/>
              </w:rPr>
              <w:t>总则》（HJ 819-2017）和</w:t>
            </w:r>
            <w:r>
              <w:rPr>
                <w:rFonts w:hint="eastAsia"/>
                <w:bCs/>
              </w:rPr>
              <w:t>《排污单位自行监测技术指南</w:t>
            </w:r>
            <w:r>
              <w:rPr>
                <w:bCs/>
              </w:rPr>
              <w:t xml:space="preserve"> </w:t>
            </w:r>
            <w:r>
              <w:rPr>
                <w:rFonts w:hint="eastAsia"/>
                <w:bCs/>
              </w:rPr>
              <w:t>钢铁工业及炼焦化学工业》（HJ 878-2017）</w:t>
            </w:r>
            <w:r>
              <w:rPr>
                <w:rFonts w:hint="eastAsia"/>
              </w:rPr>
              <w:t>的要求，因此本次评价不再另行制定废水监测计划，企业废水排放监测按现有自行监测方案执行。</w:t>
            </w:r>
          </w:p>
          <w:p>
            <w:pPr>
              <w:pStyle w:val="169"/>
              <w:spacing w:line="360" w:lineRule="auto"/>
              <w:jc w:val="left"/>
              <w:rPr>
                <w:b/>
                <w:sz w:val="24"/>
                <w:szCs w:val="24"/>
              </w:rPr>
            </w:pPr>
            <w:r>
              <w:rPr>
                <w:rFonts w:hint="eastAsia"/>
                <w:b/>
                <w:sz w:val="24"/>
                <w:szCs w:val="24"/>
              </w:rPr>
              <w:t>4.1.3噪声</w:t>
            </w:r>
          </w:p>
          <w:p>
            <w:r>
              <w:rPr>
                <w:rFonts w:hint="eastAsia"/>
              </w:rPr>
              <w:t>（1）环境影响及保护措施</w:t>
            </w:r>
          </w:p>
          <w:p>
            <w:pPr>
              <w:pStyle w:val="169"/>
              <w:spacing w:line="360" w:lineRule="auto"/>
              <w:ind w:firstLine="480"/>
              <w:jc w:val="left"/>
              <w:rPr>
                <w:sz w:val="24"/>
                <w:szCs w:val="24"/>
              </w:rPr>
            </w:pPr>
            <w:r>
              <w:rPr>
                <w:rFonts w:hint="eastAsia"/>
                <w:sz w:val="24"/>
                <w:szCs w:val="24"/>
              </w:rPr>
              <w:t>本项目营运期噪声设备主要为破袋机、喷粉罐和电弧炉，其中破袋机和喷粉罐为新增设备，电弧炉为利旧设备。破袋机和喷粉罐均位于炼钢车间内，噪声值约70</w:t>
            </w:r>
            <w:r>
              <w:rPr>
                <w:rFonts w:hint="eastAsia"/>
                <w:kern w:val="2"/>
                <w:szCs w:val="24"/>
              </w:rPr>
              <w:t xml:space="preserve"> </w:t>
            </w:r>
            <w:r>
              <w:rPr>
                <w:rFonts w:hint="eastAsia"/>
                <w:sz w:val="24"/>
                <w:szCs w:val="24"/>
              </w:rPr>
              <w:t>dB(A)，经建筑隔声、减振等措施后厂界昼、夜间噪声值均满足《工业企业厂界环境噪声排放标准》</w:t>
            </w:r>
            <w:r>
              <w:rPr>
                <w:sz w:val="24"/>
                <w:szCs w:val="24"/>
              </w:rPr>
              <w:t>（GB12348-2008）</w:t>
            </w:r>
            <w:r>
              <w:rPr>
                <w:rFonts w:hint="eastAsia"/>
                <w:sz w:val="24"/>
                <w:szCs w:val="24"/>
              </w:rPr>
              <w:t>3类标准要求。同时，项目周边50m范围内没有声环境保护目标分布，因此，不会造成噪声扰民现象。</w:t>
            </w:r>
          </w:p>
          <w:p>
            <w:pPr>
              <w:pStyle w:val="169"/>
              <w:spacing w:line="360" w:lineRule="auto"/>
              <w:ind w:firstLine="480"/>
              <w:jc w:val="left"/>
              <w:rPr>
                <w:sz w:val="24"/>
                <w:szCs w:val="24"/>
              </w:rPr>
            </w:pPr>
            <w:r>
              <w:rPr>
                <w:rFonts w:hint="eastAsia"/>
                <w:sz w:val="24"/>
                <w:szCs w:val="24"/>
              </w:rPr>
              <w:t>（2）监测计划</w:t>
            </w:r>
          </w:p>
          <w:p>
            <w:r>
              <w:rPr>
                <w:rFonts w:hint="eastAsia"/>
              </w:rPr>
              <w:t>根据企业现有自行监测方案，噪声自行监测点位为</w:t>
            </w:r>
            <w:r>
              <w:t>厂界四周外1m</w:t>
            </w:r>
            <w:r>
              <w:rPr>
                <w:rFonts w:hint="eastAsia"/>
              </w:rPr>
              <w:t>处，监测频次为</w:t>
            </w:r>
            <w:r>
              <w:t>1次/季度</w:t>
            </w:r>
            <w:r>
              <w:rPr>
                <w:rFonts w:hint="eastAsia"/>
              </w:rPr>
              <w:t>。本次评价不再另行制定噪声监测计划，企业厂界噪声监测按现有自行监测方案执行。</w:t>
            </w:r>
          </w:p>
          <w:p>
            <w:pPr>
              <w:pStyle w:val="169"/>
              <w:spacing w:line="360" w:lineRule="auto"/>
              <w:jc w:val="left"/>
              <w:rPr>
                <w:b/>
                <w:sz w:val="28"/>
                <w:szCs w:val="28"/>
              </w:rPr>
            </w:pPr>
            <w:r>
              <w:rPr>
                <w:rFonts w:hint="eastAsia"/>
                <w:b/>
                <w:sz w:val="24"/>
                <w:szCs w:val="24"/>
              </w:rPr>
              <w:t>4.1.4固废</w:t>
            </w:r>
          </w:p>
          <w:p>
            <w:r>
              <w:rPr>
                <w:rFonts w:hint="eastAsia"/>
              </w:rPr>
              <w:t>（1）产生情况</w:t>
            </w:r>
          </w:p>
          <w:p>
            <w:r>
              <w:rPr>
                <w:rFonts w:hint="eastAsia"/>
              </w:rPr>
              <w:t>本次主要将电炉炼钢除尘灰回用于炼钢环节，除尘灰入炉回收铁元素后，Zn以气体形式溢出，进入低温段重新被氧化，氧化锌颗粒被布袋除尘器捕集，当除尘灰中Zn经检测富集到6</w:t>
            </w:r>
            <w:r>
              <w:t>0%</w:t>
            </w:r>
            <w:r>
              <w:rPr>
                <w:rFonts w:hint="eastAsia"/>
              </w:rPr>
              <w:t>以上后作危废处置，根据物料平衡，最终约有1759t电炉除尘灰作为危废，交有资质单位清运处置；此外，电炉除尘灰废包装袋产生量约10t/a，交有资质单位清运处置。</w:t>
            </w:r>
          </w:p>
          <w:p>
            <w:pPr>
              <w:pStyle w:val="3230"/>
              <w:rPr>
                <w:rFonts w:eastAsiaTheme="minorEastAsia"/>
                <w:color w:val="auto"/>
              </w:rPr>
            </w:pPr>
            <w:bookmarkStart w:id="11" w:name="_Ref68099145"/>
            <w:r>
              <w:rPr>
                <w:rFonts w:hint="eastAsia" w:eastAsiaTheme="minorEastAsia"/>
                <w:color w:val="auto"/>
              </w:rPr>
              <w:t>表</w:t>
            </w:r>
            <w:r>
              <w:rPr>
                <w:rFonts w:eastAsiaTheme="minorEastAsia"/>
                <w:color w:val="auto"/>
              </w:rPr>
              <w:t xml:space="preserve"> </w:t>
            </w:r>
            <w:bookmarkEnd w:id="11"/>
            <w:r>
              <w:rPr>
                <w:rFonts w:hint="eastAsia" w:eastAsiaTheme="minorEastAsia"/>
                <w:color w:val="auto"/>
              </w:rPr>
              <w:t xml:space="preserve">4.1-1  </w:t>
            </w:r>
            <w:r>
              <w:rPr>
                <w:rFonts w:eastAsiaTheme="minorEastAsia"/>
                <w:color w:val="auto"/>
              </w:rPr>
              <w:t xml:space="preserve"> </w:t>
            </w:r>
            <w:r>
              <w:rPr>
                <w:rFonts w:hint="eastAsia" w:eastAsiaTheme="minorEastAsia"/>
                <w:color w:val="auto"/>
              </w:rPr>
              <w:t>项目危险废物汇总表</w:t>
            </w:r>
          </w:p>
          <w:tbl>
            <w:tblPr>
              <w:tblStyle w:val="88"/>
              <w:tblW w:w="491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564"/>
              <w:gridCol w:w="1193"/>
              <w:gridCol w:w="850"/>
              <w:gridCol w:w="1367"/>
              <w:gridCol w:w="790"/>
              <w:gridCol w:w="1043"/>
              <w:gridCol w:w="593"/>
              <w:gridCol w:w="602"/>
              <w:gridCol w:w="126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341" w:type="pct"/>
                  <w:vAlign w:val="center"/>
                </w:tcPr>
                <w:p>
                  <w:pPr>
                    <w:pStyle w:val="186"/>
                  </w:pPr>
                  <w:r>
                    <w:rPr>
                      <w:rFonts w:hint="eastAsia"/>
                    </w:rPr>
                    <w:t>序号</w:t>
                  </w:r>
                </w:p>
              </w:tc>
              <w:tc>
                <w:tcPr>
                  <w:tcW w:w="722" w:type="pct"/>
                  <w:vAlign w:val="center"/>
                </w:tcPr>
                <w:p>
                  <w:pPr>
                    <w:pStyle w:val="186"/>
                  </w:pPr>
                  <w:r>
                    <w:rPr>
                      <w:rFonts w:hint="eastAsia"/>
                    </w:rPr>
                    <w:t>危险废物名称</w:t>
                  </w:r>
                </w:p>
              </w:tc>
              <w:tc>
                <w:tcPr>
                  <w:tcW w:w="514" w:type="pct"/>
                  <w:vAlign w:val="center"/>
                </w:tcPr>
                <w:p>
                  <w:pPr>
                    <w:pStyle w:val="186"/>
                  </w:pPr>
                  <w:r>
                    <w:rPr>
                      <w:rFonts w:hint="eastAsia"/>
                    </w:rPr>
                    <w:t>危险废物类别</w:t>
                  </w:r>
                </w:p>
              </w:tc>
              <w:tc>
                <w:tcPr>
                  <w:tcW w:w="827" w:type="pct"/>
                  <w:vAlign w:val="center"/>
                </w:tcPr>
                <w:p>
                  <w:pPr>
                    <w:pStyle w:val="186"/>
                  </w:pPr>
                  <w:r>
                    <w:rPr>
                      <w:rFonts w:hint="eastAsia"/>
                    </w:rPr>
                    <w:t>危险废物代码</w:t>
                  </w:r>
                </w:p>
              </w:tc>
              <w:tc>
                <w:tcPr>
                  <w:tcW w:w="478" w:type="pct"/>
                  <w:vAlign w:val="center"/>
                </w:tcPr>
                <w:p>
                  <w:pPr>
                    <w:pStyle w:val="186"/>
                  </w:pPr>
                  <w:r>
                    <w:rPr>
                      <w:rFonts w:hint="eastAsia"/>
                    </w:rPr>
                    <w:t>产生量</w:t>
                  </w:r>
                </w:p>
                <w:p>
                  <w:pPr>
                    <w:pStyle w:val="186"/>
                  </w:pPr>
                  <w:r>
                    <w:rPr>
                      <w:rFonts w:hint="eastAsia"/>
                    </w:rPr>
                    <w:t>（</w:t>
                  </w:r>
                  <w:r>
                    <w:t>t</w:t>
                  </w:r>
                  <w:r>
                    <w:rPr>
                      <w:rFonts w:hint="eastAsia"/>
                    </w:rPr>
                    <w:t>）</w:t>
                  </w:r>
                </w:p>
              </w:tc>
              <w:tc>
                <w:tcPr>
                  <w:tcW w:w="631" w:type="pct"/>
                  <w:vAlign w:val="center"/>
                </w:tcPr>
                <w:p>
                  <w:pPr>
                    <w:pStyle w:val="186"/>
                  </w:pPr>
                  <w:r>
                    <w:rPr>
                      <w:rFonts w:hint="eastAsia"/>
                    </w:rPr>
                    <w:t>产生工序及装置</w:t>
                  </w:r>
                </w:p>
              </w:tc>
              <w:tc>
                <w:tcPr>
                  <w:tcW w:w="359" w:type="pct"/>
                  <w:vAlign w:val="center"/>
                </w:tcPr>
                <w:p>
                  <w:pPr>
                    <w:pStyle w:val="186"/>
                  </w:pPr>
                  <w:r>
                    <w:rPr>
                      <w:rFonts w:hint="eastAsia"/>
                    </w:rPr>
                    <w:t>形态</w:t>
                  </w:r>
                </w:p>
              </w:tc>
              <w:tc>
                <w:tcPr>
                  <w:tcW w:w="364" w:type="pct"/>
                  <w:vAlign w:val="center"/>
                </w:tcPr>
                <w:p>
                  <w:pPr>
                    <w:pStyle w:val="186"/>
                  </w:pPr>
                  <w:r>
                    <w:rPr>
                      <w:rFonts w:hint="eastAsia"/>
                    </w:rPr>
                    <w:t>危险</w:t>
                  </w:r>
                </w:p>
                <w:p>
                  <w:pPr>
                    <w:pStyle w:val="186"/>
                  </w:pPr>
                  <w:r>
                    <w:rPr>
                      <w:rFonts w:hint="eastAsia"/>
                    </w:rPr>
                    <w:t>特性</w:t>
                  </w:r>
                </w:p>
              </w:tc>
              <w:tc>
                <w:tcPr>
                  <w:tcW w:w="763" w:type="pct"/>
                  <w:vAlign w:val="center"/>
                </w:tcPr>
                <w:p>
                  <w:pPr>
                    <w:pStyle w:val="186"/>
                  </w:pPr>
                  <w:r>
                    <w:rPr>
                      <w:rFonts w:hint="eastAsia"/>
                    </w:rPr>
                    <w:t>污染防治措施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341" w:type="pct"/>
                  <w:vAlign w:val="center"/>
                </w:tcPr>
                <w:p>
                  <w:pPr>
                    <w:pStyle w:val="186"/>
                  </w:pPr>
                  <w:r>
                    <w:t>1</w:t>
                  </w:r>
                </w:p>
              </w:tc>
              <w:tc>
                <w:tcPr>
                  <w:tcW w:w="722" w:type="pct"/>
                  <w:vAlign w:val="center"/>
                </w:tcPr>
                <w:p>
                  <w:pPr>
                    <w:pStyle w:val="186"/>
                  </w:pPr>
                  <w:r>
                    <w:rPr>
                      <w:rFonts w:hint="eastAsia"/>
                    </w:rPr>
                    <w:t>电炉除尘灰（不能回收利用）</w:t>
                  </w:r>
                </w:p>
              </w:tc>
              <w:tc>
                <w:tcPr>
                  <w:tcW w:w="514" w:type="pct"/>
                  <w:vAlign w:val="center"/>
                </w:tcPr>
                <w:p>
                  <w:pPr>
                    <w:pStyle w:val="186"/>
                  </w:pPr>
                  <w:r>
                    <w:rPr>
                      <w:rFonts w:hint="eastAsia"/>
                    </w:rPr>
                    <w:t>HW23</w:t>
                  </w:r>
                </w:p>
              </w:tc>
              <w:tc>
                <w:tcPr>
                  <w:tcW w:w="827" w:type="pct"/>
                  <w:vAlign w:val="center"/>
                </w:tcPr>
                <w:p>
                  <w:pPr>
                    <w:pStyle w:val="186"/>
                  </w:pPr>
                  <w:r>
                    <w:t>312-001-23</w:t>
                  </w:r>
                </w:p>
              </w:tc>
              <w:tc>
                <w:tcPr>
                  <w:tcW w:w="478" w:type="pct"/>
                  <w:vAlign w:val="center"/>
                </w:tcPr>
                <w:p>
                  <w:pPr>
                    <w:pStyle w:val="186"/>
                  </w:pPr>
                  <w:r>
                    <w:rPr>
                      <w:rFonts w:hint="eastAsia"/>
                    </w:rPr>
                    <w:t>1759</w:t>
                  </w:r>
                </w:p>
              </w:tc>
              <w:tc>
                <w:tcPr>
                  <w:tcW w:w="631" w:type="pct"/>
                  <w:vAlign w:val="center"/>
                </w:tcPr>
                <w:p>
                  <w:pPr>
                    <w:pStyle w:val="186"/>
                  </w:pPr>
                  <w:r>
                    <w:rPr>
                      <w:rFonts w:hint="eastAsia"/>
                    </w:rPr>
                    <w:t>炼钢</w:t>
                  </w:r>
                </w:p>
              </w:tc>
              <w:tc>
                <w:tcPr>
                  <w:tcW w:w="359" w:type="pct"/>
                  <w:vAlign w:val="center"/>
                </w:tcPr>
                <w:p>
                  <w:pPr>
                    <w:pStyle w:val="186"/>
                  </w:pPr>
                  <w:r>
                    <w:rPr>
                      <w:rFonts w:hint="eastAsia"/>
                    </w:rPr>
                    <w:t>固</w:t>
                  </w:r>
                </w:p>
              </w:tc>
              <w:tc>
                <w:tcPr>
                  <w:tcW w:w="364" w:type="pct"/>
                  <w:vAlign w:val="center"/>
                </w:tcPr>
                <w:p>
                  <w:pPr>
                    <w:pStyle w:val="186"/>
                  </w:pPr>
                  <w:r>
                    <w:t>T/In</w:t>
                  </w:r>
                </w:p>
              </w:tc>
              <w:tc>
                <w:tcPr>
                  <w:tcW w:w="763" w:type="pct"/>
                  <w:vAlign w:val="center"/>
                </w:tcPr>
                <w:p>
                  <w:pPr>
                    <w:pStyle w:val="186"/>
                  </w:pPr>
                  <w:r>
                    <w:rPr>
                      <w:rFonts w:hint="eastAsia"/>
                    </w:rPr>
                    <w:t>委托有资质单位处置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341" w:type="pct"/>
                  <w:vAlign w:val="center"/>
                </w:tcPr>
                <w:p>
                  <w:pPr>
                    <w:pStyle w:val="186"/>
                  </w:pPr>
                  <w:r>
                    <w:rPr>
                      <w:rFonts w:hint="eastAsia"/>
                    </w:rPr>
                    <w:t>2</w:t>
                  </w:r>
                </w:p>
              </w:tc>
              <w:tc>
                <w:tcPr>
                  <w:tcW w:w="722" w:type="pct"/>
                  <w:vAlign w:val="center"/>
                </w:tcPr>
                <w:p>
                  <w:pPr>
                    <w:pStyle w:val="186"/>
                  </w:pPr>
                  <w:r>
                    <w:rPr>
                      <w:rFonts w:hint="eastAsia"/>
                    </w:rPr>
                    <w:t>废包装袋</w:t>
                  </w:r>
                </w:p>
              </w:tc>
              <w:tc>
                <w:tcPr>
                  <w:tcW w:w="514" w:type="pct"/>
                  <w:vAlign w:val="center"/>
                </w:tcPr>
                <w:p>
                  <w:pPr>
                    <w:pStyle w:val="186"/>
                  </w:pPr>
                  <w:r>
                    <w:t>HW49</w:t>
                  </w:r>
                </w:p>
              </w:tc>
              <w:tc>
                <w:tcPr>
                  <w:tcW w:w="827" w:type="pct"/>
                  <w:vAlign w:val="center"/>
                </w:tcPr>
                <w:p>
                  <w:pPr>
                    <w:pStyle w:val="186"/>
                  </w:pPr>
                  <w:r>
                    <w:t>900-041-49</w:t>
                  </w:r>
                </w:p>
              </w:tc>
              <w:tc>
                <w:tcPr>
                  <w:tcW w:w="478" w:type="pct"/>
                  <w:vAlign w:val="center"/>
                </w:tcPr>
                <w:p>
                  <w:pPr>
                    <w:pStyle w:val="186"/>
                  </w:pPr>
                  <w:r>
                    <w:rPr>
                      <w:rFonts w:hint="eastAsia"/>
                    </w:rPr>
                    <w:t>10</w:t>
                  </w:r>
                </w:p>
              </w:tc>
              <w:tc>
                <w:tcPr>
                  <w:tcW w:w="631" w:type="pct"/>
                  <w:vAlign w:val="center"/>
                </w:tcPr>
                <w:p>
                  <w:pPr>
                    <w:pStyle w:val="186"/>
                  </w:pPr>
                  <w:r>
                    <w:rPr>
                      <w:rFonts w:hint="eastAsia"/>
                    </w:rPr>
                    <w:t>除尘灰包装</w:t>
                  </w:r>
                </w:p>
              </w:tc>
              <w:tc>
                <w:tcPr>
                  <w:tcW w:w="359" w:type="pct"/>
                  <w:vAlign w:val="center"/>
                </w:tcPr>
                <w:p>
                  <w:pPr>
                    <w:pStyle w:val="186"/>
                  </w:pPr>
                  <w:r>
                    <w:rPr>
                      <w:rFonts w:hint="eastAsia"/>
                    </w:rPr>
                    <w:t>固</w:t>
                  </w:r>
                </w:p>
              </w:tc>
              <w:tc>
                <w:tcPr>
                  <w:tcW w:w="364" w:type="pct"/>
                  <w:vAlign w:val="center"/>
                </w:tcPr>
                <w:p>
                  <w:pPr>
                    <w:pStyle w:val="186"/>
                  </w:pPr>
                  <w:r>
                    <w:t>T/In</w:t>
                  </w:r>
                </w:p>
              </w:tc>
              <w:tc>
                <w:tcPr>
                  <w:tcW w:w="763" w:type="pct"/>
                  <w:vAlign w:val="center"/>
                </w:tcPr>
                <w:p>
                  <w:pPr>
                    <w:pStyle w:val="186"/>
                  </w:pPr>
                  <w:r>
                    <w:t>委托有资质单位处置</w:t>
                  </w:r>
                </w:p>
              </w:tc>
            </w:tr>
          </w:tbl>
          <w:p/>
          <w:p>
            <w:pPr>
              <w:rPr>
                <w:bCs/>
              </w:rPr>
            </w:pPr>
            <w:r>
              <w:rPr>
                <w:rFonts w:hint="eastAsia"/>
                <w:bCs/>
              </w:rPr>
              <w:t>（2）防治措施及管理要求</w:t>
            </w:r>
          </w:p>
          <w:p>
            <w:pPr>
              <w:rPr>
                <w:bCs/>
              </w:rPr>
            </w:pPr>
            <w:r>
              <w:rPr>
                <w:rFonts w:hint="eastAsia"/>
                <w:bCs/>
              </w:rPr>
              <w:t>根据《危险废物收集、储存、运输技术规范》（HJ2025-2012），本项目电炉除尘灰内部收集、储存和转运应按照以下要求执行：</w:t>
            </w:r>
          </w:p>
          <w:p>
            <w:pPr>
              <w:rPr>
                <w:bCs/>
              </w:rPr>
            </w:pPr>
            <w:r>
              <w:rPr>
                <w:bCs/>
              </w:rPr>
              <w:t>1）</w:t>
            </w:r>
            <w:r>
              <w:rPr>
                <w:rFonts w:hint="eastAsia"/>
                <w:bCs/>
              </w:rPr>
              <w:t>收集</w:t>
            </w:r>
          </w:p>
          <w:p>
            <w:pPr>
              <w:rPr>
                <w:bCs/>
              </w:rPr>
            </w:pPr>
            <w:r>
              <w:rPr>
                <w:rFonts w:hint="eastAsia"/>
                <w:bCs/>
              </w:rPr>
              <w:t>根据除尘灰产生的工艺特征、排放周期、危废特性、废物管理计划等因素制定收集计划，收集计划应包括收集任务概述、收集目标及原则、危险废物特性评估、危险废物收集量估算、收集作业范围和方法、收集设备与包装容器、安全生产与个人防护、工程防护与事故应急、进度安排与组织管理等。</w:t>
            </w:r>
          </w:p>
          <w:p>
            <w:pPr>
              <w:rPr>
                <w:bCs/>
              </w:rPr>
            </w:pPr>
            <w:r>
              <w:rPr>
                <w:rFonts w:hint="eastAsia"/>
                <w:bCs/>
              </w:rPr>
              <w:t xml:space="preserve">除尘灰的收集作业应满足如下要求： </w:t>
            </w:r>
          </w:p>
          <w:p>
            <w:pPr>
              <w:rPr>
                <w:bCs/>
              </w:rPr>
            </w:pPr>
            <w:r>
              <w:rPr>
                <w:rFonts w:hint="eastAsia" w:ascii="宋体" w:hAnsi="宋体"/>
                <w:bCs/>
              </w:rPr>
              <w:t>①</w:t>
            </w:r>
            <w:r>
              <w:rPr>
                <w:rFonts w:hint="eastAsia"/>
                <w:bCs/>
              </w:rPr>
              <w:t xml:space="preserve">应根据收集设备以及现场人员等实际情况确定相应作业区域，同时要设置作业界限标志和警示牌。 </w:t>
            </w:r>
          </w:p>
          <w:p>
            <w:pPr>
              <w:rPr>
                <w:bCs/>
              </w:rPr>
            </w:pPr>
            <w:r>
              <w:rPr>
                <w:rFonts w:hint="eastAsia" w:ascii="宋体" w:hAnsi="宋体"/>
                <w:bCs/>
              </w:rPr>
              <w:t>②</w:t>
            </w:r>
            <w:r>
              <w:rPr>
                <w:rFonts w:hint="eastAsia"/>
                <w:bCs/>
              </w:rPr>
              <w:t xml:space="preserve">作业区域内应设置危险废物收集专用通道和人员避险通道。 </w:t>
            </w:r>
          </w:p>
          <w:p>
            <w:pPr>
              <w:rPr>
                <w:bCs/>
              </w:rPr>
            </w:pPr>
            <w:r>
              <w:rPr>
                <w:rFonts w:hint="eastAsia" w:ascii="宋体" w:hAnsi="宋体"/>
                <w:bCs/>
              </w:rPr>
              <w:t>③</w:t>
            </w:r>
            <w:r>
              <w:rPr>
                <w:rFonts w:hint="eastAsia"/>
                <w:bCs/>
              </w:rPr>
              <w:t xml:space="preserve">收集时应配备必要的收集工具和包装物，以及必要的应急装备。 </w:t>
            </w:r>
          </w:p>
          <w:p>
            <w:pPr>
              <w:rPr>
                <w:bCs/>
              </w:rPr>
            </w:pPr>
            <w:r>
              <w:rPr>
                <w:rFonts w:hint="eastAsia" w:ascii="宋体" w:hAnsi="宋体"/>
                <w:bCs/>
              </w:rPr>
              <w:t>④</w:t>
            </w:r>
            <w:r>
              <w:rPr>
                <w:rFonts w:hint="eastAsia"/>
                <w:bCs/>
              </w:rPr>
              <w:t>危险废物收集应参照《危险废物收集、储存、运输技术规范》（HJ2025-2012）附录</w:t>
            </w:r>
            <w:r>
              <w:rPr>
                <w:bCs/>
              </w:rPr>
              <w:t>A</w:t>
            </w:r>
            <w:r>
              <w:rPr>
                <w:rFonts w:hint="eastAsia"/>
                <w:bCs/>
              </w:rPr>
              <w:t xml:space="preserve">填写记录表，并将记录表作为危险废物管理的重要档案妥善保存。 </w:t>
            </w:r>
          </w:p>
          <w:p>
            <w:pPr>
              <w:rPr>
                <w:bCs/>
              </w:rPr>
            </w:pPr>
            <w:r>
              <w:rPr>
                <w:rFonts w:hint="eastAsia" w:ascii="宋体" w:hAnsi="宋体"/>
                <w:bCs/>
              </w:rPr>
              <w:t>⑤</w:t>
            </w:r>
            <w:r>
              <w:rPr>
                <w:rFonts w:hint="eastAsia"/>
                <w:bCs/>
              </w:rPr>
              <w:t xml:space="preserve">收集结束后应清理和恢复收集作业区域，确保作业区域环境整洁安全。 </w:t>
            </w:r>
          </w:p>
          <w:p>
            <w:pPr>
              <w:rPr>
                <w:bCs/>
              </w:rPr>
            </w:pPr>
            <w:r>
              <w:rPr>
                <w:rFonts w:hint="eastAsia" w:ascii="宋体" w:hAnsi="宋体"/>
                <w:bCs/>
              </w:rPr>
              <w:t>⑥</w:t>
            </w:r>
            <w:r>
              <w:rPr>
                <w:rFonts w:hint="eastAsia"/>
                <w:bCs/>
              </w:rPr>
              <w:t>收集过危险废物的容器、设备、设施、场所及其它物品转作它用时，应消除污染，确保其使用安全。</w:t>
            </w:r>
          </w:p>
          <w:p>
            <w:pPr>
              <w:rPr>
                <w:bCs/>
              </w:rPr>
            </w:pPr>
            <w:r>
              <w:rPr>
                <w:rFonts w:hint="eastAsia"/>
                <w:bCs/>
              </w:rPr>
              <w:t xml:space="preserve">除尘灰收集时应根据除尘灰的数量、危险特性、物理形态、运输要求等因素 </w:t>
            </w:r>
          </w:p>
          <w:p>
            <w:pPr>
              <w:ind w:firstLine="0" w:firstLineChars="0"/>
              <w:rPr>
                <w:bCs/>
              </w:rPr>
            </w:pPr>
            <w:r>
              <w:rPr>
                <w:rFonts w:hint="eastAsia"/>
                <w:bCs/>
              </w:rPr>
              <w:t xml:space="preserve">确定包装形式，具体包装应符合如下要求： </w:t>
            </w:r>
          </w:p>
          <w:p>
            <w:pPr>
              <w:rPr>
                <w:bCs/>
              </w:rPr>
            </w:pPr>
            <w:r>
              <w:rPr>
                <w:rFonts w:hint="eastAsia" w:ascii="宋体" w:hAnsi="宋体"/>
                <w:bCs/>
              </w:rPr>
              <w:t>①</w:t>
            </w:r>
            <w:r>
              <w:rPr>
                <w:rFonts w:hint="eastAsia"/>
                <w:bCs/>
              </w:rPr>
              <w:t xml:space="preserve">包装材质要与危险废物相容，本项目选用吨袋包装除尘灰。 </w:t>
            </w:r>
          </w:p>
          <w:p>
            <w:pPr>
              <w:rPr>
                <w:bCs/>
              </w:rPr>
            </w:pPr>
            <w:r>
              <w:rPr>
                <w:rFonts w:hint="eastAsia" w:ascii="宋体" w:hAnsi="宋体"/>
                <w:bCs/>
              </w:rPr>
              <w:t>②</w:t>
            </w:r>
            <w:r>
              <w:rPr>
                <w:rFonts w:hint="eastAsia"/>
                <w:bCs/>
              </w:rPr>
              <w:t xml:space="preserve">除尘灰包装应能有效隔断危险废物迁移扩散途径，并达到防渗、防漏要求。 </w:t>
            </w:r>
          </w:p>
          <w:p>
            <w:pPr>
              <w:rPr>
                <w:bCs/>
              </w:rPr>
            </w:pPr>
            <w:r>
              <w:rPr>
                <w:rFonts w:hint="eastAsia" w:ascii="宋体" w:hAnsi="宋体"/>
                <w:bCs/>
              </w:rPr>
              <w:t>③</w:t>
            </w:r>
            <w:r>
              <w:rPr>
                <w:rFonts w:hint="eastAsia"/>
                <w:bCs/>
              </w:rPr>
              <w:t xml:space="preserve">包装好的危险废物应设置相应的标签，标签信息应填写完整翔实。 </w:t>
            </w:r>
          </w:p>
          <w:p>
            <w:pPr>
              <w:rPr>
                <w:bCs/>
              </w:rPr>
            </w:pPr>
            <w:r>
              <w:rPr>
                <w:rFonts w:hint="eastAsia" w:ascii="宋体" w:hAnsi="宋体"/>
                <w:bCs/>
              </w:rPr>
              <w:t>④</w:t>
            </w:r>
            <w:r>
              <w:rPr>
                <w:rFonts w:hint="eastAsia"/>
                <w:bCs/>
              </w:rPr>
              <w:t>盛装过危险废物的包装袋或包装容器破损后应按危险废物进行管理和处置。</w:t>
            </w:r>
          </w:p>
          <w:p>
            <w:pPr>
              <w:rPr>
                <w:bCs/>
              </w:rPr>
            </w:pPr>
            <w:r>
              <w:rPr>
                <w:rFonts w:hint="eastAsia"/>
                <w:bCs/>
              </w:rPr>
              <w:t>2）储存</w:t>
            </w:r>
          </w:p>
          <w:p>
            <w:pPr>
              <w:rPr>
                <w:bCs/>
              </w:rPr>
            </w:pPr>
            <w:r>
              <w:rPr>
                <w:rFonts w:hint="eastAsia"/>
                <w:bCs/>
              </w:rPr>
              <w:t>项目除尘灰依托厂区现有的1个50m</w:t>
            </w:r>
            <w:r>
              <w:rPr>
                <w:rFonts w:hint="eastAsia"/>
                <w:bCs/>
                <w:vertAlign w:val="superscript"/>
              </w:rPr>
              <w:t>2</w:t>
            </w:r>
            <w:r>
              <w:rPr>
                <w:rFonts w:hint="eastAsia"/>
                <w:bCs/>
              </w:rPr>
              <w:t>的危废暂存间储存，根据现场踏勘，厂区现有的危废暂存间地面进行了防腐防渗处理，采取了防风、防雨、防晒和防止危废流失、扬散等措施，已通过竣工环境保护验收，可以满足本项目危废暂存需求。</w:t>
            </w:r>
          </w:p>
          <w:p>
            <w:pPr>
              <w:rPr>
                <w:bCs/>
              </w:rPr>
            </w:pPr>
            <w:r>
              <w:rPr>
                <w:rFonts w:hint="eastAsia"/>
                <w:bCs/>
              </w:rPr>
              <w:t>3）运输</w:t>
            </w:r>
          </w:p>
          <w:p>
            <w:pPr>
              <w:rPr>
                <w:bCs/>
              </w:rPr>
            </w:pPr>
            <w:r>
              <w:rPr>
                <w:rFonts w:hint="eastAsia"/>
                <w:bCs/>
              </w:rPr>
              <w:t>除尘灰内部转运作业应满足如下要求：</w:t>
            </w:r>
          </w:p>
          <w:p>
            <w:pPr>
              <w:rPr>
                <w:bCs/>
              </w:rPr>
            </w:pPr>
            <w:r>
              <w:rPr>
                <w:rFonts w:hint="eastAsia" w:ascii="宋体" w:hAnsi="宋体"/>
                <w:bCs/>
              </w:rPr>
              <w:t>①</w:t>
            </w:r>
            <w:r>
              <w:rPr>
                <w:rFonts w:hint="eastAsia"/>
                <w:bCs/>
              </w:rPr>
              <w:t xml:space="preserve">除尘灰内部转运应综合考虑厂区的实际情况确定转运路线，尽量避开办公区和生活区。 </w:t>
            </w:r>
          </w:p>
          <w:p>
            <w:pPr>
              <w:rPr>
                <w:bCs/>
              </w:rPr>
            </w:pPr>
            <w:r>
              <w:rPr>
                <w:rFonts w:hint="eastAsia" w:ascii="宋体" w:hAnsi="宋体"/>
                <w:bCs/>
              </w:rPr>
              <w:t>②</w:t>
            </w:r>
            <w:r>
              <w:rPr>
                <w:rFonts w:hint="eastAsia"/>
                <w:bCs/>
              </w:rPr>
              <w:t>危险废物内部转运作业应采用专用的工具，危险废物内部转运应参照《危险废物收集、储存、运输技术规范》（HJ2025-2012）附录</w:t>
            </w:r>
            <w:r>
              <w:rPr>
                <w:bCs/>
              </w:rPr>
              <w:t>B</w:t>
            </w:r>
            <w:r>
              <w:rPr>
                <w:rFonts w:hint="eastAsia"/>
                <w:bCs/>
              </w:rPr>
              <w:t xml:space="preserve">填写《危险废物厂内转运记录表》。 </w:t>
            </w:r>
          </w:p>
          <w:p>
            <w:pPr>
              <w:rPr>
                <w:bCs/>
              </w:rPr>
            </w:pPr>
            <w:r>
              <w:rPr>
                <w:rFonts w:hint="eastAsia" w:ascii="宋体" w:hAnsi="宋体"/>
                <w:bCs/>
              </w:rPr>
              <w:t>③</w:t>
            </w:r>
            <w:r>
              <w:rPr>
                <w:rFonts w:hint="eastAsia"/>
                <w:bCs/>
              </w:rPr>
              <w:t>危险废物内部转运结束后，应对转运路线进行检查和清理，确保无危险废物遗失在转运路线上，并对转运工具进行清洗。</w:t>
            </w:r>
          </w:p>
          <w:p>
            <w:pPr>
              <w:rPr>
                <w:bCs/>
              </w:rPr>
            </w:pPr>
            <w:r>
              <w:rPr>
                <w:rFonts w:hint="eastAsia"/>
                <w:bCs/>
              </w:rPr>
              <w:t>项目不能回收利用的电炉除尘灰外部转运过程中严格执行《危险废物转移管理办法》，制订处置计划、建立台账和登记制度，严格执行危险废物转移计划审批和转移联单制度，危险废物储存、转运必须严格遵守《危险废物收集、储存、运输技术规范》（HJ2025-2012）等的规定，做好防风、防雨、防流失、防渗漏等措施，防止二次污染。</w:t>
            </w:r>
          </w:p>
          <w:p>
            <w:r>
              <w:rPr>
                <w:rFonts w:hint="eastAsia"/>
              </w:rPr>
              <w:t>项目危险废物进行妥善收集、暂存及清运处置后，可有效避免二次污染，对环境影响小。</w:t>
            </w:r>
          </w:p>
          <w:p>
            <w:r>
              <w:rPr>
                <w:rFonts w:hint="eastAsia"/>
              </w:rPr>
              <w:drawing>
                <wp:anchor distT="0" distB="0" distL="114300" distR="114300" simplePos="0" relativeHeight="251666432" behindDoc="0" locked="0" layoutInCell="1" allowOverlap="1">
                  <wp:simplePos x="0" y="0"/>
                  <wp:positionH relativeFrom="column">
                    <wp:posOffset>2723515</wp:posOffset>
                  </wp:positionH>
                  <wp:positionV relativeFrom="paragraph">
                    <wp:posOffset>34925</wp:posOffset>
                  </wp:positionV>
                  <wp:extent cx="2438400" cy="1837055"/>
                  <wp:effectExtent l="0" t="0" r="0" b="0"/>
                  <wp:wrapNone/>
                  <wp:docPr id="13" name="图片 13" descr="C:\Users\Administrator\Desktop\足航公司除尘灰资源化利用项目\微信图片_20231224121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足航公司除尘灰资源化利用项目\微信图片_202312241216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438400" cy="1837055"/>
                          </a:xfrm>
                          <a:prstGeom prst="rect">
                            <a:avLst/>
                          </a:prstGeom>
                          <a:noFill/>
                          <a:ln>
                            <a:noFill/>
                          </a:ln>
                        </pic:spPr>
                      </pic:pic>
                    </a:graphicData>
                  </a:graphic>
                </wp:anchor>
              </w:drawing>
            </w:r>
            <w:r>
              <w:rPr>
                <w:rFonts w:hint="eastAsia"/>
              </w:rPr>
              <w:drawing>
                <wp:anchor distT="0" distB="0" distL="114300" distR="114300" simplePos="0" relativeHeight="251665408" behindDoc="0" locked="0" layoutInCell="1" allowOverlap="1">
                  <wp:simplePos x="0" y="0"/>
                  <wp:positionH relativeFrom="column">
                    <wp:posOffset>113665</wp:posOffset>
                  </wp:positionH>
                  <wp:positionV relativeFrom="paragraph">
                    <wp:posOffset>34925</wp:posOffset>
                  </wp:positionV>
                  <wp:extent cx="2433955" cy="1828800"/>
                  <wp:effectExtent l="0" t="0" r="4445" b="0"/>
                  <wp:wrapNone/>
                  <wp:docPr id="3" name="图片 3" descr="C:\Users\Administrator\Desktop\足航公司除尘灰资源化利用项目\微信图片_20231224121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足航公司除尘灰资源化利用项目\微信图片_2023122412155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433955" cy="1828800"/>
                          </a:xfrm>
                          <a:prstGeom prst="rect">
                            <a:avLst/>
                          </a:prstGeom>
                          <a:noFill/>
                          <a:ln>
                            <a:noFill/>
                          </a:ln>
                        </pic:spPr>
                      </pic:pic>
                    </a:graphicData>
                  </a:graphic>
                </wp:anchor>
              </w:drawing>
            </w:r>
          </w:p>
          <w:p/>
          <w:p/>
          <w:p/>
          <w:p/>
          <w:p/>
          <w:p/>
          <w:p>
            <w:r>
              <w:rPr>
                <w:rFonts w:hint="eastAsia"/>
              </w:rPr>
              <mc:AlternateContent>
                <mc:Choice Requires="wps">
                  <w:drawing>
                    <wp:anchor distT="0" distB="0" distL="114300" distR="114300" simplePos="0" relativeHeight="251667456" behindDoc="0" locked="0" layoutInCell="1" allowOverlap="1">
                      <wp:simplePos x="0" y="0"/>
                      <wp:positionH relativeFrom="column">
                        <wp:posOffset>1228090</wp:posOffset>
                      </wp:positionH>
                      <wp:positionV relativeFrom="paragraph">
                        <wp:posOffset>33020</wp:posOffset>
                      </wp:positionV>
                      <wp:extent cx="2847975" cy="3429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8479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图4-1    厂区除尘灰暂存间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7pt;margin-top:2.6pt;height:27pt;width:224.25pt;z-index:251667456;mso-width-relative:page;mso-height-relative:page;" filled="f" stroked="f" coordsize="21600,21600" o:gfxdata="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Bhyk42QAAAAgBAAAPAAAAAAAAAAEAIAAA&#10;ACIAAABkcnMvZG93bnJldi54bWxQSwECFAAUAAAACACHTuJAklMUvUQCAAB2BAAADgAAAAAAAAAB&#10;ACAAAAAoAQAAZHJzL2Uyb0RvYy54bWxQSwUGAAAAAAYABgBZAQAA3gUAAAAA&#10;">
                      <v:fill on="f" focussize="0,0"/>
                      <v:stroke on="f" weight="0.5pt"/>
                      <v:imagedata o:title=""/>
                      <o:lock v:ext="edit" aspectratio="f"/>
                      <v:textbox>
                        <w:txbxContent>
                          <w:p>
                            <w:r>
                              <w:rPr>
                                <w:rFonts w:hint="eastAsia"/>
                              </w:rPr>
                              <w:t>图4-1    厂区除尘灰暂存间</w:t>
                            </w:r>
                          </w:p>
                        </w:txbxContent>
                      </v:textbox>
                    </v:shape>
                  </w:pict>
                </mc:Fallback>
              </mc:AlternateContent>
            </w:r>
          </w:p>
          <w:p/>
          <w:p>
            <w:pPr>
              <w:ind w:firstLine="0" w:firstLineChars="0"/>
              <w:rPr>
                <w:b/>
              </w:rPr>
            </w:pPr>
            <w:r>
              <w:rPr>
                <w:rFonts w:hint="eastAsia"/>
                <w:b/>
              </w:rPr>
              <w:t>4.1.5地下水、土壤环境影响和保护措施</w:t>
            </w:r>
          </w:p>
          <w:p>
            <w:pPr>
              <w:rPr>
                <w:bCs/>
              </w:rPr>
            </w:pPr>
            <w:r>
              <w:rPr>
                <w:rFonts w:hint="eastAsia"/>
                <w:bCs/>
              </w:rPr>
              <w:t xml:space="preserve"> （1）污染源及污染途径</w:t>
            </w:r>
          </w:p>
          <w:p>
            <w:pPr>
              <w:rPr>
                <w:bCs/>
              </w:rPr>
            </w:pPr>
            <w:r>
              <w:rPr>
                <w:rFonts w:hint="eastAsia"/>
                <w:bCs/>
              </w:rPr>
              <w:t>项目废气主要为除尘灰回炉利用过程产生的铅、镉和铬及其化合物，经现有“第四孔排烟+密闭罩+屋顶罩+袋式除尘器”处理达标后高空排放。在严格落实环评提出的污染治理措施后，项目有组织废气及无组织废气均可满足相应的排放标准要求，大气污染物沉降到土壤的输入量很小，在土壤吸附、络合、沉淀和阻留作用下，迁移速度较缓慢，大部分残留在土壤耕作层，极少向下层土壤迁移，大气沉降对土壤影响较小。</w:t>
            </w:r>
          </w:p>
          <w:p>
            <w:pPr>
              <w:rPr>
                <w:bCs/>
              </w:rPr>
            </w:pPr>
            <w:r>
              <w:rPr>
                <w:rFonts w:hint="eastAsia"/>
                <w:bCs/>
              </w:rPr>
              <w:t>项目不涉及工艺废水，生活污水经生化池处理达《污水综合排放标准》（</w:t>
            </w:r>
            <w:r>
              <w:rPr>
                <w:bCs/>
              </w:rPr>
              <w:t>GB8978-1996</w:t>
            </w:r>
            <w:r>
              <w:rPr>
                <w:rFonts w:hint="eastAsia"/>
                <w:bCs/>
              </w:rPr>
              <w:t>）三级标准后接入市政管网，进入双桥工业园区污水处理厂进行深度处理。厂区污水收集管道及生化池采取了防渗措施，无明显的地下水、土壤污染途径。</w:t>
            </w:r>
          </w:p>
          <w:p>
            <w:pPr>
              <w:rPr>
                <w:bCs/>
              </w:rPr>
            </w:pPr>
            <w:r>
              <w:rPr>
                <w:rFonts w:hint="eastAsia"/>
                <w:bCs/>
              </w:rPr>
              <w:t>本项目除尘灰依托现有危废暂存间暂存，上述区域均采取了相应的防渗防腐处理，无泄漏至地下水、土壤的途径。</w:t>
            </w:r>
          </w:p>
          <w:p>
            <w:pPr>
              <w:rPr>
                <w:bCs/>
              </w:rPr>
            </w:pPr>
            <w:r>
              <w:rPr>
                <w:rFonts w:hint="eastAsia"/>
                <w:bCs/>
              </w:rPr>
              <w:t>（2）防控措施</w:t>
            </w:r>
          </w:p>
          <w:p>
            <w:pPr>
              <w:rPr>
                <w:bCs/>
              </w:rPr>
            </w:pPr>
            <w:r>
              <w:rPr>
                <w:rFonts w:hint="eastAsia"/>
                <w:bCs/>
              </w:rPr>
              <w:t>加强项目废气的收集、治理，定期开展设备维护、检修，确保污染治理设施高效运行，尽可能减少废气污染物的排放量。</w:t>
            </w:r>
          </w:p>
          <w:p>
            <w:pPr>
              <w:ind w:firstLine="0" w:firstLineChars="0"/>
              <w:rPr>
                <w:b/>
              </w:rPr>
            </w:pPr>
            <w:r>
              <w:rPr>
                <w:rFonts w:hint="eastAsia"/>
                <w:b/>
              </w:rPr>
              <w:t>4.1.6除尘灰回收利用对炼钢生产的影响</w:t>
            </w:r>
          </w:p>
          <w:p>
            <w:r>
              <w:rPr>
                <w:rFonts w:hint="eastAsia"/>
              </w:rPr>
              <w:t>（1）对电弧炉运行工况的影响</w:t>
            </w:r>
          </w:p>
          <w:p>
            <w:pPr>
              <w:rPr>
                <w:rFonts w:ascii="宋体" w:hAnsi="宋体"/>
                <w:bCs/>
              </w:rPr>
            </w:pPr>
            <w:r>
              <w:rPr>
                <w:rFonts w:hint="eastAsia" w:ascii="宋体" w:hAnsi="宋体"/>
                <w:bCs/>
              </w:rPr>
              <w:t>通过对每炉回用后的除尘灰都进行锌含量的检测，</w:t>
            </w:r>
            <w:r>
              <w:rPr>
                <w:bCs/>
              </w:rPr>
              <w:t>控制除尘灰含锌量在60%以下，运行过程中不会对电弧炉运行产生影响，且每炉</w:t>
            </w:r>
            <w:r>
              <w:rPr>
                <w:rFonts w:hint="eastAsia" w:ascii="宋体" w:hAnsi="宋体"/>
                <w:bCs/>
              </w:rPr>
              <w:t xml:space="preserve">除尘灰添加比例很低，不增加用电，炉内温度不会发生变化，系统通风量亦不会发生变化，不会对电弧炉运行工况造成明显影响。 </w:t>
            </w:r>
          </w:p>
          <w:p>
            <w:pPr>
              <w:rPr>
                <w:bCs/>
              </w:rPr>
            </w:pPr>
            <w:r>
              <w:rPr>
                <w:bCs/>
              </w:rPr>
              <w:t xml:space="preserve">（2）对钢铁产品质量的影响 </w:t>
            </w:r>
          </w:p>
          <w:p>
            <w:pPr>
              <w:rPr>
                <w:rFonts w:ascii="宋体" w:hAnsi="宋体"/>
                <w:bCs/>
              </w:rPr>
            </w:pPr>
            <w:r>
              <w:rPr>
                <w:rFonts w:hint="eastAsia" w:ascii="宋体" w:hAnsi="宋体"/>
                <w:bCs/>
              </w:rPr>
              <w:t>根据表</w:t>
            </w:r>
            <w:r>
              <w:rPr>
                <w:bCs/>
              </w:rPr>
              <w:t>2.4-4~2.4-5</w:t>
            </w:r>
            <w:r>
              <w:rPr>
                <w:rFonts w:hint="eastAsia" w:ascii="宋体" w:hAnsi="宋体"/>
                <w:bCs/>
              </w:rPr>
              <w:t>，钢铁产品执行的国家质量标准中化学成分只对</w:t>
            </w:r>
            <w:r>
              <w:rPr>
                <w:bCs/>
              </w:rPr>
              <w:t>C、</w:t>
            </w:r>
            <w:r>
              <w:t>Si、Mn、P和S的质量分数进行控制</w:t>
            </w:r>
            <w:r>
              <w:rPr>
                <w:rFonts w:hint="eastAsia"/>
              </w:rPr>
              <w:t>，项目实施回收了除尘灰中的铁元素，除尘灰中的其他成分在电炉冶炼过程中通过氧化还原去除杂质，最终进入炉渣。因此不会对钢铁</w:t>
            </w:r>
            <w:r>
              <w:rPr>
                <w:rFonts w:hint="eastAsia"/>
                <w:bCs/>
              </w:rPr>
              <w:t>产品质量产生影响。</w:t>
            </w:r>
          </w:p>
          <w:p>
            <w:pPr>
              <w:pStyle w:val="169"/>
              <w:spacing w:line="360" w:lineRule="auto"/>
              <w:jc w:val="left"/>
              <w:rPr>
                <w:b/>
                <w:sz w:val="24"/>
                <w:szCs w:val="24"/>
              </w:rPr>
            </w:pPr>
            <w:r>
              <w:rPr>
                <w:rFonts w:hint="eastAsia"/>
                <w:b/>
                <w:sz w:val="24"/>
                <w:szCs w:val="24"/>
              </w:rPr>
              <w:t>4.1.</w:t>
            </w:r>
            <w:bookmarkStart w:id="12" w:name="_Toc60842854"/>
            <w:r>
              <w:rPr>
                <w:rFonts w:hint="eastAsia"/>
                <w:b/>
                <w:sz w:val="24"/>
                <w:szCs w:val="24"/>
              </w:rPr>
              <w:t>7</w:t>
            </w:r>
            <w:r>
              <w:rPr>
                <w:b/>
                <w:sz w:val="24"/>
                <w:szCs w:val="24"/>
              </w:rPr>
              <w:t>污染物排放量变化情况</w:t>
            </w:r>
            <w:bookmarkEnd w:id="12"/>
          </w:p>
          <w:p>
            <w:pPr>
              <w:pStyle w:val="3229"/>
              <w:ind w:firstLine="480"/>
              <w:rPr>
                <w:snapToGrid w:val="0"/>
              </w:rPr>
            </w:pPr>
            <w:r>
              <w:rPr>
                <w:snapToGrid w:val="0"/>
              </w:rPr>
              <w:t>本次</w:t>
            </w:r>
            <w:r>
              <w:rPr>
                <w:rFonts w:hint="eastAsia"/>
                <w:snapToGrid w:val="0"/>
              </w:rPr>
              <w:t>除尘灰回收利用</w:t>
            </w:r>
            <w:r>
              <w:rPr>
                <w:snapToGrid w:val="0"/>
              </w:rPr>
              <w:t>后，</w:t>
            </w:r>
            <w:r>
              <w:rPr>
                <w:rFonts w:hint="eastAsia"/>
                <w:snapToGrid w:val="0"/>
              </w:rPr>
              <w:t>企业</w:t>
            </w:r>
            <w:r>
              <w:rPr>
                <w:snapToGrid w:val="0"/>
              </w:rPr>
              <w:t>主要污染物排放变化情况见</w:t>
            </w:r>
            <w:r>
              <w:rPr>
                <w:rFonts w:hint="eastAsia"/>
                <w:snapToGrid w:val="0"/>
              </w:rPr>
              <w:t>表4.1-2</w:t>
            </w:r>
            <w:r>
              <w:rPr>
                <w:snapToGrid w:val="0"/>
              </w:rPr>
              <w:t>。</w:t>
            </w:r>
          </w:p>
          <w:p>
            <w:pPr>
              <w:pStyle w:val="3229"/>
              <w:ind w:firstLine="480"/>
              <w:rPr>
                <w:snapToGrid w:val="0"/>
              </w:rPr>
            </w:pPr>
          </w:p>
          <w:p>
            <w:pPr>
              <w:pStyle w:val="3229"/>
              <w:ind w:firstLine="480"/>
              <w:rPr>
                <w:snapToGrid w:val="0"/>
              </w:rPr>
            </w:pPr>
          </w:p>
          <w:p>
            <w:pPr>
              <w:pStyle w:val="3229"/>
              <w:ind w:firstLine="480"/>
              <w:rPr>
                <w:snapToGrid w:val="0"/>
              </w:rPr>
            </w:pPr>
          </w:p>
          <w:p>
            <w:pPr>
              <w:pStyle w:val="3229"/>
              <w:ind w:firstLine="480"/>
              <w:rPr>
                <w:snapToGrid w:val="0"/>
              </w:rPr>
            </w:pPr>
          </w:p>
          <w:p>
            <w:pPr>
              <w:pStyle w:val="3229"/>
              <w:ind w:firstLine="480"/>
              <w:rPr>
                <w:snapToGrid w:val="0"/>
              </w:rPr>
            </w:pPr>
          </w:p>
          <w:p>
            <w:pPr>
              <w:pStyle w:val="3230"/>
              <w:rPr>
                <w:rFonts w:eastAsiaTheme="minorEastAsia"/>
                <w:color w:val="auto"/>
                <w:szCs w:val="21"/>
              </w:rPr>
            </w:pPr>
            <w:r>
              <w:rPr>
                <w:rFonts w:eastAsiaTheme="minorEastAsia"/>
                <w:color w:val="auto"/>
                <w:szCs w:val="21"/>
              </w:rPr>
              <w:t>表 4.1-</w:t>
            </w:r>
            <w:r>
              <w:rPr>
                <w:rFonts w:hint="eastAsia" w:eastAsiaTheme="minorEastAsia"/>
                <w:color w:val="auto"/>
                <w:szCs w:val="21"/>
              </w:rPr>
              <w:t>2</w:t>
            </w:r>
            <w:r>
              <w:rPr>
                <w:rFonts w:eastAsiaTheme="minorEastAsia"/>
                <w:color w:val="auto"/>
                <w:szCs w:val="21"/>
              </w:rPr>
              <w:t xml:space="preserve">   除尘灰回收利用后污染物排放变化情况一览表  单位：t/a</w:t>
            </w:r>
          </w:p>
          <w:tbl>
            <w:tblPr>
              <w:tblStyle w:val="88"/>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946"/>
              <w:gridCol w:w="2554"/>
              <w:gridCol w:w="1696"/>
              <w:gridCol w:w="1629"/>
              <w:gridCol w:w="158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77" w:hRule="atLeast"/>
                <w:tblHeader/>
                <w:jc w:val="center"/>
              </w:trPr>
              <w:tc>
                <w:tcPr>
                  <w:tcW w:w="562" w:type="pct"/>
                  <w:vAlign w:val="center"/>
                </w:tcPr>
                <w:p>
                  <w:pPr>
                    <w:pStyle w:val="186"/>
                  </w:pPr>
                  <w:r>
                    <w:t>影响</w:t>
                  </w:r>
                </w:p>
                <w:p>
                  <w:pPr>
                    <w:pStyle w:val="186"/>
                  </w:pPr>
                  <w:r>
                    <w:t>因素</w:t>
                  </w:r>
                </w:p>
              </w:tc>
              <w:tc>
                <w:tcPr>
                  <w:tcW w:w="1518" w:type="pct"/>
                  <w:vAlign w:val="center"/>
                </w:tcPr>
                <w:p>
                  <w:pPr>
                    <w:pStyle w:val="186"/>
                    <w:rPr>
                      <w:w w:val="80"/>
                    </w:rPr>
                  </w:pPr>
                  <w:r>
                    <w:t>污染物</w:t>
                  </w:r>
                </w:p>
              </w:tc>
              <w:tc>
                <w:tcPr>
                  <w:tcW w:w="1008" w:type="pct"/>
                  <w:vAlign w:val="center"/>
                </w:tcPr>
                <w:p>
                  <w:pPr>
                    <w:pStyle w:val="186"/>
                  </w:pPr>
                  <w:r>
                    <w:t>回收利用前</w:t>
                  </w:r>
                </w:p>
                <w:p>
                  <w:pPr>
                    <w:pStyle w:val="186"/>
                  </w:pPr>
                  <w:r>
                    <w:t>核算排放量</w:t>
                  </w:r>
                </w:p>
              </w:tc>
              <w:tc>
                <w:tcPr>
                  <w:tcW w:w="968" w:type="pct"/>
                  <w:vAlign w:val="center"/>
                </w:tcPr>
                <w:p>
                  <w:pPr>
                    <w:pStyle w:val="186"/>
                  </w:pPr>
                  <w:r>
                    <w:t>回收利用后</w:t>
                  </w:r>
                </w:p>
                <w:p>
                  <w:pPr>
                    <w:pStyle w:val="186"/>
                  </w:pPr>
                  <w:r>
                    <w:t>核算排放量</w:t>
                  </w:r>
                </w:p>
              </w:tc>
              <w:tc>
                <w:tcPr>
                  <w:tcW w:w="944" w:type="pct"/>
                  <w:vAlign w:val="center"/>
                </w:tcPr>
                <w:p>
                  <w:pPr>
                    <w:pStyle w:val="186"/>
                  </w:pPr>
                  <w:r>
                    <w:t>排放增减量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restart"/>
                  <w:tcBorders>
                    <w:top w:val="single" w:color="auto" w:sz="8" w:space="0"/>
                  </w:tcBorders>
                  <w:vAlign w:val="center"/>
                </w:tcPr>
                <w:p>
                  <w:pPr>
                    <w:pStyle w:val="186"/>
                  </w:pPr>
                  <w:r>
                    <w:t>废气</w:t>
                  </w:r>
                </w:p>
              </w:tc>
              <w:tc>
                <w:tcPr>
                  <w:tcW w:w="1518" w:type="pct"/>
                  <w:tcBorders>
                    <w:top w:val="single" w:color="auto" w:sz="8" w:space="0"/>
                  </w:tcBorders>
                  <w:vAlign w:val="center"/>
                </w:tcPr>
                <w:p>
                  <w:pPr>
                    <w:pStyle w:val="186"/>
                  </w:pPr>
                  <w:r>
                    <w:t>颗粒物</w:t>
                  </w:r>
                </w:p>
              </w:tc>
              <w:tc>
                <w:tcPr>
                  <w:tcW w:w="1008" w:type="pct"/>
                  <w:vAlign w:val="center"/>
                </w:tcPr>
                <w:p>
                  <w:pPr>
                    <w:pStyle w:val="186"/>
                  </w:pPr>
                  <w:r>
                    <w:rPr>
                      <w:rFonts w:hint="eastAsia"/>
                    </w:rPr>
                    <w:t>83.00</w:t>
                  </w:r>
                </w:p>
              </w:tc>
              <w:tc>
                <w:tcPr>
                  <w:tcW w:w="968" w:type="pct"/>
                  <w:vAlign w:val="center"/>
                </w:tcPr>
                <w:p>
                  <w:pPr>
                    <w:pStyle w:val="186"/>
                  </w:pPr>
                  <w:r>
                    <w:rPr>
                      <w:rFonts w:hint="eastAsia"/>
                    </w:rPr>
                    <w:t>83.00</w:t>
                  </w:r>
                </w:p>
              </w:tc>
              <w:tc>
                <w:tcPr>
                  <w:tcW w:w="944" w:type="pct"/>
                  <w:vAlign w:val="center"/>
                </w:tcPr>
                <w:p>
                  <w:pPr>
                    <w:pStyle w:val="186"/>
                  </w:pPr>
                  <w: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continue"/>
                  <w:vAlign w:val="center"/>
                </w:tcPr>
                <w:p>
                  <w:pPr>
                    <w:pStyle w:val="186"/>
                  </w:pPr>
                </w:p>
              </w:tc>
              <w:tc>
                <w:tcPr>
                  <w:tcW w:w="1518" w:type="pct"/>
                  <w:vAlign w:val="center"/>
                </w:tcPr>
                <w:p>
                  <w:pPr>
                    <w:pStyle w:val="186"/>
                  </w:pPr>
                  <w:r>
                    <w:t>SO</w:t>
                  </w:r>
                  <w:r>
                    <w:rPr>
                      <w:vertAlign w:val="subscript"/>
                    </w:rPr>
                    <w:t>2</w:t>
                  </w:r>
                </w:p>
              </w:tc>
              <w:tc>
                <w:tcPr>
                  <w:tcW w:w="1008" w:type="pct"/>
                  <w:vAlign w:val="center"/>
                </w:tcPr>
                <w:p>
                  <w:pPr>
                    <w:pStyle w:val="186"/>
                  </w:pPr>
                  <w:r>
                    <w:t>299.97</w:t>
                  </w:r>
                </w:p>
              </w:tc>
              <w:tc>
                <w:tcPr>
                  <w:tcW w:w="968" w:type="pct"/>
                  <w:vAlign w:val="center"/>
                </w:tcPr>
                <w:p>
                  <w:pPr>
                    <w:pStyle w:val="186"/>
                  </w:pPr>
                  <w:r>
                    <w:t>299.97</w:t>
                  </w:r>
                </w:p>
              </w:tc>
              <w:tc>
                <w:tcPr>
                  <w:tcW w:w="944" w:type="pct"/>
                  <w:vAlign w:val="center"/>
                </w:tcPr>
                <w:p>
                  <w:pPr>
                    <w:pStyle w:val="186"/>
                  </w:pPr>
                  <w: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continue"/>
                  <w:vAlign w:val="center"/>
                </w:tcPr>
                <w:p>
                  <w:pPr>
                    <w:pStyle w:val="186"/>
                  </w:pPr>
                </w:p>
              </w:tc>
              <w:tc>
                <w:tcPr>
                  <w:tcW w:w="1518" w:type="pct"/>
                  <w:vAlign w:val="center"/>
                </w:tcPr>
                <w:p>
                  <w:pPr>
                    <w:pStyle w:val="186"/>
                  </w:pPr>
                  <w:r>
                    <w:t>NO</w:t>
                  </w:r>
                  <w:r>
                    <w:rPr>
                      <w:vertAlign w:val="subscript"/>
                    </w:rPr>
                    <w:t>x</w:t>
                  </w:r>
                </w:p>
              </w:tc>
              <w:tc>
                <w:tcPr>
                  <w:tcW w:w="1008" w:type="pct"/>
                  <w:vAlign w:val="center"/>
                </w:tcPr>
                <w:p>
                  <w:pPr>
                    <w:pStyle w:val="186"/>
                  </w:pPr>
                  <w:r>
                    <w:t>19</w:t>
                  </w:r>
                  <w:r>
                    <w:rPr>
                      <w:rFonts w:hint="eastAsia"/>
                    </w:rPr>
                    <w:t>7.61</w:t>
                  </w:r>
                </w:p>
              </w:tc>
              <w:tc>
                <w:tcPr>
                  <w:tcW w:w="968" w:type="pct"/>
                  <w:vAlign w:val="center"/>
                </w:tcPr>
                <w:p>
                  <w:pPr>
                    <w:pStyle w:val="186"/>
                  </w:pPr>
                  <w:r>
                    <w:t>19</w:t>
                  </w:r>
                  <w:r>
                    <w:rPr>
                      <w:rFonts w:hint="eastAsia"/>
                    </w:rPr>
                    <w:t>7.61</w:t>
                  </w:r>
                </w:p>
              </w:tc>
              <w:tc>
                <w:tcPr>
                  <w:tcW w:w="944" w:type="pct"/>
                  <w:vAlign w:val="center"/>
                </w:tcPr>
                <w:p>
                  <w:pPr>
                    <w:pStyle w:val="186"/>
                  </w:pPr>
                  <w: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continue"/>
                  <w:vAlign w:val="center"/>
                </w:tcPr>
                <w:p>
                  <w:pPr>
                    <w:pStyle w:val="186"/>
                  </w:pPr>
                </w:p>
              </w:tc>
              <w:tc>
                <w:tcPr>
                  <w:tcW w:w="1518" w:type="pct"/>
                  <w:vAlign w:val="center"/>
                </w:tcPr>
                <w:p>
                  <w:pPr>
                    <w:pStyle w:val="186"/>
                  </w:pPr>
                  <w:r>
                    <w:t>二噁英</w:t>
                  </w:r>
                </w:p>
              </w:tc>
              <w:tc>
                <w:tcPr>
                  <w:tcW w:w="1008" w:type="pct"/>
                  <w:vAlign w:val="center"/>
                </w:tcPr>
                <w:p>
                  <w:pPr>
                    <w:pStyle w:val="186"/>
                  </w:pPr>
                  <w:r>
                    <w:rPr>
                      <w:rFonts w:hint="eastAsia"/>
                    </w:rPr>
                    <w:t>0.004</w:t>
                  </w:r>
                </w:p>
              </w:tc>
              <w:tc>
                <w:tcPr>
                  <w:tcW w:w="968" w:type="pct"/>
                  <w:vAlign w:val="center"/>
                </w:tcPr>
                <w:p>
                  <w:pPr>
                    <w:pStyle w:val="186"/>
                  </w:pPr>
                  <w:r>
                    <w:rPr>
                      <w:rFonts w:hint="eastAsia"/>
                    </w:rPr>
                    <w:t>0.004</w:t>
                  </w:r>
                </w:p>
              </w:tc>
              <w:tc>
                <w:tcPr>
                  <w:tcW w:w="944" w:type="pct"/>
                  <w:vAlign w:val="center"/>
                </w:tcPr>
                <w:p>
                  <w:pPr>
                    <w:pStyle w:val="186"/>
                  </w:pPr>
                  <w: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continue"/>
                  <w:vAlign w:val="center"/>
                </w:tcPr>
                <w:p>
                  <w:pPr>
                    <w:pStyle w:val="186"/>
                  </w:pPr>
                </w:p>
              </w:tc>
              <w:tc>
                <w:tcPr>
                  <w:tcW w:w="1518" w:type="pct"/>
                  <w:vAlign w:val="center"/>
                </w:tcPr>
                <w:p>
                  <w:pPr>
                    <w:pStyle w:val="186"/>
                  </w:pPr>
                  <w:r>
                    <w:rPr>
                      <w:rFonts w:hint="eastAsia"/>
                    </w:rPr>
                    <w:t>铅及其化合物</w:t>
                  </w:r>
                </w:p>
              </w:tc>
              <w:tc>
                <w:tcPr>
                  <w:tcW w:w="1008" w:type="pct"/>
                  <w:vAlign w:val="center"/>
                </w:tcPr>
                <w:p>
                  <w:pPr>
                    <w:pStyle w:val="186"/>
                  </w:pPr>
                  <w:r>
                    <w:rPr>
                      <w:rFonts w:hint="eastAsia"/>
                    </w:rPr>
                    <w:t>0</w:t>
                  </w:r>
                </w:p>
              </w:tc>
              <w:tc>
                <w:tcPr>
                  <w:tcW w:w="968" w:type="pct"/>
                  <w:vAlign w:val="center"/>
                </w:tcPr>
                <w:p>
                  <w:pPr>
                    <w:pStyle w:val="186"/>
                  </w:pPr>
                  <w:r>
                    <w:rPr>
                      <w:rFonts w:hint="eastAsia"/>
                    </w:rPr>
                    <w:t>0.0254</w:t>
                  </w:r>
                </w:p>
              </w:tc>
              <w:tc>
                <w:tcPr>
                  <w:tcW w:w="944" w:type="pct"/>
                  <w:vAlign w:val="center"/>
                </w:tcPr>
                <w:p>
                  <w:pPr>
                    <w:pStyle w:val="186"/>
                  </w:pPr>
                  <w:r>
                    <w:rPr>
                      <w:rFonts w:hint="eastAsia"/>
                    </w:rPr>
                    <w:t>+0.0254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continue"/>
                  <w:vAlign w:val="center"/>
                </w:tcPr>
                <w:p>
                  <w:pPr>
                    <w:pStyle w:val="186"/>
                  </w:pPr>
                </w:p>
              </w:tc>
              <w:tc>
                <w:tcPr>
                  <w:tcW w:w="1518" w:type="pct"/>
                  <w:vAlign w:val="center"/>
                </w:tcPr>
                <w:p>
                  <w:pPr>
                    <w:pStyle w:val="186"/>
                  </w:pPr>
                  <w:r>
                    <w:rPr>
                      <w:rFonts w:hint="eastAsia"/>
                    </w:rPr>
                    <w:t>镉及其化合物</w:t>
                  </w:r>
                </w:p>
              </w:tc>
              <w:tc>
                <w:tcPr>
                  <w:tcW w:w="1008" w:type="pct"/>
                  <w:vAlign w:val="center"/>
                </w:tcPr>
                <w:p>
                  <w:pPr>
                    <w:pStyle w:val="186"/>
                  </w:pPr>
                  <w:r>
                    <w:rPr>
                      <w:rFonts w:hint="eastAsia"/>
                    </w:rPr>
                    <w:t>0</w:t>
                  </w:r>
                </w:p>
              </w:tc>
              <w:tc>
                <w:tcPr>
                  <w:tcW w:w="968" w:type="pct"/>
                  <w:vAlign w:val="center"/>
                </w:tcPr>
                <w:p>
                  <w:pPr>
                    <w:pStyle w:val="186"/>
                  </w:pPr>
                  <w:r>
                    <w:rPr>
                      <w:rFonts w:hint="eastAsia"/>
                    </w:rPr>
                    <w:t>0.00256</w:t>
                  </w:r>
                </w:p>
              </w:tc>
              <w:tc>
                <w:tcPr>
                  <w:tcW w:w="944" w:type="pct"/>
                  <w:vAlign w:val="center"/>
                </w:tcPr>
                <w:p>
                  <w:pPr>
                    <w:pStyle w:val="186"/>
                  </w:pPr>
                  <w:r>
                    <w:rPr>
                      <w:rFonts w:hint="eastAsia"/>
                    </w:rPr>
                    <w:t>+0.00256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continue"/>
                  <w:vAlign w:val="center"/>
                </w:tcPr>
                <w:p>
                  <w:pPr>
                    <w:pStyle w:val="186"/>
                  </w:pPr>
                </w:p>
              </w:tc>
              <w:tc>
                <w:tcPr>
                  <w:tcW w:w="1518" w:type="pct"/>
                  <w:vAlign w:val="center"/>
                </w:tcPr>
                <w:p>
                  <w:pPr>
                    <w:pStyle w:val="186"/>
                  </w:pPr>
                  <w:r>
                    <w:rPr>
                      <w:rFonts w:hint="eastAsia"/>
                    </w:rPr>
                    <w:t>铅+镉及其化合物</w:t>
                  </w:r>
                </w:p>
              </w:tc>
              <w:tc>
                <w:tcPr>
                  <w:tcW w:w="1008" w:type="pct"/>
                  <w:vAlign w:val="center"/>
                </w:tcPr>
                <w:p>
                  <w:pPr>
                    <w:pStyle w:val="186"/>
                  </w:pPr>
                  <w:r>
                    <w:rPr>
                      <w:rFonts w:hint="eastAsia"/>
                    </w:rPr>
                    <w:t>0</w:t>
                  </w:r>
                </w:p>
              </w:tc>
              <w:tc>
                <w:tcPr>
                  <w:tcW w:w="968" w:type="pct"/>
                  <w:vAlign w:val="center"/>
                </w:tcPr>
                <w:p>
                  <w:pPr>
                    <w:pStyle w:val="186"/>
                  </w:pPr>
                  <w:r>
                    <w:rPr>
                      <w:rFonts w:hint="eastAsia"/>
                    </w:rPr>
                    <w:t>0.02796</w:t>
                  </w:r>
                </w:p>
              </w:tc>
              <w:tc>
                <w:tcPr>
                  <w:tcW w:w="944" w:type="pct"/>
                  <w:vAlign w:val="center"/>
                </w:tcPr>
                <w:p>
                  <w:pPr>
                    <w:pStyle w:val="186"/>
                  </w:pPr>
                  <w:r>
                    <w:rPr>
                      <w:rFonts w:hint="eastAsia"/>
                    </w:rPr>
                    <w:t>+0.02796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continue"/>
                  <w:vAlign w:val="center"/>
                </w:tcPr>
                <w:p>
                  <w:pPr>
                    <w:pStyle w:val="186"/>
                  </w:pPr>
                </w:p>
              </w:tc>
              <w:tc>
                <w:tcPr>
                  <w:tcW w:w="1518" w:type="pct"/>
                  <w:vAlign w:val="center"/>
                </w:tcPr>
                <w:p>
                  <w:pPr>
                    <w:pStyle w:val="186"/>
                  </w:pPr>
                  <w:r>
                    <w:rPr>
                      <w:rFonts w:hint="eastAsia"/>
                    </w:rPr>
                    <w:t>铬及其化合物</w:t>
                  </w:r>
                </w:p>
              </w:tc>
              <w:tc>
                <w:tcPr>
                  <w:tcW w:w="1008" w:type="pct"/>
                  <w:vAlign w:val="center"/>
                </w:tcPr>
                <w:p>
                  <w:pPr>
                    <w:pStyle w:val="186"/>
                  </w:pPr>
                  <w:r>
                    <w:rPr>
                      <w:rFonts w:hint="eastAsia"/>
                    </w:rPr>
                    <w:t>0</w:t>
                  </w:r>
                </w:p>
              </w:tc>
              <w:tc>
                <w:tcPr>
                  <w:tcW w:w="968" w:type="pct"/>
                  <w:vAlign w:val="center"/>
                </w:tcPr>
                <w:p>
                  <w:pPr>
                    <w:pStyle w:val="186"/>
                  </w:pPr>
                  <w:r>
                    <w:rPr>
                      <w:rFonts w:hint="eastAsia"/>
                    </w:rPr>
                    <w:t>4.1×10</w:t>
                  </w:r>
                  <w:r>
                    <w:rPr>
                      <w:rFonts w:hint="eastAsia"/>
                      <w:vertAlign w:val="superscript"/>
                    </w:rPr>
                    <w:t>-6</w:t>
                  </w:r>
                </w:p>
              </w:tc>
              <w:tc>
                <w:tcPr>
                  <w:tcW w:w="944" w:type="pct"/>
                  <w:vAlign w:val="center"/>
                </w:tcPr>
                <w:p>
                  <w:pPr>
                    <w:pStyle w:val="186"/>
                  </w:pPr>
                  <w:r>
                    <w:rPr>
                      <w:rFonts w:hint="eastAsia"/>
                    </w:rPr>
                    <w:t>+4.1×10</w:t>
                  </w:r>
                  <w:r>
                    <w:rPr>
                      <w:rFonts w:hint="eastAsia"/>
                      <w:vertAlign w:val="superscript"/>
                    </w:rPr>
                    <w:t>-6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restart"/>
                  <w:vAlign w:val="center"/>
                </w:tcPr>
                <w:p>
                  <w:pPr>
                    <w:pStyle w:val="186"/>
                  </w:pPr>
                  <w:r>
                    <w:t>固体废物</w:t>
                  </w:r>
                </w:p>
              </w:tc>
              <w:tc>
                <w:tcPr>
                  <w:tcW w:w="1518" w:type="pct"/>
                  <w:vAlign w:val="center"/>
                </w:tcPr>
                <w:p>
                  <w:pPr>
                    <w:pStyle w:val="186"/>
                  </w:pPr>
                  <w:r>
                    <w:t>电炉除尘灰</w:t>
                  </w:r>
                </w:p>
              </w:tc>
              <w:tc>
                <w:tcPr>
                  <w:tcW w:w="1008" w:type="pct"/>
                  <w:vAlign w:val="center"/>
                </w:tcPr>
                <w:p>
                  <w:pPr>
                    <w:pStyle w:val="186"/>
                  </w:pPr>
                  <w:r>
                    <w:rPr>
                      <w:rFonts w:hint="eastAsia"/>
                    </w:rPr>
                    <w:t>4980</w:t>
                  </w:r>
                </w:p>
              </w:tc>
              <w:tc>
                <w:tcPr>
                  <w:tcW w:w="968" w:type="pct"/>
                  <w:vAlign w:val="center"/>
                </w:tcPr>
                <w:p>
                  <w:pPr>
                    <w:pStyle w:val="186"/>
                  </w:pPr>
                  <w:r>
                    <w:t xml:space="preserve"> </w:t>
                  </w:r>
                  <w:r>
                    <w:rPr>
                      <w:rFonts w:hint="eastAsia"/>
                    </w:rPr>
                    <w:t>1759</w:t>
                  </w:r>
                </w:p>
              </w:tc>
              <w:tc>
                <w:tcPr>
                  <w:tcW w:w="944" w:type="pct"/>
                  <w:vAlign w:val="center"/>
                </w:tcPr>
                <w:p>
                  <w:pPr>
                    <w:pStyle w:val="186"/>
                  </w:pPr>
                  <w:r>
                    <w:t>-</w:t>
                  </w:r>
                  <w:r>
                    <w:rPr>
                      <w:rFonts w:hint="eastAsia"/>
                    </w:rPr>
                    <w:t>3221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continue"/>
                  <w:vAlign w:val="center"/>
                </w:tcPr>
                <w:p>
                  <w:pPr>
                    <w:pStyle w:val="186"/>
                  </w:pPr>
                </w:p>
              </w:tc>
              <w:tc>
                <w:tcPr>
                  <w:tcW w:w="1518" w:type="pct"/>
                  <w:vAlign w:val="center"/>
                </w:tcPr>
                <w:p>
                  <w:pPr>
                    <w:pStyle w:val="186"/>
                  </w:pPr>
                  <w:r>
                    <w:t>精炼炉除尘灰</w:t>
                  </w:r>
                </w:p>
              </w:tc>
              <w:tc>
                <w:tcPr>
                  <w:tcW w:w="1008" w:type="pct"/>
                  <w:vAlign w:val="center"/>
                </w:tcPr>
                <w:p>
                  <w:pPr>
                    <w:pStyle w:val="186"/>
                  </w:pPr>
                  <w:r>
                    <w:rPr>
                      <w:rFonts w:hint="eastAsia"/>
                    </w:rPr>
                    <w:t>750</w:t>
                  </w:r>
                </w:p>
              </w:tc>
              <w:tc>
                <w:tcPr>
                  <w:tcW w:w="968" w:type="pct"/>
                  <w:vAlign w:val="center"/>
                </w:tcPr>
                <w:p>
                  <w:pPr>
                    <w:pStyle w:val="186"/>
                  </w:pPr>
                  <w:r>
                    <w:rPr>
                      <w:rFonts w:hint="eastAsia"/>
                    </w:rPr>
                    <w:t>750</w:t>
                  </w:r>
                </w:p>
              </w:tc>
              <w:tc>
                <w:tcPr>
                  <w:tcW w:w="944" w:type="pct"/>
                  <w:vAlign w:val="center"/>
                </w:tcPr>
                <w:p>
                  <w:pPr>
                    <w:pStyle w:val="186"/>
                  </w:pPr>
                  <w: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continue"/>
                  <w:vAlign w:val="center"/>
                </w:tcPr>
                <w:p>
                  <w:pPr>
                    <w:pStyle w:val="186"/>
                  </w:pPr>
                </w:p>
              </w:tc>
              <w:tc>
                <w:tcPr>
                  <w:tcW w:w="1518" w:type="pct"/>
                  <w:vAlign w:val="center"/>
                </w:tcPr>
                <w:p>
                  <w:pPr>
                    <w:pStyle w:val="186"/>
                  </w:pPr>
                  <w:r>
                    <w:t>炉渣</w:t>
                  </w:r>
                </w:p>
              </w:tc>
              <w:tc>
                <w:tcPr>
                  <w:tcW w:w="1008" w:type="pct"/>
                  <w:vAlign w:val="center"/>
                </w:tcPr>
                <w:p>
                  <w:pPr>
                    <w:pStyle w:val="186"/>
                  </w:pPr>
                  <w:r>
                    <w:t>169422</w:t>
                  </w:r>
                </w:p>
              </w:tc>
              <w:tc>
                <w:tcPr>
                  <w:tcW w:w="968" w:type="pct"/>
                  <w:vAlign w:val="center"/>
                </w:tcPr>
                <w:p>
                  <w:pPr>
                    <w:pStyle w:val="186"/>
                  </w:pPr>
                  <w:r>
                    <w:rPr>
                      <w:rFonts w:hint="eastAsia"/>
                    </w:rPr>
                    <w:t>171795</w:t>
                  </w:r>
                </w:p>
              </w:tc>
              <w:tc>
                <w:tcPr>
                  <w:tcW w:w="944" w:type="pct"/>
                  <w:vAlign w:val="center"/>
                </w:tcPr>
                <w:p>
                  <w:pPr>
                    <w:pStyle w:val="186"/>
                  </w:pPr>
                  <w:r>
                    <w:t>+</w:t>
                  </w:r>
                  <w:r>
                    <w:rPr>
                      <w:rFonts w:hint="eastAsia"/>
                    </w:rPr>
                    <w:t>2373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continue"/>
                  <w:vAlign w:val="center"/>
                </w:tcPr>
                <w:p>
                  <w:pPr>
                    <w:pStyle w:val="186"/>
                  </w:pPr>
                </w:p>
              </w:tc>
              <w:tc>
                <w:tcPr>
                  <w:tcW w:w="1518" w:type="pct"/>
                  <w:vAlign w:val="center"/>
                </w:tcPr>
                <w:p>
                  <w:pPr>
                    <w:pStyle w:val="186"/>
                  </w:pPr>
                  <w:r>
                    <w:t>氧化铁皮</w:t>
                  </w:r>
                </w:p>
              </w:tc>
              <w:tc>
                <w:tcPr>
                  <w:tcW w:w="1008" w:type="pct"/>
                  <w:vAlign w:val="center"/>
                </w:tcPr>
                <w:p>
                  <w:pPr>
                    <w:pStyle w:val="186"/>
                  </w:pPr>
                  <w:r>
                    <w:t>3262</w:t>
                  </w:r>
                </w:p>
              </w:tc>
              <w:tc>
                <w:tcPr>
                  <w:tcW w:w="968" w:type="pct"/>
                  <w:vAlign w:val="center"/>
                </w:tcPr>
                <w:p>
                  <w:pPr>
                    <w:pStyle w:val="186"/>
                  </w:pPr>
                  <w:r>
                    <w:t>3262</w:t>
                  </w:r>
                </w:p>
              </w:tc>
              <w:tc>
                <w:tcPr>
                  <w:tcW w:w="944" w:type="pct"/>
                  <w:vAlign w:val="center"/>
                </w:tcPr>
                <w:p>
                  <w:pPr>
                    <w:pStyle w:val="186"/>
                  </w:pPr>
                  <w: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continue"/>
                  <w:vAlign w:val="center"/>
                </w:tcPr>
                <w:p>
                  <w:pPr>
                    <w:pStyle w:val="186"/>
                  </w:pPr>
                </w:p>
              </w:tc>
              <w:tc>
                <w:tcPr>
                  <w:tcW w:w="1518" w:type="pct"/>
                  <w:vAlign w:val="center"/>
                </w:tcPr>
                <w:p>
                  <w:pPr>
                    <w:pStyle w:val="186"/>
                  </w:pPr>
                  <w:r>
                    <w:t>剪切废料</w:t>
                  </w:r>
                </w:p>
              </w:tc>
              <w:tc>
                <w:tcPr>
                  <w:tcW w:w="1008" w:type="pct"/>
                  <w:vAlign w:val="center"/>
                </w:tcPr>
                <w:p>
                  <w:pPr>
                    <w:pStyle w:val="186"/>
                  </w:pPr>
                  <w:r>
                    <w:t>37512</w:t>
                  </w:r>
                </w:p>
              </w:tc>
              <w:tc>
                <w:tcPr>
                  <w:tcW w:w="968" w:type="pct"/>
                  <w:vAlign w:val="center"/>
                </w:tcPr>
                <w:p>
                  <w:pPr>
                    <w:pStyle w:val="186"/>
                  </w:pPr>
                  <w:r>
                    <w:t>37512</w:t>
                  </w:r>
                </w:p>
              </w:tc>
              <w:tc>
                <w:tcPr>
                  <w:tcW w:w="944" w:type="pct"/>
                  <w:vAlign w:val="center"/>
                </w:tcPr>
                <w:p>
                  <w:pPr>
                    <w:pStyle w:val="186"/>
                  </w:pPr>
                  <w: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continue"/>
                  <w:vAlign w:val="center"/>
                </w:tcPr>
                <w:p>
                  <w:pPr>
                    <w:pStyle w:val="186"/>
                  </w:pPr>
                </w:p>
              </w:tc>
              <w:tc>
                <w:tcPr>
                  <w:tcW w:w="1518" w:type="pct"/>
                  <w:vAlign w:val="center"/>
                </w:tcPr>
                <w:p>
                  <w:pPr>
                    <w:pStyle w:val="186"/>
                  </w:pPr>
                  <w:r>
                    <w:t>不合格钢材</w:t>
                  </w:r>
                </w:p>
              </w:tc>
              <w:tc>
                <w:tcPr>
                  <w:tcW w:w="1008" w:type="pct"/>
                  <w:vAlign w:val="center"/>
                </w:tcPr>
                <w:p>
                  <w:pPr>
                    <w:pStyle w:val="186"/>
                  </w:pPr>
                  <w:r>
                    <w:t>10826</w:t>
                  </w:r>
                </w:p>
              </w:tc>
              <w:tc>
                <w:tcPr>
                  <w:tcW w:w="968" w:type="pct"/>
                  <w:vAlign w:val="center"/>
                </w:tcPr>
                <w:p>
                  <w:pPr>
                    <w:pStyle w:val="186"/>
                  </w:pPr>
                  <w:r>
                    <w:t>10826</w:t>
                  </w:r>
                </w:p>
              </w:tc>
              <w:tc>
                <w:tcPr>
                  <w:tcW w:w="944" w:type="pct"/>
                  <w:vAlign w:val="center"/>
                </w:tcPr>
                <w:p>
                  <w:pPr>
                    <w:pStyle w:val="186"/>
                  </w:pPr>
                  <w: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continue"/>
                  <w:vAlign w:val="center"/>
                </w:tcPr>
                <w:p>
                  <w:pPr>
                    <w:pStyle w:val="186"/>
                  </w:pPr>
                </w:p>
              </w:tc>
              <w:tc>
                <w:tcPr>
                  <w:tcW w:w="1518" w:type="pct"/>
                  <w:vAlign w:val="center"/>
                </w:tcPr>
                <w:p>
                  <w:pPr>
                    <w:pStyle w:val="186"/>
                  </w:pPr>
                  <w:r>
                    <w:t>废耐火材料</w:t>
                  </w:r>
                </w:p>
              </w:tc>
              <w:tc>
                <w:tcPr>
                  <w:tcW w:w="1008" w:type="pct"/>
                  <w:vAlign w:val="center"/>
                </w:tcPr>
                <w:p>
                  <w:pPr>
                    <w:pStyle w:val="186"/>
                  </w:pPr>
                  <w:r>
                    <w:t>1580</w:t>
                  </w:r>
                </w:p>
              </w:tc>
              <w:tc>
                <w:tcPr>
                  <w:tcW w:w="968" w:type="pct"/>
                  <w:vAlign w:val="center"/>
                </w:tcPr>
                <w:p>
                  <w:pPr>
                    <w:pStyle w:val="186"/>
                  </w:pPr>
                  <w:r>
                    <w:t>1580</w:t>
                  </w:r>
                </w:p>
              </w:tc>
              <w:tc>
                <w:tcPr>
                  <w:tcW w:w="944" w:type="pct"/>
                  <w:vAlign w:val="center"/>
                </w:tcPr>
                <w:p>
                  <w:pPr>
                    <w:pStyle w:val="186"/>
                  </w:pPr>
                  <w: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2" w:type="pct"/>
                  <w:vMerge w:val="continue"/>
                  <w:vAlign w:val="center"/>
                </w:tcPr>
                <w:p>
                  <w:pPr>
                    <w:pStyle w:val="186"/>
                  </w:pPr>
                </w:p>
              </w:tc>
              <w:tc>
                <w:tcPr>
                  <w:tcW w:w="1518" w:type="pct"/>
                  <w:vAlign w:val="center"/>
                </w:tcPr>
                <w:p>
                  <w:pPr>
                    <w:pStyle w:val="186"/>
                  </w:pPr>
                  <w:r>
                    <w:rPr>
                      <w:rFonts w:hint="eastAsia"/>
                    </w:rPr>
                    <w:t>废包装袋</w:t>
                  </w:r>
                </w:p>
              </w:tc>
              <w:tc>
                <w:tcPr>
                  <w:tcW w:w="1008" w:type="pct"/>
                  <w:vAlign w:val="center"/>
                </w:tcPr>
                <w:p>
                  <w:pPr>
                    <w:pStyle w:val="186"/>
                  </w:pPr>
                  <w:r>
                    <w:rPr>
                      <w:rFonts w:hint="eastAsia"/>
                    </w:rPr>
                    <w:t>0</w:t>
                  </w:r>
                </w:p>
              </w:tc>
              <w:tc>
                <w:tcPr>
                  <w:tcW w:w="968" w:type="pct"/>
                  <w:vAlign w:val="center"/>
                </w:tcPr>
                <w:p>
                  <w:pPr>
                    <w:pStyle w:val="186"/>
                  </w:pPr>
                  <w:r>
                    <w:rPr>
                      <w:rFonts w:hint="eastAsia"/>
                    </w:rPr>
                    <w:t>10</w:t>
                  </w:r>
                </w:p>
              </w:tc>
              <w:tc>
                <w:tcPr>
                  <w:tcW w:w="944" w:type="pct"/>
                  <w:vAlign w:val="center"/>
                </w:tcPr>
                <w:p>
                  <w:pPr>
                    <w:pStyle w:val="186"/>
                  </w:pPr>
                  <w:r>
                    <w:rPr>
                      <w:rFonts w:hint="eastAsia"/>
                    </w:rPr>
                    <w:t>+10</w:t>
                  </w:r>
                </w:p>
              </w:tc>
            </w:tr>
          </w:tbl>
          <w:p>
            <w:pPr>
              <w:pStyle w:val="169"/>
              <w:spacing w:line="360" w:lineRule="auto"/>
              <w:jc w:val="left"/>
              <w:rPr>
                <w:b/>
                <w:sz w:val="28"/>
                <w:szCs w:val="28"/>
              </w:rPr>
            </w:pPr>
          </w:p>
          <w:p>
            <w:pPr>
              <w:pStyle w:val="169"/>
              <w:spacing w:line="360" w:lineRule="auto"/>
              <w:jc w:val="left"/>
              <w:rPr>
                <w:b/>
                <w:sz w:val="28"/>
                <w:szCs w:val="28"/>
              </w:rPr>
            </w:pPr>
          </w:p>
          <w:p>
            <w:pPr>
              <w:pStyle w:val="169"/>
              <w:spacing w:line="360" w:lineRule="auto"/>
              <w:jc w:val="left"/>
              <w:rPr>
                <w:b/>
                <w:sz w:val="28"/>
                <w:szCs w:val="28"/>
              </w:rPr>
            </w:pPr>
          </w:p>
          <w:p>
            <w:pPr>
              <w:pStyle w:val="169"/>
              <w:spacing w:line="360" w:lineRule="auto"/>
              <w:jc w:val="left"/>
              <w:rPr>
                <w:b/>
                <w:sz w:val="28"/>
                <w:szCs w:val="28"/>
              </w:rPr>
            </w:pPr>
          </w:p>
          <w:p>
            <w:pPr>
              <w:pStyle w:val="169"/>
              <w:spacing w:line="360" w:lineRule="auto"/>
              <w:ind w:firstLine="562" w:firstLineChars="200"/>
              <w:jc w:val="left"/>
              <w:rPr>
                <w:b/>
                <w:sz w:val="28"/>
                <w:szCs w:val="28"/>
              </w:rPr>
            </w:pPr>
          </w:p>
          <w:p>
            <w:pPr>
              <w:pStyle w:val="169"/>
              <w:spacing w:line="360" w:lineRule="auto"/>
              <w:ind w:firstLine="562" w:firstLineChars="200"/>
              <w:jc w:val="left"/>
              <w:rPr>
                <w:b/>
                <w:sz w:val="28"/>
                <w:szCs w:val="28"/>
              </w:rPr>
            </w:pPr>
          </w:p>
          <w:p>
            <w:pPr>
              <w:pStyle w:val="169"/>
              <w:spacing w:line="360" w:lineRule="auto"/>
              <w:ind w:firstLine="562" w:firstLineChars="200"/>
              <w:jc w:val="left"/>
              <w:rPr>
                <w:b/>
                <w:sz w:val="28"/>
                <w:szCs w:val="28"/>
              </w:rPr>
            </w:pPr>
          </w:p>
          <w:p>
            <w:pPr>
              <w:pStyle w:val="169"/>
              <w:spacing w:line="360" w:lineRule="auto"/>
              <w:ind w:firstLine="562" w:firstLineChars="200"/>
              <w:jc w:val="left"/>
              <w:rPr>
                <w:b/>
                <w:sz w:val="28"/>
                <w:szCs w:val="28"/>
              </w:rPr>
            </w:pPr>
          </w:p>
          <w:p>
            <w:pPr>
              <w:pStyle w:val="169"/>
              <w:spacing w:line="360" w:lineRule="auto"/>
              <w:ind w:firstLine="562" w:firstLineChars="200"/>
              <w:jc w:val="left"/>
              <w:rPr>
                <w:b/>
                <w:sz w:val="28"/>
                <w:szCs w:val="28"/>
              </w:rPr>
            </w:pPr>
          </w:p>
          <w:p>
            <w:pPr>
              <w:pStyle w:val="169"/>
              <w:spacing w:line="360" w:lineRule="auto"/>
              <w:ind w:firstLine="480" w:firstLineChars="200"/>
              <w:jc w:val="left"/>
              <w:rPr>
                <w:sz w:val="24"/>
                <w:szCs w:val="24"/>
              </w:rPr>
            </w:pPr>
          </w:p>
          <w:p>
            <w:pPr>
              <w:pStyle w:val="169"/>
              <w:spacing w:line="360" w:lineRule="auto"/>
              <w:ind w:firstLine="480" w:firstLineChars="200"/>
              <w:jc w:val="left"/>
              <w:rPr>
                <w:sz w:val="24"/>
                <w:szCs w:val="24"/>
              </w:rPr>
            </w:pPr>
          </w:p>
          <w:p>
            <w:pPr>
              <w:pStyle w:val="169"/>
              <w:spacing w:line="360" w:lineRule="auto"/>
              <w:jc w:val="left"/>
              <w:rPr>
                <w:sz w:val="24"/>
                <w:szCs w:val="24"/>
              </w:rPr>
            </w:pPr>
          </w:p>
        </w:tc>
      </w:tr>
    </w:tbl>
    <w:p>
      <w:pPr>
        <w:ind w:firstLine="0" w:firstLineChars="0"/>
        <w:sectPr>
          <w:pgSz w:w="11906" w:h="16838"/>
          <w:pgMar w:top="1701" w:right="1531" w:bottom="1701" w:left="1531" w:header="851" w:footer="851" w:gutter="0"/>
          <w:cols w:space="720" w:num="1"/>
          <w:docGrid w:linePitch="312" w:charSpace="0"/>
        </w:sectPr>
      </w:pPr>
    </w:p>
    <w:p>
      <w:pPr>
        <w:pStyle w:val="3"/>
        <w:numPr>
          <w:ilvl w:val="0"/>
          <w:numId w:val="0"/>
        </w:numPr>
        <w:ind w:left="720" w:leftChars="300" w:firstLine="1343" w:firstLineChars="446"/>
        <w:jc w:val="left"/>
        <w:rPr>
          <w:color w:val="auto"/>
        </w:rPr>
      </w:pPr>
      <w:r>
        <w:rPr>
          <w:rFonts w:hint="eastAsia"/>
          <w:color w:val="auto"/>
        </w:rPr>
        <w:t>五、环境保护措施监督检查清单</w:t>
      </w:r>
    </w:p>
    <w:tbl>
      <w:tblPr>
        <w:tblStyle w:val="8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01"/>
        <w:gridCol w:w="1312"/>
        <w:gridCol w:w="3402"/>
        <w:gridCol w:w="1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9" w:type="dxa"/>
            <w:tcBorders>
              <w:tl2br w:val="single" w:color="auto" w:sz="4" w:space="0"/>
            </w:tcBorders>
          </w:tcPr>
          <w:p>
            <w:pPr>
              <w:pStyle w:val="169"/>
              <w:rPr>
                <w:szCs w:val="21"/>
              </w:rPr>
            </w:pPr>
            <w:r>
              <w:rPr>
                <w:rFonts w:hint="eastAsia"/>
                <w:szCs w:val="21"/>
              </w:rPr>
              <w:t>内容</w:t>
            </w:r>
          </w:p>
          <w:p>
            <w:pPr>
              <w:pStyle w:val="169"/>
              <w:rPr>
                <w:szCs w:val="21"/>
              </w:rPr>
            </w:pPr>
            <w:r>
              <w:rPr>
                <w:rFonts w:hint="eastAsia"/>
                <w:szCs w:val="21"/>
              </w:rPr>
              <w:t>要素</w:t>
            </w:r>
          </w:p>
        </w:tc>
        <w:tc>
          <w:tcPr>
            <w:tcW w:w="1701" w:type="dxa"/>
            <w:vAlign w:val="center"/>
          </w:tcPr>
          <w:p>
            <w:pPr>
              <w:pStyle w:val="169"/>
              <w:rPr>
                <w:szCs w:val="21"/>
              </w:rPr>
            </w:pPr>
            <w:r>
              <w:rPr>
                <w:rFonts w:hint="eastAsia"/>
                <w:szCs w:val="21"/>
              </w:rPr>
              <w:t>排放口</w:t>
            </w:r>
            <w:r>
              <w:rPr>
                <w:rFonts w:hint="eastAsia"/>
                <w:szCs w:val="21"/>
                <w:lang w:eastAsia="zh-CN"/>
              </w:rPr>
              <w:t>（</w:t>
            </w:r>
            <w:r>
              <w:rPr>
                <w:rFonts w:hint="eastAsia"/>
                <w:szCs w:val="21"/>
              </w:rPr>
              <w:t>编号、</w:t>
            </w:r>
          </w:p>
          <w:p>
            <w:pPr>
              <w:pStyle w:val="169"/>
              <w:rPr>
                <w:szCs w:val="21"/>
              </w:rPr>
            </w:pPr>
            <w:r>
              <w:rPr>
                <w:rFonts w:hint="eastAsia"/>
                <w:szCs w:val="21"/>
              </w:rPr>
              <w:t>名称</w:t>
            </w:r>
            <w:r>
              <w:rPr>
                <w:rFonts w:hint="eastAsia"/>
                <w:szCs w:val="21"/>
                <w:lang w:eastAsia="zh-CN"/>
              </w:rPr>
              <w:t>）</w:t>
            </w:r>
            <w:r>
              <w:rPr>
                <w:szCs w:val="21"/>
              </w:rPr>
              <w:t>/</w:t>
            </w:r>
            <w:r>
              <w:rPr>
                <w:rFonts w:hint="eastAsia"/>
                <w:szCs w:val="21"/>
              </w:rPr>
              <w:t>污染源</w:t>
            </w:r>
          </w:p>
        </w:tc>
        <w:tc>
          <w:tcPr>
            <w:tcW w:w="1312" w:type="dxa"/>
            <w:vAlign w:val="center"/>
          </w:tcPr>
          <w:p>
            <w:pPr>
              <w:pStyle w:val="169"/>
              <w:rPr>
                <w:szCs w:val="21"/>
              </w:rPr>
            </w:pPr>
            <w:r>
              <w:rPr>
                <w:rFonts w:hint="eastAsia"/>
                <w:szCs w:val="21"/>
              </w:rPr>
              <w:t>污染物项目</w:t>
            </w:r>
          </w:p>
        </w:tc>
        <w:tc>
          <w:tcPr>
            <w:tcW w:w="3402" w:type="dxa"/>
            <w:vAlign w:val="center"/>
          </w:tcPr>
          <w:p>
            <w:pPr>
              <w:pStyle w:val="169"/>
              <w:rPr>
                <w:szCs w:val="21"/>
              </w:rPr>
            </w:pPr>
            <w:r>
              <w:rPr>
                <w:rFonts w:hint="eastAsia"/>
                <w:szCs w:val="21"/>
              </w:rPr>
              <w:t>环境保护措施</w:t>
            </w:r>
          </w:p>
        </w:tc>
        <w:tc>
          <w:tcPr>
            <w:tcW w:w="1382" w:type="dxa"/>
            <w:vAlign w:val="center"/>
          </w:tcPr>
          <w:p>
            <w:pPr>
              <w:pStyle w:val="169"/>
              <w:rPr>
                <w:szCs w:val="21"/>
              </w:rPr>
            </w:pPr>
            <w:r>
              <w:rPr>
                <w:rFonts w:hint="eastAsia"/>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9" w:type="dxa"/>
            <w:vMerge w:val="restart"/>
            <w:vAlign w:val="center"/>
          </w:tcPr>
          <w:p>
            <w:pPr>
              <w:pStyle w:val="169"/>
              <w:rPr>
                <w:szCs w:val="21"/>
              </w:rPr>
            </w:pPr>
            <w:r>
              <w:rPr>
                <w:rFonts w:hint="eastAsia"/>
                <w:szCs w:val="21"/>
              </w:rPr>
              <w:t>大气环境</w:t>
            </w:r>
          </w:p>
        </w:tc>
        <w:tc>
          <w:tcPr>
            <w:tcW w:w="1701" w:type="dxa"/>
            <w:vAlign w:val="center"/>
          </w:tcPr>
          <w:p>
            <w:pPr>
              <w:pStyle w:val="169"/>
              <w:rPr>
                <w:szCs w:val="21"/>
              </w:rPr>
            </w:pPr>
            <w:r>
              <w:rPr>
                <w:rFonts w:hint="eastAsia"/>
                <w:szCs w:val="21"/>
              </w:rPr>
              <w:t>1#电炉排气筒</w:t>
            </w:r>
          </w:p>
        </w:tc>
        <w:tc>
          <w:tcPr>
            <w:tcW w:w="1312" w:type="dxa"/>
            <w:tcBorders>
              <w:bottom w:val="single" w:color="auto" w:sz="4" w:space="0"/>
            </w:tcBorders>
            <w:vAlign w:val="center"/>
          </w:tcPr>
          <w:p>
            <w:pPr>
              <w:pStyle w:val="169"/>
              <w:rPr>
                <w:szCs w:val="21"/>
              </w:rPr>
            </w:pPr>
            <w:r>
              <w:rPr>
                <w:rFonts w:hint="eastAsia"/>
                <w:szCs w:val="21"/>
              </w:rPr>
              <w:t>铅+镉及其化合物、铬及其化合物</w:t>
            </w:r>
          </w:p>
        </w:tc>
        <w:tc>
          <w:tcPr>
            <w:tcW w:w="3402" w:type="dxa"/>
            <w:tcBorders>
              <w:bottom w:val="single" w:color="auto" w:sz="4" w:space="0"/>
            </w:tcBorders>
            <w:vAlign w:val="center"/>
          </w:tcPr>
          <w:p>
            <w:pPr>
              <w:pStyle w:val="169"/>
              <w:rPr>
                <w:szCs w:val="21"/>
              </w:rPr>
            </w:pPr>
            <w:r>
              <w:rPr>
                <w:szCs w:val="21"/>
              </w:rPr>
              <w:t>采用“第四孔排烟+上料隧道+</w:t>
            </w:r>
            <w:r>
              <w:rPr>
                <w:rFonts w:hint="eastAsia"/>
                <w:szCs w:val="21"/>
              </w:rPr>
              <w:t>密闭罩+</w:t>
            </w:r>
            <w:r>
              <w:rPr>
                <w:szCs w:val="21"/>
              </w:rPr>
              <w:t>屋顶罩+布袋除尘器”的方式处理达标后</w:t>
            </w:r>
            <w:r>
              <w:rPr>
                <w:rFonts w:hint="eastAsia"/>
                <w:szCs w:val="21"/>
              </w:rPr>
              <w:t>经36m排气筒高空排放</w:t>
            </w:r>
          </w:p>
        </w:tc>
        <w:tc>
          <w:tcPr>
            <w:tcW w:w="1382" w:type="dxa"/>
            <w:vMerge w:val="restart"/>
            <w:vAlign w:val="center"/>
          </w:tcPr>
          <w:p>
            <w:pPr>
              <w:pStyle w:val="169"/>
              <w:rPr>
                <w:szCs w:val="21"/>
              </w:rPr>
            </w:pPr>
            <w:r>
              <w:rPr>
                <w:rFonts w:hint="eastAsia"/>
                <w:szCs w:val="21"/>
              </w:rPr>
              <w:t>《水泥窑协同处置固体废物污染控制标准》（</w:t>
            </w:r>
            <w:r>
              <w:rPr>
                <w:szCs w:val="21"/>
              </w:rPr>
              <w:t>GB 30485-2013</w:t>
            </w: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9" w:type="dxa"/>
            <w:vMerge w:val="continue"/>
            <w:vAlign w:val="center"/>
          </w:tcPr>
          <w:p>
            <w:pPr>
              <w:pStyle w:val="169"/>
              <w:rPr>
                <w:szCs w:val="21"/>
              </w:rPr>
            </w:pPr>
          </w:p>
        </w:tc>
        <w:tc>
          <w:tcPr>
            <w:tcW w:w="1701" w:type="dxa"/>
            <w:vAlign w:val="center"/>
          </w:tcPr>
          <w:p>
            <w:pPr>
              <w:pStyle w:val="169"/>
              <w:rPr>
                <w:szCs w:val="21"/>
              </w:rPr>
            </w:pPr>
            <w:r>
              <w:rPr>
                <w:rFonts w:hint="eastAsia"/>
                <w:szCs w:val="21"/>
              </w:rPr>
              <w:t>2#电炉排气筒1</w:t>
            </w:r>
          </w:p>
        </w:tc>
        <w:tc>
          <w:tcPr>
            <w:tcW w:w="1312" w:type="dxa"/>
            <w:tcBorders>
              <w:bottom w:val="single" w:color="auto" w:sz="4" w:space="0"/>
            </w:tcBorders>
            <w:vAlign w:val="center"/>
          </w:tcPr>
          <w:p>
            <w:pPr>
              <w:pStyle w:val="169"/>
              <w:rPr>
                <w:szCs w:val="21"/>
              </w:rPr>
            </w:pPr>
            <w:r>
              <w:rPr>
                <w:rFonts w:hint="eastAsia"/>
                <w:szCs w:val="21"/>
              </w:rPr>
              <w:t>铅+镉及其化合物、铬及其化合物</w:t>
            </w:r>
          </w:p>
        </w:tc>
        <w:tc>
          <w:tcPr>
            <w:tcW w:w="3402" w:type="dxa"/>
            <w:tcBorders>
              <w:bottom w:val="single" w:color="auto" w:sz="4" w:space="0"/>
            </w:tcBorders>
            <w:vAlign w:val="center"/>
          </w:tcPr>
          <w:p>
            <w:pPr>
              <w:pStyle w:val="169"/>
              <w:rPr>
                <w:szCs w:val="21"/>
              </w:rPr>
            </w:pPr>
            <w:r>
              <w:rPr>
                <w:szCs w:val="21"/>
              </w:rPr>
              <w:t>采用“第四孔排烟+上料隧道+</w:t>
            </w:r>
            <w:r>
              <w:rPr>
                <w:rFonts w:hint="eastAsia"/>
                <w:szCs w:val="21"/>
              </w:rPr>
              <w:t>密闭罩+</w:t>
            </w:r>
            <w:r>
              <w:rPr>
                <w:szCs w:val="21"/>
              </w:rPr>
              <w:t>屋顶罩+布袋除尘器”的方式处理达标后</w:t>
            </w:r>
            <w:r>
              <w:rPr>
                <w:rFonts w:hint="eastAsia"/>
                <w:szCs w:val="21"/>
              </w:rPr>
              <w:t>经32m排气筒高空排放</w:t>
            </w:r>
          </w:p>
        </w:tc>
        <w:tc>
          <w:tcPr>
            <w:tcW w:w="1382" w:type="dxa"/>
            <w:vMerge w:val="continue"/>
            <w:vAlign w:val="center"/>
          </w:tcPr>
          <w:p>
            <w:pPr>
              <w:pStyle w:val="169"/>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9" w:type="dxa"/>
            <w:vMerge w:val="continue"/>
            <w:vAlign w:val="center"/>
          </w:tcPr>
          <w:p>
            <w:pPr>
              <w:pStyle w:val="169"/>
              <w:rPr>
                <w:szCs w:val="21"/>
              </w:rPr>
            </w:pPr>
          </w:p>
        </w:tc>
        <w:tc>
          <w:tcPr>
            <w:tcW w:w="1701" w:type="dxa"/>
            <w:vAlign w:val="center"/>
          </w:tcPr>
          <w:p>
            <w:pPr>
              <w:pStyle w:val="169"/>
              <w:rPr>
                <w:szCs w:val="21"/>
              </w:rPr>
            </w:pPr>
            <w:r>
              <w:rPr>
                <w:rFonts w:hint="eastAsia"/>
                <w:szCs w:val="21"/>
              </w:rPr>
              <w:t>2#电炉排气筒2</w:t>
            </w:r>
          </w:p>
        </w:tc>
        <w:tc>
          <w:tcPr>
            <w:tcW w:w="1312" w:type="dxa"/>
            <w:tcBorders>
              <w:bottom w:val="single" w:color="auto" w:sz="4" w:space="0"/>
            </w:tcBorders>
            <w:vAlign w:val="center"/>
          </w:tcPr>
          <w:p>
            <w:pPr>
              <w:pStyle w:val="169"/>
              <w:rPr>
                <w:szCs w:val="21"/>
              </w:rPr>
            </w:pPr>
            <w:r>
              <w:rPr>
                <w:rFonts w:hint="eastAsia"/>
                <w:szCs w:val="21"/>
              </w:rPr>
              <w:t>铅+镉及其化合物、铬及其化合物</w:t>
            </w:r>
          </w:p>
        </w:tc>
        <w:tc>
          <w:tcPr>
            <w:tcW w:w="3402" w:type="dxa"/>
            <w:tcBorders>
              <w:bottom w:val="single" w:color="auto" w:sz="4" w:space="0"/>
            </w:tcBorders>
            <w:vAlign w:val="center"/>
          </w:tcPr>
          <w:p>
            <w:pPr>
              <w:pStyle w:val="169"/>
              <w:rPr>
                <w:szCs w:val="21"/>
              </w:rPr>
            </w:pPr>
            <w:r>
              <w:rPr>
                <w:szCs w:val="21"/>
              </w:rPr>
              <w:t>采用“第四孔排烟+上料隧道+</w:t>
            </w:r>
            <w:r>
              <w:rPr>
                <w:rFonts w:hint="eastAsia"/>
                <w:szCs w:val="21"/>
              </w:rPr>
              <w:t>密闭罩+</w:t>
            </w:r>
            <w:r>
              <w:rPr>
                <w:szCs w:val="21"/>
              </w:rPr>
              <w:t>屋顶罩+布袋除尘器”的方式处理达标后</w:t>
            </w:r>
            <w:r>
              <w:rPr>
                <w:rFonts w:hint="eastAsia"/>
                <w:szCs w:val="21"/>
              </w:rPr>
              <w:t>经32m排气筒高空排放</w:t>
            </w:r>
          </w:p>
        </w:tc>
        <w:tc>
          <w:tcPr>
            <w:tcW w:w="1382" w:type="dxa"/>
            <w:vMerge w:val="continue"/>
            <w:vAlign w:val="center"/>
          </w:tcPr>
          <w:p>
            <w:pPr>
              <w:pStyle w:val="169"/>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9" w:type="dxa"/>
            <w:vMerge w:val="continue"/>
            <w:vAlign w:val="center"/>
          </w:tcPr>
          <w:p>
            <w:pPr>
              <w:pStyle w:val="169"/>
              <w:rPr>
                <w:szCs w:val="21"/>
              </w:rPr>
            </w:pPr>
          </w:p>
        </w:tc>
        <w:tc>
          <w:tcPr>
            <w:tcW w:w="1701" w:type="dxa"/>
            <w:vAlign w:val="center"/>
          </w:tcPr>
          <w:p>
            <w:pPr>
              <w:pStyle w:val="169"/>
              <w:rPr>
                <w:szCs w:val="21"/>
              </w:rPr>
            </w:pPr>
            <w:r>
              <w:rPr>
                <w:rFonts w:hint="eastAsia"/>
                <w:szCs w:val="21"/>
              </w:rPr>
              <w:t>无组织</w:t>
            </w:r>
          </w:p>
        </w:tc>
        <w:tc>
          <w:tcPr>
            <w:tcW w:w="1312" w:type="dxa"/>
            <w:tcBorders>
              <w:bottom w:val="single" w:color="auto" w:sz="4" w:space="0"/>
            </w:tcBorders>
            <w:vAlign w:val="center"/>
          </w:tcPr>
          <w:p>
            <w:pPr>
              <w:pStyle w:val="169"/>
              <w:rPr>
                <w:szCs w:val="21"/>
              </w:rPr>
            </w:pPr>
            <w:r>
              <w:rPr>
                <w:rFonts w:hint="eastAsia"/>
                <w:szCs w:val="21"/>
              </w:rPr>
              <w:t>颗粒物、铅+镉及其化合物、铬及其化合物</w:t>
            </w:r>
          </w:p>
        </w:tc>
        <w:tc>
          <w:tcPr>
            <w:tcW w:w="3402" w:type="dxa"/>
            <w:tcBorders>
              <w:bottom w:val="single" w:color="auto" w:sz="4" w:space="0"/>
            </w:tcBorders>
            <w:vAlign w:val="center"/>
          </w:tcPr>
          <w:p>
            <w:pPr>
              <w:pStyle w:val="169"/>
              <w:rPr>
                <w:szCs w:val="21"/>
              </w:rPr>
            </w:pPr>
            <w:r>
              <w:rPr>
                <w:rFonts w:hint="eastAsia"/>
                <w:szCs w:val="21"/>
              </w:rPr>
              <w:t>加强车间通风</w:t>
            </w:r>
          </w:p>
        </w:tc>
        <w:tc>
          <w:tcPr>
            <w:tcW w:w="1382" w:type="dxa"/>
            <w:vMerge w:val="continue"/>
            <w:vAlign w:val="center"/>
          </w:tcPr>
          <w:p>
            <w:pPr>
              <w:pStyle w:val="169"/>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149" w:type="dxa"/>
            <w:vAlign w:val="center"/>
          </w:tcPr>
          <w:p>
            <w:pPr>
              <w:pStyle w:val="169"/>
              <w:rPr>
                <w:szCs w:val="21"/>
              </w:rPr>
            </w:pPr>
            <w:r>
              <w:rPr>
                <w:rFonts w:hint="eastAsia"/>
                <w:szCs w:val="21"/>
              </w:rPr>
              <w:t>地表水</w:t>
            </w:r>
          </w:p>
        </w:tc>
        <w:tc>
          <w:tcPr>
            <w:tcW w:w="1701" w:type="dxa"/>
            <w:vAlign w:val="center"/>
          </w:tcPr>
          <w:p>
            <w:pPr>
              <w:pStyle w:val="169"/>
              <w:rPr>
                <w:szCs w:val="21"/>
              </w:rPr>
            </w:pPr>
            <w:r>
              <w:rPr>
                <w:rFonts w:hint="eastAsia"/>
                <w:szCs w:val="21"/>
              </w:rPr>
              <w:t>生活污水</w:t>
            </w:r>
          </w:p>
        </w:tc>
        <w:tc>
          <w:tcPr>
            <w:tcW w:w="1312" w:type="dxa"/>
            <w:vAlign w:val="center"/>
          </w:tcPr>
          <w:p>
            <w:pPr>
              <w:pStyle w:val="169"/>
              <w:rPr>
                <w:szCs w:val="21"/>
              </w:rPr>
            </w:pPr>
            <w:r>
              <w:rPr>
                <w:szCs w:val="21"/>
              </w:rPr>
              <w:t>COD</w:t>
            </w:r>
          </w:p>
          <w:p>
            <w:pPr>
              <w:pStyle w:val="169"/>
              <w:rPr>
                <w:szCs w:val="21"/>
              </w:rPr>
            </w:pPr>
            <w:r>
              <w:rPr>
                <w:szCs w:val="21"/>
              </w:rPr>
              <w:t>SS</w:t>
            </w:r>
          </w:p>
          <w:p>
            <w:pPr>
              <w:pStyle w:val="169"/>
              <w:rPr>
                <w:szCs w:val="21"/>
              </w:rPr>
            </w:pPr>
            <w:r>
              <w:rPr>
                <w:rFonts w:hint="eastAsia"/>
                <w:szCs w:val="21"/>
              </w:rPr>
              <w:t>氨氮</w:t>
            </w:r>
          </w:p>
          <w:p>
            <w:pPr>
              <w:pStyle w:val="169"/>
              <w:rPr>
                <w:szCs w:val="21"/>
              </w:rPr>
            </w:pPr>
            <w:r>
              <w:rPr>
                <w:rFonts w:hint="eastAsia"/>
                <w:szCs w:val="21"/>
              </w:rPr>
              <w:t>动植物油</w:t>
            </w:r>
          </w:p>
        </w:tc>
        <w:tc>
          <w:tcPr>
            <w:tcW w:w="3402" w:type="dxa"/>
            <w:vAlign w:val="center"/>
          </w:tcPr>
          <w:p>
            <w:pPr>
              <w:pStyle w:val="169"/>
              <w:rPr>
                <w:szCs w:val="21"/>
              </w:rPr>
            </w:pPr>
            <w:r>
              <w:rPr>
                <w:rFonts w:hint="eastAsia"/>
                <w:szCs w:val="21"/>
              </w:rPr>
              <w:t>项目生活污水经生化池处理达《污水综合排放标准》（</w:t>
            </w:r>
            <w:r>
              <w:rPr>
                <w:szCs w:val="21"/>
              </w:rPr>
              <w:t>GB8978-1996</w:t>
            </w:r>
            <w:r>
              <w:rPr>
                <w:rFonts w:hint="eastAsia"/>
                <w:szCs w:val="21"/>
              </w:rPr>
              <w:t>）三级标准后接入市政管网，进入双桥工业园区污水处理厂进行深度处理</w:t>
            </w:r>
          </w:p>
        </w:tc>
        <w:tc>
          <w:tcPr>
            <w:tcW w:w="1382" w:type="dxa"/>
            <w:vAlign w:val="center"/>
          </w:tcPr>
          <w:p>
            <w:pPr>
              <w:pStyle w:val="169"/>
              <w:rPr>
                <w:szCs w:val="21"/>
              </w:rPr>
            </w:pPr>
            <w:r>
              <w:rPr>
                <w:rFonts w:hint="eastAsia"/>
                <w:szCs w:val="21"/>
              </w:rPr>
              <w:t>《污水综合排放标准》（</w:t>
            </w:r>
            <w:r>
              <w:rPr>
                <w:szCs w:val="21"/>
              </w:rPr>
              <w:t>GB8978-1996</w:t>
            </w:r>
            <w:r>
              <w:rPr>
                <w:rFonts w:hint="eastAsia"/>
                <w:szCs w:val="21"/>
              </w:rPr>
              <w:t>）三级标准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9" w:type="dxa"/>
            <w:vAlign w:val="center"/>
          </w:tcPr>
          <w:p>
            <w:pPr>
              <w:pStyle w:val="169"/>
              <w:rPr>
                <w:szCs w:val="21"/>
              </w:rPr>
            </w:pPr>
            <w:r>
              <w:rPr>
                <w:rFonts w:hint="eastAsia"/>
                <w:szCs w:val="21"/>
              </w:rPr>
              <w:t>声环境</w:t>
            </w:r>
          </w:p>
        </w:tc>
        <w:tc>
          <w:tcPr>
            <w:tcW w:w="1701" w:type="dxa"/>
            <w:vAlign w:val="center"/>
          </w:tcPr>
          <w:p>
            <w:pPr>
              <w:pStyle w:val="169"/>
              <w:rPr>
                <w:szCs w:val="21"/>
              </w:rPr>
            </w:pPr>
            <w:r>
              <w:rPr>
                <w:rFonts w:hint="eastAsia"/>
                <w:szCs w:val="21"/>
              </w:rPr>
              <w:t>设备噪声</w:t>
            </w:r>
          </w:p>
        </w:tc>
        <w:tc>
          <w:tcPr>
            <w:tcW w:w="1312" w:type="dxa"/>
            <w:vAlign w:val="center"/>
          </w:tcPr>
          <w:p>
            <w:pPr>
              <w:pStyle w:val="169"/>
              <w:rPr>
                <w:szCs w:val="21"/>
              </w:rPr>
            </w:pPr>
            <w:r>
              <w:rPr>
                <w:rFonts w:hint="eastAsia"/>
                <w:szCs w:val="21"/>
              </w:rPr>
              <w:t>厂界噪声</w:t>
            </w:r>
          </w:p>
        </w:tc>
        <w:tc>
          <w:tcPr>
            <w:tcW w:w="3402" w:type="dxa"/>
            <w:vAlign w:val="center"/>
          </w:tcPr>
          <w:p>
            <w:pPr>
              <w:pStyle w:val="169"/>
              <w:rPr>
                <w:szCs w:val="21"/>
              </w:rPr>
            </w:pPr>
            <w:r>
              <w:rPr>
                <w:rFonts w:hint="eastAsia"/>
                <w:szCs w:val="21"/>
              </w:rPr>
              <w:t>隔声、减振</w:t>
            </w:r>
          </w:p>
        </w:tc>
        <w:tc>
          <w:tcPr>
            <w:tcW w:w="1382" w:type="dxa"/>
            <w:vAlign w:val="center"/>
          </w:tcPr>
          <w:p>
            <w:pPr>
              <w:pStyle w:val="169"/>
              <w:rPr>
                <w:szCs w:val="21"/>
              </w:rPr>
            </w:pPr>
            <w:r>
              <w:rPr>
                <w:rFonts w:hint="eastAsia"/>
                <w:szCs w:val="21"/>
              </w:rPr>
              <w:t>《工业企业厂界环境噪声排放标准》（</w:t>
            </w:r>
            <w:r>
              <w:rPr>
                <w:szCs w:val="21"/>
              </w:rPr>
              <w:t>GB12348-2008</w:t>
            </w:r>
            <w:r>
              <w:rPr>
                <w:rFonts w:hint="eastAsia"/>
                <w:szCs w:val="21"/>
              </w:rPr>
              <w:t>）3类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49" w:type="dxa"/>
            <w:vAlign w:val="center"/>
          </w:tcPr>
          <w:p>
            <w:pPr>
              <w:pStyle w:val="169"/>
              <w:rPr>
                <w:szCs w:val="21"/>
              </w:rPr>
            </w:pPr>
            <w:r>
              <w:rPr>
                <w:rFonts w:hint="eastAsia"/>
                <w:szCs w:val="21"/>
              </w:rPr>
              <w:t>固体废物</w:t>
            </w:r>
          </w:p>
        </w:tc>
        <w:tc>
          <w:tcPr>
            <w:tcW w:w="7797" w:type="dxa"/>
            <w:gridSpan w:val="4"/>
            <w:vAlign w:val="center"/>
          </w:tcPr>
          <w:p>
            <w:pPr>
              <w:pStyle w:val="182"/>
              <w:rPr>
                <w:bCs/>
                <w:szCs w:val="21"/>
              </w:rPr>
            </w:pPr>
            <w:r>
              <w:rPr>
                <w:rFonts w:hint="eastAsia"/>
                <w:bCs/>
                <w:szCs w:val="21"/>
              </w:rPr>
              <w:t>不能回收利用的电炉除尘灰和废包装袋依托现有危废暂存间进行存放，定期交有资质单位处置。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49" w:type="dxa"/>
            <w:vAlign w:val="center"/>
          </w:tcPr>
          <w:p>
            <w:pPr>
              <w:pStyle w:val="169"/>
              <w:rPr>
                <w:szCs w:val="21"/>
              </w:rPr>
            </w:pPr>
            <w:r>
              <w:rPr>
                <w:rFonts w:hint="eastAsia"/>
                <w:szCs w:val="21"/>
              </w:rPr>
              <w:t>土壤及地下水污染防治措施</w:t>
            </w:r>
          </w:p>
        </w:tc>
        <w:tc>
          <w:tcPr>
            <w:tcW w:w="7797" w:type="dxa"/>
            <w:gridSpan w:val="4"/>
            <w:vAlign w:val="center"/>
          </w:tcPr>
          <w:p>
            <w:pPr>
              <w:pStyle w:val="182"/>
              <w:ind w:firstLine="0" w:firstLineChars="0"/>
              <w:rPr>
                <w:bCs/>
                <w:szCs w:val="21"/>
              </w:rPr>
            </w:pPr>
            <w:r>
              <w:rPr>
                <w:rFonts w:hint="eastAsia"/>
                <w:bCs/>
                <w:szCs w:val="21"/>
              </w:rPr>
              <w:t>加强项目废气的收集、治理，定期开展设备维护、检修，确保污染治理设施高效运行，尽可能减少废气污染物的排放量。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49" w:type="dxa"/>
            <w:vAlign w:val="center"/>
          </w:tcPr>
          <w:p>
            <w:pPr>
              <w:pStyle w:val="169"/>
              <w:rPr>
                <w:szCs w:val="21"/>
              </w:rPr>
            </w:pPr>
            <w:r>
              <w:rPr>
                <w:rFonts w:hint="eastAsia"/>
                <w:szCs w:val="21"/>
              </w:rPr>
              <w:t>生态保护措施</w:t>
            </w:r>
          </w:p>
        </w:tc>
        <w:tc>
          <w:tcPr>
            <w:tcW w:w="7797" w:type="dxa"/>
            <w:gridSpan w:val="4"/>
            <w:vAlign w:val="center"/>
          </w:tcPr>
          <w:p>
            <w:pPr>
              <w:pStyle w:val="169"/>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149" w:type="dxa"/>
            <w:vAlign w:val="center"/>
          </w:tcPr>
          <w:p>
            <w:pPr>
              <w:pStyle w:val="169"/>
              <w:rPr>
                <w:szCs w:val="21"/>
              </w:rPr>
            </w:pPr>
            <w:r>
              <w:rPr>
                <w:rFonts w:hint="eastAsia"/>
                <w:szCs w:val="21"/>
              </w:rPr>
              <w:t>环境风险防范措施</w:t>
            </w:r>
          </w:p>
        </w:tc>
        <w:tc>
          <w:tcPr>
            <w:tcW w:w="7797" w:type="dxa"/>
            <w:gridSpan w:val="4"/>
            <w:vAlign w:val="center"/>
          </w:tcPr>
          <w:p>
            <w:pPr>
              <w:pStyle w:val="169"/>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49" w:type="dxa"/>
            <w:vAlign w:val="center"/>
          </w:tcPr>
          <w:p>
            <w:pPr>
              <w:pStyle w:val="169"/>
              <w:rPr>
                <w:szCs w:val="21"/>
              </w:rPr>
            </w:pPr>
            <w:r>
              <w:rPr>
                <w:rFonts w:hint="eastAsia"/>
                <w:szCs w:val="21"/>
              </w:rPr>
              <w:t>其他环境管理要求</w:t>
            </w:r>
          </w:p>
        </w:tc>
        <w:tc>
          <w:tcPr>
            <w:tcW w:w="7797" w:type="dxa"/>
            <w:gridSpan w:val="4"/>
            <w:vAlign w:val="center"/>
          </w:tcPr>
          <w:p>
            <w:pPr>
              <w:pStyle w:val="169"/>
              <w:jc w:val="left"/>
              <w:rPr>
                <w:bCs/>
                <w:szCs w:val="21"/>
              </w:rPr>
            </w:pPr>
            <w:r>
              <w:rPr>
                <w:rFonts w:hint="eastAsia"/>
                <w:bCs/>
                <w:szCs w:val="21"/>
              </w:rPr>
              <w:t>电炉除尘灰内部收集、储存和转运按照《危险废物收集、储存、运输技术规范》（HJ2025-2012）相关要求执行，</w:t>
            </w:r>
            <w:r>
              <w:rPr>
                <w:rFonts w:hint="eastAsia"/>
                <w:szCs w:val="21"/>
              </w:rPr>
              <w:t>建立除尘灰回用管理及台账；每日收集、贮存、转运和回用除尘灰的时间、回用量等；电弧炉设施运行工艺控制参数记录等；维修情况记录和生产事故的记录；除尘灰回用记录。</w:t>
            </w:r>
          </w:p>
          <w:p>
            <w:pPr>
              <w:pStyle w:val="169"/>
              <w:jc w:val="left"/>
              <w:rPr>
                <w:szCs w:val="21"/>
              </w:rPr>
            </w:pPr>
          </w:p>
        </w:tc>
      </w:tr>
    </w:tbl>
    <w:p>
      <w:pPr>
        <w:pStyle w:val="3"/>
        <w:numPr>
          <w:ilvl w:val="0"/>
          <w:numId w:val="10"/>
        </w:numPr>
        <w:rPr>
          <w:color w:val="auto"/>
        </w:rPr>
      </w:pPr>
      <w:r>
        <w:rPr>
          <w:color w:val="auto"/>
        </w:rPr>
        <w:br w:type="page"/>
      </w:r>
      <w:r>
        <w:rPr>
          <w:rFonts w:hint="eastAsia"/>
          <w:color w:val="auto"/>
        </w:rPr>
        <w:t>结论</w:t>
      </w:r>
    </w:p>
    <w:tbl>
      <w:tblPr>
        <w:tblStyle w:val="8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11" w:hRule="atLeast"/>
          <w:jc w:val="center"/>
        </w:trPr>
        <w:tc>
          <w:tcPr>
            <w:tcW w:w="8865" w:type="dxa"/>
          </w:tcPr>
          <w:p>
            <w:pPr>
              <w:jc w:val="both"/>
            </w:pPr>
            <w:r>
              <w:rPr>
                <w:rFonts w:hint="eastAsia"/>
              </w:rPr>
              <w:t>综上所述，重庆足航钢铁有限公司炼钢除尘灰资源化利用项目的实施，将炼钢除尘灰</w:t>
            </w:r>
            <w:r>
              <w:t>就地</w:t>
            </w:r>
            <w:r>
              <w:rPr>
                <w:rFonts w:hint="eastAsia"/>
              </w:rPr>
              <w:t>回收</w:t>
            </w:r>
            <w:r>
              <w:t>利用，用于</w:t>
            </w:r>
            <w:r>
              <w:rPr>
                <w:rFonts w:hint="eastAsia"/>
              </w:rPr>
              <w:t>电炉</w:t>
            </w:r>
            <w:r>
              <w:t>炼钢环节，</w:t>
            </w:r>
            <w:r>
              <w:rPr>
                <w:rFonts w:hint="eastAsia"/>
              </w:rPr>
              <w:t>可</w:t>
            </w:r>
            <w:r>
              <w:t>实现除尘灰减量化，降低危废运输及处置风险</w:t>
            </w:r>
            <w:r>
              <w:rPr>
                <w:rFonts w:hint="eastAsia"/>
              </w:rPr>
              <w:t>，同时，电炉除尘灰中含有一定量的铁、锌元素，具有回收利用价值。根据物料平衡，最终约有1759t电炉除尘灰作为危废交有相应危废资质的单位进行处置，电炉除尘灰排放量减少了3221t/a。</w:t>
            </w:r>
          </w:p>
          <w:p>
            <w:pPr>
              <w:jc w:val="both"/>
            </w:pPr>
            <w:r>
              <w:rPr>
                <w:rFonts w:hint="eastAsia"/>
              </w:rPr>
              <w:t>本项目符合产业政策，符合相关规划，严格落实各项污染防治措施及环境风险防范措施后，能够实现污染物达标排放，不会改变当地的环境功能。</w:t>
            </w:r>
          </w:p>
          <w:p>
            <w:pPr>
              <w:jc w:val="both"/>
            </w:pPr>
            <w:r>
              <w:rPr>
                <w:rFonts w:hint="eastAsia"/>
              </w:rPr>
              <w:t>因此，从环境保护角度，本项目建设是可行的。</w:t>
            </w:r>
          </w:p>
          <w:p>
            <w:pPr>
              <w:ind w:firstLine="0" w:firstLineChars="0"/>
            </w:pPr>
            <w:r>
              <w:rPr>
                <w:rFonts w:hint="eastAsia"/>
              </w:rPr>
              <w:t xml:space="preserve"> </w:t>
            </w:r>
          </w:p>
          <w:p>
            <w:pPr>
              <w:ind w:firstLine="0" w:firstLineChars="0"/>
            </w:pPr>
          </w:p>
        </w:tc>
      </w:tr>
    </w:tbl>
    <w:p>
      <w:pPr>
        <w:ind w:firstLine="0" w:firstLineChars="0"/>
        <w:jc w:val="center"/>
        <w:rPr>
          <w:rFonts w:ascii="黑体" w:hAnsi="黑体" w:eastAsia="黑体"/>
          <w:sz w:val="56"/>
          <w:szCs w:val="48"/>
        </w:rPr>
      </w:pPr>
    </w:p>
    <w:p>
      <w:pPr>
        <w:ind w:firstLine="0" w:firstLineChars="0"/>
        <w:jc w:val="center"/>
        <w:rPr>
          <w:rFonts w:ascii="黑体" w:hAnsi="黑体" w:eastAsia="黑体"/>
          <w:sz w:val="56"/>
          <w:szCs w:val="48"/>
        </w:rPr>
      </w:pPr>
      <w:r>
        <w:rPr>
          <w:rFonts w:hint="eastAsia" w:ascii="黑体" w:hAnsi="黑体" w:eastAsia="黑体"/>
          <w:sz w:val="56"/>
          <w:szCs w:val="48"/>
        </w:rPr>
        <w:t>重庆足航钢铁有限公司</w:t>
      </w:r>
    </w:p>
    <w:p>
      <w:pPr>
        <w:ind w:firstLine="0" w:firstLineChars="0"/>
        <w:jc w:val="center"/>
        <w:rPr>
          <w:rFonts w:ascii="黑体" w:hAnsi="黑体" w:eastAsia="黑体"/>
          <w:sz w:val="56"/>
          <w:szCs w:val="48"/>
        </w:rPr>
      </w:pPr>
      <w:r>
        <w:rPr>
          <w:rFonts w:hint="eastAsia" w:ascii="黑体" w:hAnsi="黑体" w:eastAsia="黑体"/>
          <w:sz w:val="56"/>
          <w:szCs w:val="48"/>
        </w:rPr>
        <w:t>炼钢除尘灰资源化利用项目</w:t>
      </w:r>
    </w:p>
    <w:p>
      <w:pPr>
        <w:ind w:firstLine="1124"/>
        <w:jc w:val="center"/>
        <w:rPr>
          <w:rFonts w:ascii="黑体" w:hAnsi="黑体" w:eastAsia="黑体"/>
          <w:b/>
          <w:sz w:val="56"/>
          <w:szCs w:val="48"/>
        </w:rPr>
      </w:pPr>
    </w:p>
    <w:p>
      <w:pPr>
        <w:ind w:firstLine="1124"/>
        <w:jc w:val="center"/>
        <w:rPr>
          <w:rFonts w:ascii="黑体" w:hAnsi="黑体" w:eastAsia="黑体"/>
          <w:b/>
          <w:sz w:val="56"/>
          <w:szCs w:val="48"/>
        </w:rPr>
      </w:pPr>
    </w:p>
    <w:p>
      <w:pPr>
        <w:pStyle w:val="81"/>
        <w:ind w:firstLine="0" w:firstLineChars="0"/>
        <w:jc w:val="center"/>
        <w:outlineLvl w:val="0"/>
        <w:rPr>
          <w:rFonts w:ascii="黑体" w:hAnsi="黑体" w:eastAsia="黑体"/>
          <w:b/>
          <w:sz w:val="56"/>
          <w:szCs w:val="56"/>
        </w:rPr>
      </w:pPr>
      <w:r>
        <w:rPr>
          <w:rFonts w:hint="eastAsia" w:ascii="黑体" w:hAnsi="黑体" w:eastAsia="黑体"/>
          <w:snapToGrid w:val="0"/>
          <w:sz w:val="56"/>
          <w:szCs w:val="56"/>
        </w:rPr>
        <w:t>环境</w:t>
      </w:r>
      <w:r>
        <w:rPr>
          <w:rFonts w:ascii="黑体" w:hAnsi="黑体" w:eastAsia="黑体"/>
          <w:snapToGrid w:val="0"/>
          <w:sz w:val="56"/>
          <w:szCs w:val="56"/>
        </w:rPr>
        <w:t>影响</w:t>
      </w:r>
      <w:r>
        <w:rPr>
          <w:rFonts w:hint="eastAsia" w:ascii="黑体" w:hAnsi="黑体" w:eastAsia="黑体"/>
          <w:snapToGrid w:val="0"/>
          <w:sz w:val="56"/>
          <w:szCs w:val="56"/>
        </w:rPr>
        <w:t>——大气</w:t>
      </w:r>
      <w:r>
        <w:rPr>
          <w:rFonts w:ascii="黑体" w:hAnsi="黑体" w:eastAsia="黑体"/>
          <w:snapToGrid w:val="0"/>
          <w:sz w:val="56"/>
          <w:szCs w:val="56"/>
        </w:rPr>
        <w:t>专项评价</w:t>
      </w:r>
    </w:p>
    <w:p/>
    <w:p/>
    <w:p/>
    <w:p/>
    <w:p/>
    <w:p/>
    <w:p/>
    <w:p/>
    <w:p/>
    <w:p/>
    <w:p/>
    <w:p/>
    <w:p/>
    <w:p/>
    <w:p/>
    <w:p>
      <w:pPr>
        <w:spacing w:line="480" w:lineRule="auto"/>
        <w:rPr>
          <w:b/>
          <w:sz w:val="32"/>
          <w:szCs w:val="32"/>
        </w:rPr>
      </w:pPr>
      <w:r>
        <w:t xml:space="preserve">                  </w:t>
      </w:r>
      <w:r>
        <w:rPr>
          <w:b/>
          <w:sz w:val="32"/>
          <w:szCs w:val="32"/>
        </w:rPr>
        <w:t xml:space="preserve"> </w:t>
      </w:r>
      <w:r>
        <w:rPr>
          <w:rFonts w:hint="eastAsia"/>
          <w:b/>
          <w:sz w:val="32"/>
          <w:szCs w:val="32"/>
        </w:rPr>
        <w:t xml:space="preserve">  </w:t>
      </w:r>
      <w:r>
        <w:rPr>
          <w:b/>
          <w:sz w:val="32"/>
          <w:szCs w:val="32"/>
        </w:rPr>
        <w:t xml:space="preserve"> 1  总则</w:t>
      </w:r>
    </w:p>
    <w:p>
      <w:pPr>
        <w:ind w:firstLine="0" w:firstLineChars="0"/>
        <w:rPr>
          <w:b/>
          <w:sz w:val="28"/>
          <w:szCs w:val="28"/>
        </w:rPr>
      </w:pPr>
      <w:r>
        <w:rPr>
          <w:b/>
          <w:sz w:val="28"/>
          <w:szCs w:val="28"/>
        </w:rPr>
        <w:t>1.1评价目的与评价原则</w:t>
      </w:r>
    </w:p>
    <w:p>
      <w:pPr>
        <w:ind w:firstLine="0" w:firstLineChars="0"/>
        <w:rPr>
          <w:b/>
        </w:rPr>
      </w:pPr>
      <w:r>
        <w:rPr>
          <w:b/>
        </w:rPr>
        <w:t>1.1.1评价目的</w:t>
      </w:r>
    </w:p>
    <w:p>
      <w:r>
        <w:rPr>
          <w:rFonts w:hint="eastAsia"/>
        </w:rPr>
        <w:t>通过调查、预测等手段，对项目生产运行所排放的大气污染物对环境空气质量影响的程度、范围和频率进行分析、预测和评估，为项目的选址、排放方案、大气污染治理设施与预防措施制定、排放量核算，以及其他有关的工程设计、项目实施环境监测等提供科学依据或指导性意见。具体如下：</w:t>
      </w:r>
    </w:p>
    <w:p>
      <w:r>
        <w:rPr>
          <w:rFonts w:hint="eastAsia"/>
        </w:rPr>
        <w:t>（1）通过对建设项目所在地周围大气环境的调查及现状监测，了解项目周围大气环境质量现状；</w:t>
      </w:r>
    </w:p>
    <w:p>
      <w:r>
        <w:rPr>
          <w:rFonts w:hint="eastAsia"/>
        </w:rPr>
        <w:t>（2）通过对建设项目的工程分析，掌握项目运行期生产工艺流程的特点及其大气污染因子，确定项目的大气污染源强、排放量；</w:t>
      </w:r>
    </w:p>
    <w:p>
      <w:r>
        <w:rPr>
          <w:rFonts w:hint="eastAsia"/>
        </w:rPr>
        <w:t>（3）分析、预测运行期项目对大气环境的影响程度与范围；</w:t>
      </w:r>
    </w:p>
    <w:p>
      <w:r>
        <w:rPr>
          <w:rFonts w:hint="eastAsia"/>
        </w:rPr>
        <w:t>（4）分析论述污染物达标排放的可靠性，提出切实可行的避免或减轻项目对大气环境造成不利影响的缓解措施和污染防治对策，论证拟采取的废气污染治理措施的可行性，达到减少污染、保护环境的目的。</w:t>
      </w:r>
    </w:p>
    <w:p>
      <w:pPr>
        <w:ind w:firstLine="0" w:firstLineChars="0"/>
        <w:rPr>
          <w:b/>
        </w:rPr>
      </w:pPr>
      <w:r>
        <w:rPr>
          <w:rFonts w:hint="eastAsia"/>
          <w:b/>
        </w:rPr>
        <w:t>1.1.2评价原则</w:t>
      </w:r>
    </w:p>
    <w:p>
      <w:r>
        <w:rPr>
          <w:rFonts w:hint="eastAsia"/>
        </w:rPr>
        <w:t>根据《环境影响评价技术导则 大气环境》（HJ2.2-2018）中的评价要求，对重庆足航钢铁有限公司炼钢除尘灰资源化利用项目开展环境影响大气专项评价，符合技术导则要求。</w:t>
      </w:r>
    </w:p>
    <w:p>
      <w:pPr>
        <w:ind w:firstLine="0" w:firstLineChars="0"/>
        <w:rPr>
          <w:b/>
          <w:sz w:val="28"/>
          <w:szCs w:val="28"/>
        </w:rPr>
      </w:pPr>
      <w:r>
        <w:rPr>
          <w:rFonts w:hint="eastAsia"/>
          <w:b/>
          <w:sz w:val="28"/>
          <w:szCs w:val="28"/>
        </w:rPr>
        <w:t>1.2评价构思</w:t>
      </w:r>
    </w:p>
    <w:p>
      <w:pPr>
        <w:ind w:firstLine="540" w:firstLineChars="0"/>
      </w:pPr>
      <w:r>
        <w:rPr>
          <w:rFonts w:hint="eastAsia"/>
        </w:rPr>
        <w:t>（1）根据电炉除尘灰成分检测报告，除尘灰中含少量的铅、铬和镉，因此废气污染物主要考虑铅、铬和镉及其化合物；</w:t>
      </w:r>
    </w:p>
    <w:p>
      <w:pPr>
        <w:ind w:firstLine="540" w:firstLineChars="0"/>
      </w:pPr>
      <w:r>
        <w:rPr>
          <w:rFonts w:hint="eastAsia"/>
        </w:rPr>
        <w:t>（2）电炉除尘灰成分检测报告中无苯及其化合物，因此本次评价除尘灰回炉利用废气污染物中不考虑二噁英；</w:t>
      </w:r>
    </w:p>
    <w:p>
      <w:pPr>
        <w:ind w:firstLine="540" w:firstLineChars="0"/>
      </w:pPr>
      <w:r>
        <w:rPr>
          <w:rFonts w:hint="eastAsia"/>
        </w:rPr>
        <w:t>（3）目前《炼钢工业大气污染物排放标准》（GB 28664-2012）针对电炉设施只对颗粒物和二噁英进行控制，因此本次评价大气污染物铅、铬、镉及其化合物参考执行《水泥窑协同处置固体废物污染控制标准》（</w:t>
      </w:r>
      <w:r>
        <w:t>GB 30485-2013</w:t>
      </w:r>
      <w:r>
        <w:rPr>
          <w:rFonts w:hint="eastAsia"/>
        </w:rPr>
        <w:t>）。</w:t>
      </w:r>
    </w:p>
    <w:p>
      <w:pPr>
        <w:ind w:firstLine="0" w:firstLineChars="0"/>
        <w:rPr>
          <w:b/>
          <w:sz w:val="28"/>
          <w:szCs w:val="28"/>
        </w:rPr>
      </w:pPr>
      <w:r>
        <w:rPr>
          <w:b/>
          <w:sz w:val="28"/>
          <w:szCs w:val="28"/>
        </w:rPr>
        <w:t>1.</w:t>
      </w:r>
      <w:r>
        <w:rPr>
          <w:rFonts w:hint="eastAsia"/>
          <w:b/>
          <w:sz w:val="28"/>
          <w:szCs w:val="28"/>
        </w:rPr>
        <w:t>3</w:t>
      </w:r>
      <w:r>
        <w:rPr>
          <w:b/>
          <w:sz w:val="28"/>
          <w:szCs w:val="28"/>
        </w:rPr>
        <w:t>评价时期</w:t>
      </w:r>
    </w:p>
    <w:p>
      <w:r>
        <w:rPr>
          <w:rFonts w:hint="eastAsia"/>
        </w:rPr>
        <w:t>本次</w:t>
      </w:r>
      <w:r>
        <w:t>评价</w:t>
      </w:r>
      <w:r>
        <w:rPr>
          <w:rFonts w:hint="eastAsia"/>
        </w:rPr>
        <w:t>时期</w:t>
      </w:r>
      <w:r>
        <w:t>为项目营运期。</w:t>
      </w:r>
    </w:p>
    <w:p>
      <w:pPr>
        <w:ind w:firstLine="0" w:firstLineChars="0"/>
        <w:rPr>
          <w:b/>
          <w:sz w:val="28"/>
          <w:szCs w:val="28"/>
        </w:rPr>
      </w:pPr>
      <w:r>
        <w:rPr>
          <w:b/>
          <w:sz w:val="28"/>
          <w:szCs w:val="28"/>
        </w:rPr>
        <w:t>1.</w:t>
      </w:r>
      <w:r>
        <w:rPr>
          <w:rFonts w:hint="eastAsia"/>
          <w:b/>
          <w:sz w:val="28"/>
          <w:szCs w:val="28"/>
        </w:rPr>
        <w:t>4</w:t>
      </w:r>
      <w:r>
        <w:rPr>
          <w:b/>
          <w:sz w:val="28"/>
          <w:szCs w:val="28"/>
        </w:rPr>
        <w:t>环境影响识别与评价因子</w:t>
      </w:r>
    </w:p>
    <w:p>
      <w:pPr>
        <w:ind w:firstLine="0" w:firstLineChars="0"/>
        <w:rPr>
          <w:b/>
        </w:rPr>
      </w:pPr>
      <w:r>
        <w:rPr>
          <w:rFonts w:hint="eastAsia"/>
          <w:b/>
        </w:rPr>
        <w:t>1.4.1环境影响因素识别</w:t>
      </w:r>
    </w:p>
    <w:p>
      <w:r>
        <w:rPr>
          <w:rFonts w:hint="eastAsia"/>
        </w:rPr>
        <w:t>本项目主要分析项目营运期的大气环境因素及程度。大气环境影响因素识别结果见专项表1.4.1-1。</w:t>
      </w:r>
    </w:p>
    <w:p>
      <w:pPr>
        <w:pStyle w:val="3230"/>
        <w:rPr>
          <w:rFonts w:eastAsiaTheme="minorEastAsia"/>
          <w:color w:val="auto"/>
          <w:szCs w:val="21"/>
        </w:rPr>
      </w:pPr>
      <w:bookmarkStart w:id="13" w:name="_Ref89244313"/>
      <w:r>
        <w:rPr>
          <w:rFonts w:hint="eastAsia" w:eastAsiaTheme="minorEastAsia"/>
          <w:color w:val="auto"/>
          <w:szCs w:val="21"/>
        </w:rPr>
        <w:t>专项表</w:t>
      </w:r>
      <w:bookmarkEnd w:id="13"/>
      <w:r>
        <w:rPr>
          <w:rFonts w:hint="eastAsia" w:eastAsiaTheme="minorEastAsia"/>
          <w:color w:val="auto"/>
          <w:szCs w:val="21"/>
        </w:rPr>
        <w:t>1.4.1-1    环境影响因素</w:t>
      </w:r>
      <w:r>
        <w:rPr>
          <w:rFonts w:hint="eastAsia" w:eastAsiaTheme="minorEastAsia"/>
          <w:color w:val="auto"/>
          <w:szCs w:val="21"/>
          <w:lang w:eastAsia="zh-CN"/>
        </w:rPr>
        <w:t>识别</w:t>
      </w:r>
      <w:bookmarkStart w:id="15" w:name="_GoBack"/>
      <w:bookmarkEnd w:id="15"/>
      <w:r>
        <w:rPr>
          <w:rFonts w:hint="eastAsia" w:eastAsiaTheme="minorEastAsia"/>
          <w:color w:val="auto"/>
          <w:szCs w:val="21"/>
        </w:rPr>
        <w:t>表</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426"/>
        <w:gridCol w:w="1415"/>
        <w:gridCol w:w="1325"/>
        <w:gridCol w:w="795"/>
        <w:gridCol w:w="754"/>
        <w:gridCol w:w="756"/>
        <w:gridCol w:w="602"/>
        <w:gridCol w:w="754"/>
        <w:gridCol w:w="826"/>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49" w:type="pct"/>
            <w:vMerge w:val="restart"/>
            <w:shd w:val="clear" w:color="auto" w:fill="auto"/>
            <w:vAlign w:val="center"/>
          </w:tcPr>
          <w:p>
            <w:pPr>
              <w:pStyle w:val="169"/>
            </w:pPr>
            <w:r>
              <w:rPr>
                <w:rFonts w:hint="eastAsia"/>
              </w:rPr>
              <w:t>评价时段</w:t>
            </w:r>
          </w:p>
        </w:tc>
        <w:tc>
          <w:tcPr>
            <w:tcW w:w="235" w:type="pct"/>
            <w:vMerge w:val="restart"/>
            <w:shd w:val="clear" w:color="auto" w:fill="auto"/>
            <w:vAlign w:val="center"/>
          </w:tcPr>
          <w:p>
            <w:pPr>
              <w:pStyle w:val="169"/>
            </w:pPr>
            <w:r>
              <w:rPr>
                <w:rFonts w:hint="eastAsia"/>
              </w:rPr>
              <w:t>种类</w:t>
            </w:r>
          </w:p>
        </w:tc>
        <w:tc>
          <w:tcPr>
            <w:tcW w:w="781" w:type="pct"/>
            <w:vMerge w:val="restart"/>
            <w:shd w:val="clear" w:color="auto" w:fill="auto"/>
            <w:vAlign w:val="center"/>
          </w:tcPr>
          <w:p>
            <w:pPr>
              <w:pStyle w:val="169"/>
            </w:pPr>
            <w:r>
              <w:rPr>
                <w:rFonts w:hint="eastAsia"/>
              </w:rPr>
              <w:t>来源</w:t>
            </w:r>
          </w:p>
        </w:tc>
        <w:tc>
          <w:tcPr>
            <w:tcW w:w="731" w:type="pct"/>
            <w:vMerge w:val="restart"/>
            <w:shd w:val="clear" w:color="auto" w:fill="auto"/>
            <w:vAlign w:val="center"/>
          </w:tcPr>
          <w:p>
            <w:pPr>
              <w:pStyle w:val="169"/>
            </w:pPr>
            <w:r>
              <w:rPr>
                <w:rFonts w:hint="eastAsia"/>
              </w:rPr>
              <w:t>影响因子</w:t>
            </w:r>
          </w:p>
        </w:tc>
        <w:tc>
          <w:tcPr>
            <w:tcW w:w="439" w:type="pct"/>
            <w:vMerge w:val="restart"/>
            <w:shd w:val="clear" w:color="auto" w:fill="auto"/>
            <w:vAlign w:val="center"/>
          </w:tcPr>
          <w:p>
            <w:pPr>
              <w:pStyle w:val="169"/>
            </w:pPr>
            <w:r>
              <w:rPr>
                <w:rFonts w:hint="eastAsia"/>
              </w:rPr>
              <w:t>影响对象</w:t>
            </w:r>
          </w:p>
        </w:tc>
        <w:tc>
          <w:tcPr>
            <w:tcW w:w="2365" w:type="pct"/>
            <w:gridSpan w:val="6"/>
            <w:shd w:val="clear" w:color="auto" w:fill="auto"/>
            <w:vAlign w:val="center"/>
          </w:tcPr>
          <w:p>
            <w:pPr>
              <w:pStyle w:val="169"/>
            </w:pPr>
            <w:r>
              <w:rPr>
                <w:rFonts w:hint="eastAsia"/>
              </w:rPr>
              <w:t>影响类型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9" w:type="pct"/>
            <w:vMerge w:val="continue"/>
            <w:shd w:val="clear" w:color="auto" w:fill="auto"/>
            <w:vAlign w:val="center"/>
          </w:tcPr>
          <w:p>
            <w:pPr>
              <w:pStyle w:val="169"/>
            </w:pPr>
          </w:p>
        </w:tc>
        <w:tc>
          <w:tcPr>
            <w:tcW w:w="235" w:type="pct"/>
            <w:vMerge w:val="continue"/>
            <w:shd w:val="clear" w:color="auto" w:fill="auto"/>
            <w:vAlign w:val="center"/>
          </w:tcPr>
          <w:p>
            <w:pPr>
              <w:pStyle w:val="169"/>
            </w:pPr>
          </w:p>
        </w:tc>
        <w:tc>
          <w:tcPr>
            <w:tcW w:w="781" w:type="pct"/>
            <w:vMerge w:val="continue"/>
            <w:shd w:val="clear" w:color="auto" w:fill="auto"/>
            <w:vAlign w:val="center"/>
          </w:tcPr>
          <w:p>
            <w:pPr>
              <w:pStyle w:val="169"/>
            </w:pPr>
          </w:p>
        </w:tc>
        <w:tc>
          <w:tcPr>
            <w:tcW w:w="731" w:type="pct"/>
            <w:vMerge w:val="continue"/>
            <w:shd w:val="clear" w:color="auto" w:fill="auto"/>
            <w:vAlign w:val="center"/>
          </w:tcPr>
          <w:p>
            <w:pPr>
              <w:pStyle w:val="169"/>
            </w:pPr>
          </w:p>
        </w:tc>
        <w:tc>
          <w:tcPr>
            <w:tcW w:w="439" w:type="pct"/>
            <w:vMerge w:val="continue"/>
            <w:shd w:val="clear" w:color="auto" w:fill="auto"/>
            <w:vAlign w:val="center"/>
          </w:tcPr>
          <w:p>
            <w:pPr>
              <w:pStyle w:val="169"/>
            </w:pPr>
          </w:p>
        </w:tc>
        <w:tc>
          <w:tcPr>
            <w:tcW w:w="416" w:type="pct"/>
            <w:shd w:val="clear" w:color="auto" w:fill="auto"/>
            <w:vAlign w:val="center"/>
          </w:tcPr>
          <w:p>
            <w:pPr>
              <w:pStyle w:val="169"/>
            </w:pPr>
            <w:r>
              <w:rPr>
                <w:rFonts w:hint="eastAsia"/>
              </w:rPr>
              <w:t>性质</w:t>
            </w:r>
          </w:p>
        </w:tc>
        <w:tc>
          <w:tcPr>
            <w:tcW w:w="417" w:type="pct"/>
            <w:shd w:val="clear" w:color="auto" w:fill="auto"/>
            <w:vAlign w:val="center"/>
          </w:tcPr>
          <w:p>
            <w:pPr>
              <w:pStyle w:val="169"/>
            </w:pPr>
            <w:r>
              <w:rPr>
                <w:rFonts w:hint="eastAsia"/>
              </w:rPr>
              <w:t>程度</w:t>
            </w:r>
          </w:p>
        </w:tc>
        <w:tc>
          <w:tcPr>
            <w:tcW w:w="332" w:type="pct"/>
            <w:shd w:val="clear" w:color="auto" w:fill="auto"/>
            <w:vAlign w:val="center"/>
          </w:tcPr>
          <w:p>
            <w:pPr>
              <w:pStyle w:val="169"/>
            </w:pPr>
            <w:r>
              <w:rPr>
                <w:rFonts w:hint="eastAsia"/>
              </w:rPr>
              <w:t>时间</w:t>
            </w:r>
          </w:p>
        </w:tc>
        <w:tc>
          <w:tcPr>
            <w:tcW w:w="416" w:type="pct"/>
            <w:shd w:val="clear" w:color="auto" w:fill="auto"/>
            <w:vAlign w:val="center"/>
          </w:tcPr>
          <w:p>
            <w:pPr>
              <w:pStyle w:val="169"/>
            </w:pPr>
            <w:r>
              <w:rPr>
                <w:rFonts w:hint="eastAsia"/>
              </w:rPr>
              <w:t>范围</w:t>
            </w:r>
          </w:p>
        </w:tc>
        <w:tc>
          <w:tcPr>
            <w:tcW w:w="456" w:type="pct"/>
            <w:shd w:val="clear" w:color="auto" w:fill="auto"/>
            <w:vAlign w:val="center"/>
          </w:tcPr>
          <w:p>
            <w:pPr>
              <w:pStyle w:val="169"/>
            </w:pPr>
            <w:r>
              <w:rPr>
                <w:rFonts w:hint="eastAsia"/>
              </w:rPr>
              <w:t>特点</w:t>
            </w:r>
          </w:p>
        </w:tc>
        <w:tc>
          <w:tcPr>
            <w:tcW w:w="328" w:type="pct"/>
            <w:shd w:val="clear" w:color="auto" w:fill="auto"/>
            <w:vAlign w:val="center"/>
          </w:tcPr>
          <w:p>
            <w:pPr>
              <w:pStyle w:val="169"/>
            </w:pPr>
            <w:r>
              <w:rPr>
                <w:rFonts w:hint="eastAsia"/>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Merge w:val="restart"/>
            <w:shd w:val="clear" w:color="auto" w:fill="auto"/>
            <w:vAlign w:val="center"/>
          </w:tcPr>
          <w:p>
            <w:pPr>
              <w:pStyle w:val="169"/>
            </w:pPr>
            <w:r>
              <w:rPr>
                <w:rFonts w:hint="eastAsia"/>
              </w:rPr>
              <w:t>营运期</w:t>
            </w:r>
          </w:p>
        </w:tc>
        <w:tc>
          <w:tcPr>
            <w:tcW w:w="235" w:type="pct"/>
            <w:vMerge w:val="restart"/>
            <w:shd w:val="clear" w:color="auto" w:fill="auto"/>
            <w:vAlign w:val="center"/>
          </w:tcPr>
          <w:p>
            <w:pPr>
              <w:pStyle w:val="169"/>
            </w:pPr>
            <w:r>
              <w:rPr>
                <w:rFonts w:hint="eastAsia"/>
              </w:rPr>
              <w:t>废气</w:t>
            </w:r>
          </w:p>
        </w:tc>
        <w:tc>
          <w:tcPr>
            <w:tcW w:w="781" w:type="pct"/>
            <w:shd w:val="clear" w:color="auto" w:fill="auto"/>
            <w:vAlign w:val="center"/>
          </w:tcPr>
          <w:p>
            <w:pPr>
              <w:pStyle w:val="169"/>
            </w:pPr>
            <w:r>
              <w:rPr>
                <w:rFonts w:hint="eastAsia"/>
              </w:rPr>
              <w:t>破袋</w:t>
            </w:r>
          </w:p>
        </w:tc>
        <w:tc>
          <w:tcPr>
            <w:tcW w:w="731" w:type="pct"/>
            <w:shd w:val="clear" w:color="auto" w:fill="auto"/>
            <w:vAlign w:val="center"/>
          </w:tcPr>
          <w:p>
            <w:pPr>
              <w:pStyle w:val="169"/>
            </w:pPr>
            <w:r>
              <w:rPr>
                <w:rFonts w:hint="eastAsia"/>
              </w:rPr>
              <w:t>粉尘</w:t>
            </w:r>
          </w:p>
        </w:tc>
        <w:tc>
          <w:tcPr>
            <w:tcW w:w="439" w:type="pct"/>
            <w:vMerge w:val="restart"/>
            <w:shd w:val="clear" w:color="auto" w:fill="auto"/>
            <w:vAlign w:val="center"/>
          </w:tcPr>
          <w:p>
            <w:pPr>
              <w:pStyle w:val="169"/>
            </w:pPr>
            <w:r>
              <w:rPr>
                <w:rFonts w:hint="eastAsia"/>
              </w:rPr>
              <w:t>环境空气</w:t>
            </w:r>
          </w:p>
        </w:tc>
        <w:tc>
          <w:tcPr>
            <w:tcW w:w="416" w:type="pct"/>
            <w:shd w:val="clear" w:color="auto" w:fill="auto"/>
            <w:vAlign w:val="center"/>
          </w:tcPr>
          <w:p>
            <w:pPr>
              <w:pStyle w:val="169"/>
            </w:pPr>
            <w:r>
              <w:rPr>
                <w:rFonts w:hint="eastAsia"/>
              </w:rPr>
              <w:t>不利</w:t>
            </w:r>
          </w:p>
        </w:tc>
        <w:tc>
          <w:tcPr>
            <w:tcW w:w="417" w:type="pct"/>
            <w:shd w:val="clear" w:color="auto" w:fill="auto"/>
            <w:vAlign w:val="center"/>
          </w:tcPr>
          <w:p>
            <w:pPr>
              <w:pStyle w:val="169"/>
            </w:pPr>
            <w:r>
              <w:rPr>
                <w:rFonts w:hint="eastAsia"/>
              </w:rPr>
              <w:t>较小</w:t>
            </w:r>
          </w:p>
        </w:tc>
        <w:tc>
          <w:tcPr>
            <w:tcW w:w="332" w:type="pct"/>
            <w:shd w:val="clear" w:color="auto" w:fill="auto"/>
            <w:vAlign w:val="center"/>
          </w:tcPr>
          <w:p>
            <w:pPr>
              <w:pStyle w:val="169"/>
            </w:pPr>
            <w:r>
              <w:rPr>
                <w:rFonts w:hint="eastAsia"/>
              </w:rPr>
              <w:t>短</w:t>
            </w:r>
          </w:p>
        </w:tc>
        <w:tc>
          <w:tcPr>
            <w:tcW w:w="416" w:type="pct"/>
            <w:shd w:val="clear" w:color="auto" w:fill="auto"/>
            <w:vAlign w:val="center"/>
          </w:tcPr>
          <w:p>
            <w:pPr>
              <w:pStyle w:val="169"/>
            </w:pPr>
            <w:r>
              <w:rPr>
                <w:rFonts w:hint="eastAsia"/>
              </w:rPr>
              <w:t>局部</w:t>
            </w:r>
          </w:p>
        </w:tc>
        <w:tc>
          <w:tcPr>
            <w:tcW w:w="456" w:type="pct"/>
            <w:shd w:val="clear" w:color="auto" w:fill="auto"/>
            <w:vAlign w:val="center"/>
          </w:tcPr>
          <w:p>
            <w:pPr>
              <w:pStyle w:val="169"/>
            </w:pPr>
            <w:r>
              <w:rPr>
                <w:rFonts w:hint="eastAsia"/>
              </w:rPr>
              <w:t>不可逆</w:t>
            </w:r>
          </w:p>
        </w:tc>
        <w:tc>
          <w:tcPr>
            <w:tcW w:w="328" w:type="pct"/>
            <w:shd w:val="clear" w:color="auto" w:fill="auto"/>
            <w:vAlign w:val="center"/>
          </w:tcPr>
          <w:p>
            <w:pPr>
              <w:pStyle w:val="169"/>
            </w:pPr>
            <w:r>
              <w:rPr>
                <w:rFonts w:hint="eastAsia"/>
              </w:rPr>
              <w:t>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Merge w:val="continue"/>
            <w:shd w:val="clear" w:color="auto" w:fill="auto"/>
            <w:vAlign w:val="center"/>
          </w:tcPr>
          <w:p>
            <w:pPr>
              <w:pStyle w:val="169"/>
            </w:pPr>
          </w:p>
        </w:tc>
        <w:tc>
          <w:tcPr>
            <w:tcW w:w="235" w:type="pct"/>
            <w:vMerge w:val="continue"/>
            <w:shd w:val="clear" w:color="auto" w:fill="auto"/>
            <w:vAlign w:val="center"/>
          </w:tcPr>
          <w:p>
            <w:pPr>
              <w:pStyle w:val="169"/>
            </w:pPr>
          </w:p>
        </w:tc>
        <w:tc>
          <w:tcPr>
            <w:tcW w:w="781" w:type="pct"/>
            <w:shd w:val="clear" w:color="auto" w:fill="auto"/>
            <w:vAlign w:val="center"/>
          </w:tcPr>
          <w:p>
            <w:pPr>
              <w:pStyle w:val="169"/>
            </w:pPr>
            <w:r>
              <w:rPr>
                <w:rFonts w:hint="eastAsia"/>
              </w:rPr>
              <w:t>回炉利用</w:t>
            </w:r>
          </w:p>
        </w:tc>
        <w:tc>
          <w:tcPr>
            <w:tcW w:w="731" w:type="pct"/>
            <w:shd w:val="clear" w:color="auto" w:fill="auto"/>
            <w:vAlign w:val="center"/>
          </w:tcPr>
          <w:p>
            <w:pPr>
              <w:pStyle w:val="169"/>
            </w:pPr>
            <w:r>
              <w:rPr>
                <w:rFonts w:hint="eastAsia"/>
              </w:rPr>
              <w:t>铅、铬和镉及其化合物</w:t>
            </w:r>
          </w:p>
        </w:tc>
        <w:tc>
          <w:tcPr>
            <w:tcW w:w="439" w:type="pct"/>
            <w:vMerge w:val="continue"/>
            <w:shd w:val="clear" w:color="auto" w:fill="auto"/>
            <w:vAlign w:val="center"/>
          </w:tcPr>
          <w:p>
            <w:pPr>
              <w:pStyle w:val="169"/>
            </w:pPr>
          </w:p>
        </w:tc>
        <w:tc>
          <w:tcPr>
            <w:tcW w:w="416" w:type="pct"/>
            <w:shd w:val="clear" w:color="auto" w:fill="auto"/>
            <w:vAlign w:val="center"/>
          </w:tcPr>
          <w:p>
            <w:pPr>
              <w:pStyle w:val="169"/>
            </w:pPr>
            <w:r>
              <w:rPr>
                <w:rFonts w:hint="eastAsia"/>
              </w:rPr>
              <w:t>不利</w:t>
            </w:r>
          </w:p>
        </w:tc>
        <w:tc>
          <w:tcPr>
            <w:tcW w:w="417" w:type="pct"/>
            <w:shd w:val="clear" w:color="auto" w:fill="auto"/>
            <w:vAlign w:val="center"/>
          </w:tcPr>
          <w:p>
            <w:pPr>
              <w:pStyle w:val="169"/>
            </w:pPr>
            <w:r>
              <w:rPr>
                <w:rFonts w:hint="eastAsia"/>
              </w:rPr>
              <w:t>较小</w:t>
            </w:r>
          </w:p>
        </w:tc>
        <w:tc>
          <w:tcPr>
            <w:tcW w:w="332" w:type="pct"/>
            <w:shd w:val="clear" w:color="auto" w:fill="auto"/>
            <w:vAlign w:val="center"/>
          </w:tcPr>
          <w:p>
            <w:pPr>
              <w:pStyle w:val="169"/>
            </w:pPr>
            <w:r>
              <w:rPr>
                <w:rFonts w:hint="eastAsia"/>
              </w:rPr>
              <w:t>长</w:t>
            </w:r>
          </w:p>
        </w:tc>
        <w:tc>
          <w:tcPr>
            <w:tcW w:w="416" w:type="pct"/>
            <w:shd w:val="clear" w:color="auto" w:fill="auto"/>
            <w:vAlign w:val="center"/>
          </w:tcPr>
          <w:p>
            <w:pPr>
              <w:pStyle w:val="169"/>
            </w:pPr>
            <w:r>
              <w:rPr>
                <w:rFonts w:hint="eastAsia"/>
              </w:rPr>
              <w:t>局部</w:t>
            </w:r>
          </w:p>
        </w:tc>
        <w:tc>
          <w:tcPr>
            <w:tcW w:w="456" w:type="pct"/>
            <w:shd w:val="clear" w:color="auto" w:fill="auto"/>
            <w:vAlign w:val="center"/>
          </w:tcPr>
          <w:p>
            <w:pPr>
              <w:pStyle w:val="169"/>
            </w:pPr>
            <w:r>
              <w:rPr>
                <w:rFonts w:hint="eastAsia"/>
              </w:rPr>
              <w:t>不可逆</w:t>
            </w:r>
          </w:p>
        </w:tc>
        <w:tc>
          <w:tcPr>
            <w:tcW w:w="328" w:type="pct"/>
            <w:shd w:val="clear" w:color="auto" w:fill="auto"/>
            <w:vAlign w:val="center"/>
          </w:tcPr>
          <w:p>
            <w:pPr>
              <w:pStyle w:val="169"/>
            </w:pPr>
            <w:r>
              <w:rPr>
                <w:rFonts w:hint="eastAsia"/>
              </w:rPr>
              <w:t>直接</w:t>
            </w:r>
          </w:p>
        </w:tc>
      </w:tr>
    </w:tbl>
    <w:p/>
    <w:p>
      <w:pPr>
        <w:ind w:firstLine="0" w:firstLineChars="0"/>
        <w:rPr>
          <w:b/>
        </w:rPr>
      </w:pPr>
      <w:r>
        <w:rPr>
          <w:rFonts w:hint="eastAsia"/>
          <w:b/>
        </w:rPr>
        <w:t>1.4.2评价因子</w:t>
      </w:r>
    </w:p>
    <w:p>
      <w:r>
        <w:rPr>
          <w:rFonts w:hint="eastAsia"/>
        </w:rPr>
        <w:t>根据上述环境影响分析及评价因子识别结果，筛选出环境影响评价因子如下：</w:t>
      </w:r>
    </w:p>
    <w:p>
      <w:r>
        <w:rPr>
          <w:rFonts w:hint="eastAsia"/>
        </w:rPr>
        <w:t>（1）现状评价因子</w:t>
      </w:r>
    </w:p>
    <w:p>
      <w:r>
        <w:rPr>
          <w:rFonts w:hint="eastAsia"/>
        </w:rPr>
        <w:t>SO</w:t>
      </w:r>
      <w:r>
        <w:rPr>
          <w:rFonts w:hint="eastAsia"/>
          <w:vertAlign w:val="subscript"/>
        </w:rPr>
        <w:t>2</w:t>
      </w:r>
      <w:r>
        <w:rPr>
          <w:rFonts w:hint="eastAsia"/>
        </w:rPr>
        <w:t>、NO</w:t>
      </w:r>
      <w:r>
        <w:rPr>
          <w:rFonts w:hint="eastAsia"/>
          <w:vertAlign w:val="subscript"/>
        </w:rPr>
        <w:t>2</w:t>
      </w:r>
      <w:r>
        <w:rPr>
          <w:rFonts w:hint="eastAsia"/>
        </w:rPr>
        <w:t>、PM</w:t>
      </w:r>
      <w:r>
        <w:rPr>
          <w:rFonts w:hint="eastAsia"/>
          <w:vertAlign w:val="subscript"/>
        </w:rPr>
        <w:t>10</w:t>
      </w:r>
      <w:r>
        <w:rPr>
          <w:rFonts w:hint="eastAsia"/>
        </w:rPr>
        <w:t>、PM</w:t>
      </w:r>
      <w:r>
        <w:rPr>
          <w:rFonts w:hint="eastAsia"/>
          <w:vertAlign w:val="subscript"/>
        </w:rPr>
        <w:t>2.5</w:t>
      </w:r>
      <w:r>
        <w:rPr>
          <w:rFonts w:hint="eastAsia"/>
        </w:rPr>
        <w:t>、CO、O</w:t>
      </w:r>
      <w:r>
        <w:rPr>
          <w:rFonts w:hint="eastAsia"/>
          <w:vertAlign w:val="subscript"/>
        </w:rPr>
        <w:t>3</w:t>
      </w:r>
      <w:r>
        <w:rPr>
          <w:rFonts w:hint="eastAsia"/>
        </w:rPr>
        <w:t>、铅、铬和镉。</w:t>
      </w:r>
    </w:p>
    <w:p>
      <w:r>
        <w:rPr>
          <w:rFonts w:hint="eastAsia"/>
        </w:rPr>
        <w:t>（2）营运期预测、分析评价因子</w:t>
      </w:r>
    </w:p>
    <w:p>
      <w:r>
        <w:rPr>
          <w:rFonts w:hint="eastAsia"/>
        </w:rPr>
        <w:t>粉尘、铅、铬和镉及其化合物。</w:t>
      </w:r>
    </w:p>
    <w:p>
      <w:pPr>
        <w:ind w:firstLine="0" w:firstLineChars="0"/>
        <w:rPr>
          <w:b/>
          <w:sz w:val="28"/>
          <w:szCs w:val="28"/>
        </w:rPr>
      </w:pPr>
      <w:r>
        <w:rPr>
          <w:rFonts w:hint="eastAsia"/>
          <w:b/>
          <w:sz w:val="28"/>
          <w:szCs w:val="28"/>
        </w:rPr>
        <w:t>1.5评价标准</w:t>
      </w:r>
    </w:p>
    <w:p>
      <w:pPr>
        <w:ind w:firstLine="0" w:firstLineChars="0"/>
        <w:rPr>
          <w:b/>
        </w:rPr>
      </w:pPr>
      <w:r>
        <w:rPr>
          <w:rFonts w:hint="eastAsia"/>
          <w:b/>
        </w:rPr>
        <w:t>1.4.1环境质量标准</w:t>
      </w:r>
    </w:p>
    <w:p>
      <w:r>
        <w:rPr>
          <w:rFonts w:hint="eastAsia"/>
        </w:rPr>
        <w:t>根据《重庆市环境空气质量功能区划分规定》（渝府发</w:t>
      </w:r>
      <w:r>
        <w:rPr>
          <w:rFonts w:hint="eastAsia"/>
          <w:lang w:eastAsia="zh-CN"/>
        </w:rPr>
        <w:t>〔</w:t>
      </w:r>
      <w:r>
        <w:rPr>
          <w:rFonts w:hint="eastAsia"/>
        </w:rPr>
        <w:t>2016</w:t>
      </w:r>
      <w:r>
        <w:rPr>
          <w:rFonts w:hint="eastAsia"/>
          <w:lang w:eastAsia="zh-CN"/>
        </w:rPr>
        <w:t>〕</w:t>
      </w:r>
      <w:r>
        <w:rPr>
          <w:rFonts w:hint="eastAsia"/>
        </w:rPr>
        <w:t>19号）规定，本项目所在地环境空气功能区划为二类区，环境空气质量执行《环境空气质量标准》（GB3095-2012）中二级标准。具体详见专项表1.5.1-1。</w:t>
      </w:r>
    </w:p>
    <w:p>
      <w:pPr>
        <w:pStyle w:val="3230"/>
        <w:rPr>
          <w:rFonts w:eastAsiaTheme="minorEastAsia"/>
          <w:color w:val="auto"/>
          <w:szCs w:val="21"/>
        </w:rPr>
      </w:pPr>
      <w:r>
        <w:rPr>
          <w:rFonts w:hint="eastAsia" w:eastAsiaTheme="minorEastAsia"/>
          <w:color w:val="auto"/>
          <w:szCs w:val="21"/>
        </w:rPr>
        <w:t xml:space="preserve">专项表1.4.1-1    </w:t>
      </w:r>
      <w:r>
        <w:rPr>
          <w:rFonts w:eastAsiaTheme="minorEastAsia"/>
          <w:color w:val="auto"/>
          <w:szCs w:val="21"/>
        </w:rPr>
        <w:t>环境空气质量标准限值</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6"/>
        <w:gridCol w:w="2330"/>
        <w:gridCol w:w="1782"/>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891" w:type="pct"/>
            <w:noWrap/>
            <w:vAlign w:val="center"/>
          </w:tcPr>
          <w:p>
            <w:pPr>
              <w:pStyle w:val="169"/>
            </w:pPr>
            <w:r>
              <w:t>污染物名称</w:t>
            </w:r>
          </w:p>
        </w:tc>
        <w:tc>
          <w:tcPr>
            <w:tcW w:w="1309" w:type="pct"/>
            <w:tcBorders>
              <w:right w:val="single" w:color="auto" w:sz="4" w:space="0"/>
            </w:tcBorders>
            <w:vAlign w:val="center"/>
          </w:tcPr>
          <w:p>
            <w:pPr>
              <w:pStyle w:val="169"/>
            </w:pPr>
            <w:r>
              <w:rPr>
                <w:rFonts w:hint="eastAsia"/>
              </w:rPr>
              <w:t>平均时间</w:t>
            </w:r>
          </w:p>
        </w:tc>
        <w:tc>
          <w:tcPr>
            <w:tcW w:w="1001" w:type="pct"/>
            <w:tcBorders>
              <w:left w:val="single" w:color="auto" w:sz="4" w:space="0"/>
            </w:tcBorders>
            <w:vAlign w:val="center"/>
          </w:tcPr>
          <w:p>
            <w:pPr>
              <w:pStyle w:val="169"/>
            </w:pPr>
            <w:r>
              <w:t>浓度限值（μg/m</w:t>
            </w:r>
            <w:r>
              <w:rPr>
                <w:vertAlign w:val="superscript"/>
              </w:rPr>
              <w:t>3</w:t>
            </w:r>
            <w:r>
              <w:t>）</w:t>
            </w:r>
          </w:p>
        </w:tc>
        <w:tc>
          <w:tcPr>
            <w:tcW w:w="1799" w:type="pct"/>
            <w:tcBorders>
              <w:left w:val="single" w:color="auto" w:sz="4" w:space="0"/>
            </w:tcBorders>
            <w:vAlign w:val="center"/>
          </w:tcPr>
          <w:p>
            <w:pPr>
              <w:pStyle w:val="169"/>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restart"/>
            <w:noWrap/>
            <w:vAlign w:val="center"/>
          </w:tcPr>
          <w:p>
            <w:pPr>
              <w:pStyle w:val="169"/>
            </w:pPr>
            <w:r>
              <w:t>PM</w:t>
            </w:r>
            <w:r>
              <w:rPr>
                <w:vertAlign w:val="subscript"/>
              </w:rPr>
              <w:t>10</w:t>
            </w:r>
          </w:p>
        </w:tc>
        <w:tc>
          <w:tcPr>
            <w:tcW w:w="1309" w:type="pct"/>
            <w:tcBorders>
              <w:right w:val="single" w:color="auto" w:sz="4" w:space="0"/>
            </w:tcBorders>
            <w:vAlign w:val="center"/>
          </w:tcPr>
          <w:p>
            <w:pPr>
              <w:pStyle w:val="169"/>
            </w:pPr>
            <w:r>
              <w:t>年平均</w:t>
            </w:r>
          </w:p>
        </w:tc>
        <w:tc>
          <w:tcPr>
            <w:tcW w:w="1001" w:type="pct"/>
            <w:tcBorders>
              <w:left w:val="single" w:color="auto" w:sz="4" w:space="0"/>
            </w:tcBorders>
            <w:vAlign w:val="center"/>
          </w:tcPr>
          <w:p>
            <w:pPr>
              <w:pStyle w:val="169"/>
            </w:pPr>
            <w:r>
              <w:rPr>
                <w:rFonts w:hint="eastAsia"/>
              </w:rPr>
              <w:t>70</w:t>
            </w:r>
          </w:p>
        </w:tc>
        <w:tc>
          <w:tcPr>
            <w:tcW w:w="1799" w:type="pct"/>
            <w:vMerge w:val="restart"/>
            <w:tcBorders>
              <w:left w:val="single" w:color="auto" w:sz="4" w:space="0"/>
            </w:tcBorders>
            <w:vAlign w:val="center"/>
          </w:tcPr>
          <w:p>
            <w:pPr>
              <w:pStyle w:val="169"/>
            </w:pPr>
          </w:p>
          <w:p>
            <w:pPr>
              <w:pStyle w:val="169"/>
            </w:pPr>
          </w:p>
          <w:p>
            <w:pPr>
              <w:pStyle w:val="169"/>
            </w:pPr>
          </w:p>
          <w:p>
            <w:pPr>
              <w:pStyle w:val="169"/>
            </w:pPr>
          </w:p>
          <w:p>
            <w:pPr>
              <w:pStyle w:val="169"/>
            </w:pPr>
          </w:p>
          <w:p>
            <w:pPr>
              <w:pStyle w:val="169"/>
            </w:pPr>
          </w:p>
          <w:p>
            <w:pPr>
              <w:pStyle w:val="169"/>
            </w:pPr>
          </w:p>
          <w:p>
            <w:pPr>
              <w:pStyle w:val="169"/>
            </w:pPr>
            <w:r>
              <w:rPr>
                <w:rFonts w:hint="eastAsia"/>
              </w:rPr>
              <w:t>《环境空气质量标准》（GB3095-2012）中二级标准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continue"/>
            <w:noWrap/>
            <w:vAlign w:val="center"/>
          </w:tcPr>
          <w:p>
            <w:pPr>
              <w:pStyle w:val="169"/>
            </w:pPr>
          </w:p>
        </w:tc>
        <w:tc>
          <w:tcPr>
            <w:tcW w:w="1309" w:type="pct"/>
            <w:tcBorders>
              <w:right w:val="single" w:color="auto" w:sz="4" w:space="0"/>
            </w:tcBorders>
            <w:vAlign w:val="center"/>
          </w:tcPr>
          <w:p>
            <w:pPr>
              <w:pStyle w:val="169"/>
            </w:pPr>
            <w:r>
              <w:t>24小时平均</w:t>
            </w:r>
          </w:p>
        </w:tc>
        <w:tc>
          <w:tcPr>
            <w:tcW w:w="1001" w:type="pct"/>
            <w:tcBorders>
              <w:left w:val="single" w:color="auto" w:sz="4" w:space="0"/>
            </w:tcBorders>
            <w:vAlign w:val="center"/>
          </w:tcPr>
          <w:p>
            <w:pPr>
              <w:pStyle w:val="169"/>
            </w:pPr>
            <w:r>
              <w:rPr>
                <w:rFonts w:hint="eastAsia"/>
              </w:rPr>
              <w:t>150</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restart"/>
            <w:noWrap/>
            <w:vAlign w:val="center"/>
          </w:tcPr>
          <w:p>
            <w:pPr>
              <w:pStyle w:val="169"/>
            </w:pPr>
            <w:r>
              <w:t>SO</w:t>
            </w:r>
            <w:r>
              <w:rPr>
                <w:vertAlign w:val="subscript"/>
              </w:rPr>
              <w:t>2</w:t>
            </w:r>
          </w:p>
        </w:tc>
        <w:tc>
          <w:tcPr>
            <w:tcW w:w="1309" w:type="pct"/>
            <w:tcBorders>
              <w:right w:val="single" w:color="auto" w:sz="4" w:space="0"/>
            </w:tcBorders>
            <w:vAlign w:val="center"/>
          </w:tcPr>
          <w:p>
            <w:pPr>
              <w:pStyle w:val="169"/>
            </w:pPr>
            <w:r>
              <w:t>年平均</w:t>
            </w:r>
          </w:p>
        </w:tc>
        <w:tc>
          <w:tcPr>
            <w:tcW w:w="1001" w:type="pct"/>
            <w:tcBorders>
              <w:left w:val="single" w:color="auto" w:sz="4" w:space="0"/>
            </w:tcBorders>
            <w:vAlign w:val="center"/>
          </w:tcPr>
          <w:p>
            <w:pPr>
              <w:pStyle w:val="169"/>
            </w:pPr>
            <w:r>
              <w:rPr>
                <w:rFonts w:hint="eastAsia"/>
              </w:rPr>
              <w:t>60</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continue"/>
            <w:noWrap/>
            <w:vAlign w:val="center"/>
          </w:tcPr>
          <w:p>
            <w:pPr>
              <w:pStyle w:val="169"/>
            </w:pPr>
          </w:p>
        </w:tc>
        <w:tc>
          <w:tcPr>
            <w:tcW w:w="1309" w:type="pct"/>
            <w:tcBorders>
              <w:right w:val="single" w:color="auto" w:sz="4" w:space="0"/>
            </w:tcBorders>
            <w:vAlign w:val="center"/>
          </w:tcPr>
          <w:p>
            <w:pPr>
              <w:pStyle w:val="169"/>
            </w:pPr>
            <w:r>
              <w:t>24小时平均</w:t>
            </w:r>
          </w:p>
        </w:tc>
        <w:tc>
          <w:tcPr>
            <w:tcW w:w="1001" w:type="pct"/>
            <w:tcBorders>
              <w:left w:val="single" w:color="auto" w:sz="4" w:space="0"/>
            </w:tcBorders>
            <w:vAlign w:val="center"/>
          </w:tcPr>
          <w:p>
            <w:pPr>
              <w:pStyle w:val="169"/>
            </w:pPr>
            <w:r>
              <w:rPr>
                <w:rFonts w:hint="eastAsia"/>
              </w:rPr>
              <w:t>150</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continue"/>
            <w:noWrap/>
            <w:vAlign w:val="center"/>
          </w:tcPr>
          <w:p>
            <w:pPr>
              <w:pStyle w:val="169"/>
            </w:pPr>
          </w:p>
        </w:tc>
        <w:tc>
          <w:tcPr>
            <w:tcW w:w="1309" w:type="pct"/>
            <w:tcBorders>
              <w:right w:val="single" w:color="auto" w:sz="4" w:space="0"/>
            </w:tcBorders>
            <w:vAlign w:val="center"/>
          </w:tcPr>
          <w:p>
            <w:pPr>
              <w:pStyle w:val="169"/>
            </w:pPr>
            <w:r>
              <w:t>1小时平均</w:t>
            </w:r>
          </w:p>
        </w:tc>
        <w:tc>
          <w:tcPr>
            <w:tcW w:w="1001" w:type="pct"/>
            <w:tcBorders>
              <w:left w:val="single" w:color="auto" w:sz="4" w:space="0"/>
            </w:tcBorders>
            <w:vAlign w:val="center"/>
          </w:tcPr>
          <w:p>
            <w:pPr>
              <w:pStyle w:val="169"/>
            </w:pPr>
            <w:r>
              <w:rPr>
                <w:rFonts w:hint="eastAsia"/>
              </w:rPr>
              <w:t>500</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restart"/>
            <w:noWrap/>
            <w:vAlign w:val="center"/>
          </w:tcPr>
          <w:p>
            <w:pPr>
              <w:pStyle w:val="169"/>
            </w:pPr>
            <w:r>
              <w:t>NO</w:t>
            </w:r>
            <w:r>
              <w:rPr>
                <w:vertAlign w:val="subscript"/>
              </w:rPr>
              <w:t>2</w:t>
            </w:r>
          </w:p>
        </w:tc>
        <w:tc>
          <w:tcPr>
            <w:tcW w:w="1309" w:type="pct"/>
            <w:tcBorders>
              <w:right w:val="single" w:color="auto" w:sz="4" w:space="0"/>
            </w:tcBorders>
            <w:vAlign w:val="center"/>
          </w:tcPr>
          <w:p>
            <w:pPr>
              <w:pStyle w:val="169"/>
            </w:pPr>
            <w:r>
              <w:t>年平均</w:t>
            </w:r>
          </w:p>
        </w:tc>
        <w:tc>
          <w:tcPr>
            <w:tcW w:w="1001" w:type="pct"/>
            <w:tcBorders>
              <w:left w:val="single" w:color="auto" w:sz="4" w:space="0"/>
            </w:tcBorders>
            <w:vAlign w:val="center"/>
          </w:tcPr>
          <w:p>
            <w:pPr>
              <w:pStyle w:val="169"/>
            </w:pPr>
            <w:r>
              <w:rPr>
                <w:rFonts w:hint="eastAsia"/>
              </w:rPr>
              <w:t>40</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continue"/>
            <w:noWrap/>
            <w:vAlign w:val="center"/>
          </w:tcPr>
          <w:p>
            <w:pPr>
              <w:pStyle w:val="169"/>
            </w:pPr>
          </w:p>
        </w:tc>
        <w:tc>
          <w:tcPr>
            <w:tcW w:w="1309" w:type="pct"/>
            <w:tcBorders>
              <w:right w:val="single" w:color="auto" w:sz="4" w:space="0"/>
            </w:tcBorders>
            <w:vAlign w:val="center"/>
          </w:tcPr>
          <w:p>
            <w:pPr>
              <w:pStyle w:val="169"/>
            </w:pPr>
            <w:r>
              <w:t>24小时平均</w:t>
            </w:r>
          </w:p>
        </w:tc>
        <w:tc>
          <w:tcPr>
            <w:tcW w:w="1001" w:type="pct"/>
            <w:tcBorders>
              <w:left w:val="single" w:color="auto" w:sz="4" w:space="0"/>
            </w:tcBorders>
            <w:vAlign w:val="center"/>
          </w:tcPr>
          <w:p>
            <w:pPr>
              <w:pStyle w:val="169"/>
            </w:pPr>
            <w:r>
              <w:rPr>
                <w:rFonts w:hint="eastAsia"/>
              </w:rPr>
              <w:t>80</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continue"/>
            <w:noWrap/>
            <w:vAlign w:val="center"/>
          </w:tcPr>
          <w:p>
            <w:pPr>
              <w:pStyle w:val="169"/>
            </w:pPr>
          </w:p>
        </w:tc>
        <w:tc>
          <w:tcPr>
            <w:tcW w:w="1309" w:type="pct"/>
            <w:tcBorders>
              <w:right w:val="single" w:color="auto" w:sz="4" w:space="0"/>
            </w:tcBorders>
            <w:vAlign w:val="center"/>
          </w:tcPr>
          <w:p>
            <w:pPr>
              <w:pStyle w:val="169"/>
            </w:pPr>
            <w:r>
              <w:t>1小时平均</w:t>
            </w:r>
          </w:p>
        </w:tc>
        <w:tc>
          <w:tcPr>
            <w:tcW w:w="1001" w:type="pct"/>
            <w:tcBorders>
              <w:left w:val="single" w:color="auto" w:sz="4" w:space="0"/>
            </w:tcBorders>
            <w:vAlign w:val="center"/>
          </w:tcPr>
          <w:p>
            <w:pPr>
              <w:pStyle w:val="169"/>
            </w:pPr>
            <w:r>
              <w:rPr>
                <w:rFonts w:hint="eastAsia"/>
              </w:rPr>
              <w:t>200</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restart"/>
            <w:noWrap/>
            <w:vAlign w:val="center"/>
          </w:tcPr>
          <w:p>
            <w:pPr>
              <w:pStyle w:val="169"/>
            </w:pPr>
            <w:r>
              <w:t>PM</w:t>
            </w:r>
            <w:r>
              <w:rPr>
                <w:vertAlign w:val="subscript"/>
              </w:rPr>
              <w:t>2.5</w:t>
            </w:r>
          </w:p>
        </w:tc>
        <w:tc>
          <w:tcPr>
            <w:tcW w:w="1309" w:type="pct"/>
            <w:tcBorders>
              <w:right w:val="single" w:color="auto" w:sz="4" w:space="0"/>
            </w:tcBorders>
            <w:vAlign w:val="center"/>
          </w:tcPr>
          <w:p>
            <w:pPr>
              <w:pStyle w:val="169"/>
            </w:pPr>
            <w:r>
              <w:t>年平均</w:t>
            </w:r>
          </w:p>
        </w:tc>
        <w:tc>
          <w:tcPr>
            <w:tcW w:w="1001" w:type="pct"/>
            <w:tcBorders>
              <w:left w:val="single" w:color="auto" w:sz="4" w:space="0"/>
            </w:tcBorders>
            <w:vAlign w:val="center"/>
          </w:tcPr>
          <w:p>
            <w:pPr>
              <w:pStyle w:val="169"/>
            </w:pPr>
            <w:r>
              <w:rPr>
                <w:rFonts w:hint="eastAsia"/>
              </w:rPr>
              <w:t>35</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continue"/>
            <w:noWrap/>
            <w:vAlign w:val="center"/>
          </w:tcPr>
          <w:p>
            <w:pPr>
              <w:pStyle w:val="169"/>
            </w:pPr>
          </w:p>
        </w:tc>
        <w:tc>
          <w:tcPr>
            <w:tcW w:w="1309" w:type="pct"/>
            <w:tcBorders>
              <w:right w:val="single" w:color="auto" w:sz="4" w:space="0"/>
            </w:tcBorders>
            <w:vAlign w:val="center"/>
          </w:tcPr>
          <w:p>
            <w:pPr>
              <w:pStyle w:val="169"/>
            </w:pPr>
            <w:r>
              <w:t>24小时平均</w:t>
            </w:r>
          </w:p>
        </w:tc>
        <w:tc>
          <w:tcPr>
            <w:tcW w:w="1001" w:type="pct"/>
            <w:tcBorders>
              <w:left w:val="single" w:color="auto" w:sz="4" w:space="0"/>
            </w:tcBorders>
            <w:vAlign w:val="center"/>
          </w:tcPr>
          <w:p>
            <w:pPr>
              <w:pStyle w:val="169"/>
            </w:pPr>
            <w:r>
              <w:rPr>
                <w:rFonts w:hint="eastAsia"/>
              </w:rPr>
              <w:t>75</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restart"/>
            <w:noWrap/>
            <w:vAlign w:val="center"/>
          </w:tcPr>
          <w:p>
            <w:pPr>
              <w:pStyle w:val="169"/>
            </w:pPr>
            <w:r>
              <w:t>O</w:t>
            </w:r>
            <w:r>
              <w:rPr>
                <w:vertAlign w:val="subscript"/>
              </w:rPr>
              <w:t>3</w:t>
            </w:r>
          </w:p>
        </w:tc>
        <w:tc>
          <w:tcPr>
            <w:tcW w:w="1309" w:type="pct"/>
            <w:tcBorders>
              <w:right w:val="single" w:color="auto" w:sz="4" w:space="0"/>
            </w:tcBorders>
            <w:vAlign w:val="center"/>
          </w:tcPr>
          <w:p>
            <w:pPr>
              <w:pStyle w:val="169"/>
            </w:pPr>
            <w:r>
              <w:t>日最大8小时平均</w:t>
            </w:r>
          </w:p>
        </w:tc>
        <w:tc>
          <w:tcPr>
            <w:tcW w:w="1001" w:type="pct"/>
            <w:tcBorders>
              <w:left w:val="single" w:color="auto" w:sz="4" w:space="0"/>
            </w:tcBorders>
            <w:vAlign w:val="center"/>
          </w:tcPr>
          <w:p>
            <w:pPr>
              <w:pStyle w:val="169"/>
            </w:pPr>
            <w:r>
              <w:rPr>
                <w:rFonts w:hint="eastAsia"/>
              </w:rPr>
              <w:t>160</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continue"/>
            <w:noWrap/>
            <w:vAlign w:val="center"/>
          </w:tcPr>
          <w:p>
            <w:pPr>
              <w:pStyle w:val="169"/>
            </w:pPr>
          </w:p>
        </w:tc>
        <w:tc>
          <w:tcPr>
            <w:tcW w:w="1309" w:type="pct"/>
            <w:tcBorders>
              <w:right w:val="single" w:color="auto" w:sz="4" w:space="0"/>
            </w:tcBorders>
            <w:vAlign w:val="center"/>
          </w:tcPr>
          <w:p>
            <w:pPr>
              <w:pStyle w:val="169"/>
            </w:pPr>
            <w:r>
              <w:t>1小时平均</w:t>
            </w:r>
          </w:p>
        </w:tc>
        <w:tc>
          <w:tcPr>
            <w:tcW w:w="1001" w:type="pct"/>
            <w:tcBorders>
              <w:left w:val="single" w:color="auto" w:sz="4" w:space="0"/>
            </w:tcBorders>
            <w:vAlign w:val="center"/>
          </w:tcPr>
          <w:p>
            <w:pPr>
              <w:pStyle w:val="169"/>
            </w:pPr>
            <w:r>
              <w:rPr>
                <w:rFonts w:hint="eastAsia"/>
              </w:rPr>
              <w:t>200</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restart"/>
            <w:noWrap/>
            <w:vAlign w:val="center"/>
          </w:tcPr>
          <w:p>
            <w:pPr>
              <w:pStyle w:val="169"/>
            </w:pPr>
            <w:r>
              <w:t>CO</w:t>
            </w:r>
          </w:p>
        </w:tc>
        <w:tc>
          <w:tcPr>
            <w:tcW w:w="1309" w:type="pct"/>
            <w:tcBorders>
              <w:right w:val="single" w:color="auto" w:sz="4" w:space="0"/>
            </w:tcBorders>
            <w:vAlign w:val="center"/>
          </w:tcPr>
          <w:p>
            <w:pPr>
              <w:pStyle w:val="169"/>
            </w:pPr>
            <w:r>
              <w:t>24小时平均</w:t>
            </w:r>
          </w:p>
        </w:tc>
        <w:tc>
          <w:tcPr>
            <w:tcW w:w="1001" w:type="pct"/>
            <w:tcBorders>
              <w:left w:val="single" w:color="auto" w:sz="4" w:space="0"/>
            </w:tcBorders>
            <w:vAlign w:val="center"/>
          </w:tcPr>
          <w:p>
            <w:pPr>
              <w:pStyle w:val="169"/>
            </w:pPr>
            <w:r>
              <w:t>4</w:t>
            </w:r>
            <w:r>
              <w:rPr>
                <w:rFonts w:hint="eastAsia"/>
              </w:rPr>
              <w:t>000</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continue"/>
            <w:noWrap/>
            <w:vAlign w:val="center"/>
          </w:tcPr>
          <w:p>
            <w:pPr>
              <w:pStyle w:val="169"/>
            </w:pPr>
          </w:p>
        </w:tc>
        <w:tc>
          <w:tcPr>
            <w:tcW w:w="1309" w:type="pct"/>
            <w:tcBorders>
              <w:right w:val="single" w:color="auto" w:sz="4" w:space="0"/>
            </w:tcBorders>
            <w:vAlign w:val="center"/>
          </w:tcPr>
          <w:p>
            <w:pPr>
              <w:pStyle w:val="169"/>
            </w:pPr>
            <w:r>
              <w:t>1小时平均</w:t>
            </w:r>
          </w:p>
        </w:tc>
        <w:tc>
          <w:tcPr>
            <w:tcW w:w="1001" w:type="pct"/>
            <w:tcBorders>
              <w:left w:val="single" w:color="auto" w:sz="4" w:space="0"/>
            </w:tcBorders>
            <w:vAlign w:val="center"/>
          </w:tcPr>
          <w:p>
            <w:pPr>
              <w:pStyle w:val="169"/>
            </w:pPr>
            <w:r>
              <w:t>10</w:t>
            </w:r>
            <w:r>
              <w:rPr>
                <w:rFonts w:hint="eastAsia"/>
              </w:rPr>
              <w:t>000</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restart"/>
            <w:noWrap/>
            <w:vAlign w:val="center"/>
          </w:tcPr>
          <w:p>
            <w:pPr>
              <w:pStyle w:val="169"/>
            </w:pPr>
            <w:r>
              <w:rPr>
                <w:rFonts w:hint="eastAsia"/>
              </w:rPr>
              <w:t>铅</w:t>
            </w:r>
          </w:p>
        </w:tc>
        <w:tc>
          <w:tcPr>
            <w:tcW w:w="1309" w:type="pct"/>
            <w:tcBorders>
              <w:right w:val="single" w:color="auto" w:sz="4" w:space="0"/>
            </w:tcBorders>
            <w:vAlign w:val="center"/>
          </w:tcPr>
          <w:p>
            <w:pPr>
              <w:pStyle w:val="169"/>
            </w:pPr>
            <w:r>
              <w:t>年平均</w:t>
            </w:r>
          </w:p>
        </w:tc>
        <w:tc>
          <w:tcPr>
            <w:tcW w:w="1001" w:type="pct"/>
            <w:tcBorders>
              <w:left w:val="single" w:color="auto" w:sz="4" w:space="0"/>
            </w:tcBorders>
            <w:vAlign w:val="center"/>
          </w:tcPr>
          <w:p>
            <w:pPr>
              <w:pStyle w:val="169"/>
            </w:pPr>
            <w:r>
              <w:rPr>
                <w:rFonts w:hint="eastAsia"/>
              </w:rPr>
              <w:t>0.5</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1" w:type="pct"/>
            <w:vMerge w:val="continue"/>
            <w:noWrap/>
            <w:vAlign w:val="center"/>
          </w:tcPr>
          <w:p>
            <w:pPr>
              <w:pStyle w:val="169"/>
            </w:pPr>
          </w:p>
        </w:tc>
        <w:tc>
          <w:tcPr>
            <w:tcW w:w="1309" w:type="pct"/>
            <w:tcBorders>
              <w:right w:val="single" w:color="auto" w:sz="4" w:space="0"/>
            </w:tcBorders>
            <w:vAlign w:val="center"/>
          </w:tcPr>
          <w:p>
            <w:pPr>
              <w:pStyle w:val="169"/>
            </w:pPr>
            <w:r>
              <w:rPr>
                <w:rFonts w:hint="eastAsia"/>
              </w:rPr>
              <w:t>季</w:t>
            </w:r>
            <w:r>
              <w:t>平均</w:t>
            </w:r>
          </w:p>
        </w:tc>
        <w:tc>
          <w:tcPr>
            <w:tcW w:w="1001" w:type="pct"/>
            <w:tcBorders>
              <w:left w:val="single" w:color="auto" w:sz="4" w:space="0"/>
            </w:tcBorders>
            <w:vAlign w:val="center"/>
          </w:tcPr>
          <w:p>
            <w:pPr>
              <w:pStyle w:val="169"/>
            </w:pPr>
            <w:r>
              <w:rPr>
                <w:rFonts w:hint="eastAsia"/>
              </w:rPr>
              <w:t>1.0</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891" w:type="pct"/>
            <w:noWrap/>
            <w:vAlign w:val="center"/>
          </w:tcPr>
          <w:p>
            <w:pPr>
              <w:pStyle w:val="169"/>
            </w:pPr>
            <w:r>
              <w:rPr>
                <w:rFonts w:hint="eastAsia"/>
              </w:rPr>
              <w:t xml:space="preserve">六价铬 </w:t>
            </w:r>
          </w:p>
          <w:p>
            <w:pPr>
              <w:pStyle w:val="169"/>
            </w:pPr>
            <w:r>
              <w:rPr>
                <w:rFonts w:hint="eastAsia"/>
              </w:rPr>
              <w:t>（</w:t>
            </w:r>
            <w:r>
              <w:t>Cr</w:t>
            </w:r>
            <w:r>
              <w:rPr>
                <w:rFonts w:hint="eastAsia"/>
              </w:rPr>
              <w:t>（</w:t>
            </w:r>
            <w:r>
              <w:t>VI</w:t>
            </w:r>
            <w:r>
              <w:rPr>
                <w:rFonts w:hint="eastAsia"/>
              </w:rPr>
              <w:t>））</w:t>
            </w:r>
          </w:p>
        </w:tc>
        <w:tc>
          <w:tcPr>
            <w:tcW w:w="1309" w:type="pct"/>
            <w:tcBorders>
              <w:right w:val="single" w:color="auto" w:sz="4" w:space="0"/>
            </w:tcBorders>
            <w:vAlign w:val="center"/>
          </w:tcPr>
          <w:p>
            <w:pPr>
              <w:pStyle w:val="169"/>
            </w:pPr>
            <w:r>
              <w:rPr>
                <w:rFonts w:hint="eastAsia"/>
              </w:rPr>
              <w:t>年平均</w:t>
            </w:r>
          </w:p>
        </w:tc>
        <w:tc>
          <w:tcPr>
            <w:tcW w:w="1001" w:type="pct"/>
            <w:tcBorders>
              <w:left w:val="single" w:color="auto" w:sz="4" w:space="0"/>
            </w:tcBorders>
            <w:vAlign w:val="center"/>
          </w:tcPr>
          <w:p>
            <w:pPr>
              <w:pStyle w:val="169"/>
              <w:rPr>
                <w:vertAlign w:val="superscript"/>
              </w:rPr>
            </w:pPr>
            <w:r>
              <w:rPr>
                <w:rFonts w:hint="eastAsia"/>
              </w:rPr>
              <w:t>0.000025</w:t>
            </w:r>
          </w:p>
        </w:tc>
        <w:tc>
          <w:tcPr>
            <w:tcW w:w="1799" w:type="pct"/>
            <w:vMerge w:val="continue"/>
            <w:tcBorders>
              <w:left w:val="single" w:color="auto" w:sz="4" w:space="0"/>
            </w:tcBorders>
            <w:vAlign w:val="center"/>
          </w:tcPr>
          <w:p>
            <w:pPr>
              <w:pStyle w:val="1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891" w:type="pct"/>
            <w:noWrap/>
            <w:vAlign w:val="center"/>
          </w:tcPr>
          <w:p>
            <w:pPr>
              <w:pStyle w:val="169"/>
            </w:pPr>
            <w:r>
              <w:rPr>
                <w:rFonts w:hint="eastAsia"/>
              </w:rPr>
              <w:t>镉</w:t>
            </w:r>
          </w:p>
        </w:tc>
        <w:tc>
          <w:tcPr>
            <w:tcW w:w="1309" w:type="pct"/>
            <w:tcBorders>
              <w:right w:val="single" w:color="auto" w:sz="4" w:space="0"/>
            </w:tcBorders>
            <w:vAlign w:val="center"/>
          </w:tcPr>
          <w:p>
            <w:pPr>
              <w:pStyle w:val="169"/>
            </w:pPr>
            <w:r>
              <w:rPr>
                <w:rFonts w:hint="eastAsia"/>
              </w:rPr>
              <w:t>年平均</w:t>
            </w:r>
          </w:p>
        </w:tc>
        <w:tc>
          <w:tcPr>
            <w:tcW w:w="1001" w:type="pct"/>
            <w:tcBorders>
              <w:left w:val="single" w:color="auto" w:sz="4" w:space="0"/>
            </w:tcBorders>
            <w:vAlign w:val="center"/>
          </w:tcPr>
          <w:p>
            <w:pPr>
              <w:pStyle w:val="169"/>
            </w:pPr>
            <w:r>
              <w:rPr>
                <w:rFonts w:hint="eastAsia"/>
              </w:rPr>
              <w:t>0.005</w:t>
            </w:r>
          </w:p>
        </w:tc>
        <w:tc>
          <w:tcPr>
            <w:tcW w:w="1799" w:type="pct"/>
            <w:vMerge w:val="continue"/>
            <w:tcBorders>
              <w:left w:val="single" w:color="auto" w:sz="4" w:space="0"/>
            </w:tcBorders>
            <w:vAlign w:val="center"/>
          </w:tcPr>
          <w:p>
            <w:pPr>
              <w:pStyle w:val="169"/>
            </w:pPr>
          </w:p>
        </w:tc>
      </w:tr>
    </w:tbl>
    <w:p/>
    <w:p>
      <w:pPr>
        <w:ind w:firstLine="0" w:firstLineChars="0"/>
        <w:rPr>
          <w:b/>
        </w:rPr>
      </w:pPr>
      <w:r>
        <w:rPr>
          <w:rFonts w:hint="eastAsia"/>
          <w:b/>
        </w:rPr>
        <w:t>1.4.2污染物排放标准</w:t>
      </w:r>
    </w:p>
    <w:p>
      <w:pPr>
        <w:pStyle w:val="3229"/>
        <w:ind w:firstLine="480"/>
      </w:pPr>
      <w:r>
        <w:rPr>
          <w:rFonts w:hint="eastAsia"/>
        </w:rPr>
        <w:t>项目除尘灰资源化利用过程中会产生铅、铬、镉及其化合物，目前《炼钢工业大气污染物排放标准》（GB 28664-2012）针对电炉设施只对颗粒物和二噁英进行控制，因此本次评价大气污染物铅、铬、镉及其化合物参考执行《水泥窑协同处置固体废物污染控制标准》（</w:t>
      </w:r>
      <w:r>
        <w:t>GB 30485-2013</w:t>
      </w:r>
      <w:r>
        <w:rPr>
          <w:rFonts w:hint="eastAsia"/>
        </w:rPr>
        <w:t>）；现有工程炼钢废气污染物颗粒物、二</w:t>
      </w:r>
      <w:r>
        <w:rPr>
          <w:kern w:val="0"/>
        </w:rPr>
        <w:t>噁英</w:t>
      </w:r>
      <w:r>
        <w:rPr>
          <w:rFonts w:hint="eastAsia"/>
          <w:kern w:val="0"/>
        </w:rPr>
        <w:t>类</w:t>
      </w:r>
      <w:r>
        <w:rPr>
          <w:rFonts w:hint="eastAsia"/>
        </w:rPr>
        <w:t>执行《炼钢工业大气污染物排放标准》（GB 28664-2012）表2、表4中的排放限值，</w:t>
      </w:r>
      <w:r>
        <w:t>SO</w:t>
      </w:r>
      <w:r>
        <w:rPr>
          <w:vertAlign w:val="subscript"/>
        </w:rPr>
        <w:t>2</w:t>
      </w:r>
      <w:r>
        <w:rPr>
          <w:rFonts w:hint="eastAsia"/>
          <w:snapToGrid w:val="0"/>
        </w:rPr>
        <w:t>、</w:t>
      </w:r>
      <w:r>
        <w:t>NO</w:t>
      </w:r>
      <w:r>
        <w:rPr>
          <w:vertAlign w:val="subscript"/>
        </w:rPr>
        <w:t>2</w:t>
      </w:r>
      <w:r>
        <w:rPr>
          <w:rFonts w:hint="eastAsia"/>
          <w:snapToGrid w:val="0"/>
        </w:rPr>
        <w:t>执行《工业炉窑大气污染物排放标准》（DB50/659-2016）表1中的排放限值；现有工程轧钢废气污染物颗粒物、</w:t>
      </w:r>
      <w:r>
        <w:rPr>
          <w:snapToGrid w:val="0"/>
        </w:rPr>
        <w:t>SO</w:t>
      </w:r>
      <w:r>
        <w:rPr>
          <w:snapToGrid w:val="0"/>
          <w:vertAlign w:val="subscript"/>
        </w:rPr>
        <w:t>2</w:t>
      </w:r>
      <w:r>
        <w:rPr>
          <w:rFonts w:hint="eastAsia"/>
          <w:snapToGrid w:val="0"/>
        </w:rPr>
        <w:t>、</w:t>
      </w:r>
      <w:r>
        <w:rPr>
          <w:snapToGrid w:val="0"/>
        </w:rPr>
        <w:t>NO</w:t>
      </w:r>
      <w:r>
        <w:rPr>
          <w:snapToGrid w:val="0"/>
          <w:vertAlign w:val="subscript"/>
        </w:rPr>
        <w:t>2</w:t>
      </w:r>
      <w:r>
        <w:rPr>
          <w:rFonts w:hint="eastAsia"/>
          <w:snapToGrid w:val="0"/>
        </w:rPr>
        <w:t>执行《轧钢工业大气污染物排放标准》（GB 28665-2012）表2、表4中的排放限值；现有工程</w:t>
      </w:r>
      <w:r>
        <w:rPr>
          <w:rFonts w:hint="eastAsia"/>
        </w:rPr>
        <w:t>钢包、中间罐烘烤天然气燃烧废气及其他无组织排放污染物执行《大气污染物综合排放标准》（DB 50/418-2016）。</w:t>
      </w:r>
      <w:r>
        <w:t>具体标准见</w:t>
      </w:r>
      <w:r>
        <w:rPr>
          <w:rFonts w:hint="eastAsia"/>
        </w:rPr>
        <w:t>专项</w:t>
      </w:r>
      <w:r>
        <w:t>表</w:t>
      </w:r>
      <w:r>
        <w:rPr>
          <w:rFonts w:hint="eastAsia"/>
        </w:rPr>
        <w:t>1.4.2-1~1.4.2-5</w:t>
      </w:r>
      <w:r>
        <w:t>。</w:t>
      </w:r>
    </w:p>
    <w:p>
      <w:pPr>
        <w:pStyle w:val="3230"/>
        <w:rPr>
          <w:rFonts w:eastAsiaTheme="minorEastAsia"/>
          <w:color w:val="auto"/>
          <w:szCs w:val="21"/>
        </w:rPr>
      </w:pPr>
      <w:r>
        <w:rPr>
          <w:rFonts w:hint="eastAsia" w:eastAsiaTheme="minorEastAsia"/>
          <w:color w:val="auto"/>
          <w:szCs w:val="21"/>
        </w:rPr>
        <w:t>专项</w:t>
      </w:r>
      <w:r>
        <w:rPr>
          <w:rFonts w:eastAsiaTheme="minorEastAsia"/>
          <w:color w:val="auto"/>
          <w:szCs w:val="21"/>
        </w:rPr>
        <w:t>表</w:t>
      </w:r>
      <w:r>
        <w:rPr>
          <w:rFonts w:hint="eastAsia" w:eastAsiaTheme="minorEastAsia"/>
          <w:color w:val="auto"/>
          <w:szCs w:val="21"/>
        </w:rPr>
        <w:t>1.4.2</w:t>
      </w:r>
      <w:r>
        <w:rPr>
          <w:rFonts w:eastAsiaTheme="minorEastAsia"/>
          <w:color w:val="auto"/>
          <w:szCs w:val="21"/>
        </w:rPr>
        <w:t>-1</w:t>
      </w:r>
      <w:r>
        <w:rPr>
          <w:rFonts w:hint="eastAsia" w:eastAsiaTheme="minorEastAsia"/>
          <w:color w:val="auto"/>
          <w:szCs w:val="21"/>
        </w:rPr>
        <w:t xml:space="preserve"> 《水泥窑协同处置固体废物污染控制标准》（</w:t>
      </w:r>
      <w:r>
        <w:rPr>
          <w:rFonts w:eastAsiaTheme="minorEastAsia"/>
          <w:color w:val="auto"/>
          <w:szCs w:val="21"/>
        </w:rPr>
        <w:t>GB 30485-2013</w:t>
      </w:r>
      <w:r>
        <w:rPr>
          <w:rFonts w:hint="eastAsia" w:eastAsiaTheme="minorEastAsia"/>
          <w:color w:val="auto"/>
          <w:szCs w:val="21"/>
        </w:rPr>
        <w:t>）</w:t>
      </w:r>
      <w:r>
        <w:rPr>
          <w:rFonts w:eastAsiaTheme="minorEastAsia"/>
          <w:color w:val="auto"/>
          <w:szCs w:val="21"/>
        </w:rPr>
        <w:t xml:space="preserve">  单位：mg/m</w:t>
      </w:r>
      <w:r>
        <w:rPr>
          <w:rFonts w:eastAsiaTheme="minorEastAsia"/>
          <w:color w:val="auto"/>
          <w:szCs w:val="21"/>
          <w:vertAlign w:val="superscript"/>
        </w:rPr>
        <w:t>3</w:t>
      </w:r>
    </w:p>
    <w:tbl>
      <w:tblPr>
        <w:tblStyle w:val="88"/>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7"/>
        <w:gridCol w:w="1516"/>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942" w:type="pct"/>
            <w:shd w:val="clear" w:color="auto" w:fill="auto"/>
            <w:vAlign w:val="center"/>
          </w:tcPr>
          <w:p>
            <w:pPr>
              <w:pStyle w:val="186"/>
              <w:textAlignment w:val="baseline"/>
            </w:pPr>
            <w:r>
              <w:rPr>
                <w:rFonts w:hint="eastAsia"/>
              </w:rPr>
              <w:t>污染物</w:t>
            </w:r>
          </w:p>
        </w:tc>
        <w:tc>
          <w:tcPr>
            <w:tcW w:w="855" w:type="pct"/>
            <w:shd w:val="clear" w:color="auto" w:fill="auto"/>
            <w:vAlign w:val="center"/>
          </w:tcPr>
          <w:p>
            <w:pPr>
              <w:pStyle w:val="186"/>
              <w:textAlignment w:val="baseline"/>
            </w:pPr>
            <w:r>
              <w:rPr>
                <w:rFonts w:hint="eastAsia"/>
              </w:rPr>
              <w:t>最高允许排放浓度限值</w:t>
            </w:r>
          </w:p>
        </w:tc>
        <w:tc>
          <w:tcPr>
            <w:tcW w:w="1203" w:type="pct"/>
            <w:shd w:val="clear" w:color="auto" w:fill="auto"/>
            <w:vAlign w:val="center"/>
          </w:tcPr>
          <w:p>
            <w:pPr>
              <w:pStyle w:val="186"/>
              <w:textAlignment w:val="baseline"/>
            </w:pPr>
            <w:r>
              <w:rPr>
                <w:rFonts w:hint="eastAsia"/>
              </w:rPr>
              <w:t>无组织浓度</w:t>
            </w:r>
          </w:p>
          <w:p>
            <w:pPr>
              <w:pStyle w:val="186"/>
              <w:textAlignment w:val="baseline"/>
            </w:pPr>
            <w:r>
              <w:rPr>
                <w:rFonts w:hint="eastAsia"/>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942" w:type="pct"/>
            <w:shd w:val="clear" w:color="auto" w:fill="auto"/>
            <w:vAlign w:val="center"/>
          </w:tcPr>
          <w:p>
            <w:pPr>
              <w:pStyle w:val="186"/>
              <w:jc w:val="left"/>
              <w:textAlignment w:val="baseline"/>
            </w:pPr>
            <w:r>
              <w:rPr>
                <w:rFonts w:hint="eastAsia"/>
              </w:rPr>
              <w:t xml:space="preserve">铊、镉、铅、砷及其化合物（以 </w:t>
            </w:r>
            <w:r>
              <w:t>Tl+Cd+Pb+As</w:t>
            </w:r>
            <w:r>
              <w:rPr>
                <w:rFonts w:hint="eastAsia"/>
              </w:rPr>
              <w:t>计）</w:t>
            </w:r>
          </w:p>
        </w:tc>
        <w:tc>
          <w:tcPr>
            <w:tcW w:w="855" w:type="pct"/>
            <w:shd w:val="clear" w:color="auto" w:fill="auto"/>
            <w:vAlign w:val="center"/>
          </w:tcPr>
          <w:p>
            <w:pPr>
              <w:pStyle w:val="186"/>
              <w:textAlignment w:val="baseline"/>
            </w:pPr>
            <w:r>
              <w:rPr>
                <w:rFonts w:hint="eastAsia"/>
              </w:rPr>
              <w:t>1.0</w:t>
            </w:r>
          </w:p>
        </w:tc>
        <w:tc>
          <w:tcPr>
            <w:tcW w:w="1203" w:type="pct"/>
            <w:shd w:val="clear" w:color="auto" w:fill="auto"/>
            <w:vAlign w:val="center"/>
          </w:tcPr>
          <w:p>
            <w:pPr>
              <w:pStyle w:val="186"/>
              <w:textAlignment w:val="baseline"/>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942" w:type="pct"/>
            <w:shd w:val="clear" w:color="auto" w:fill="auto"/>
            <w:vAlign w:val="center"/>
          </w:tcPr>
          <w:p>
            <w:pPr>
              <w:pStyle w:val="186"/>
              <w:textAlignment w:val="baseline"/>
            </w:pPr>
            <w:r>
              <w:rPr>
                <w:rFonts w:hint="eastAsia"/>
              </w:rPr>
              <w:t xml:space="preserve">铍、铬、锡、锑、铜、钴、锰、镍、钒及其化合物 （以 </w:t>
            </w:r>
            <w:r>
              <w:t xml:space="preserve">Be+Cr+Sn+Sb+Cu+Co+Mn+Ni+V </w:t>
            </w:r>
            <w:r>
              <w:rPr>
                <w:rFonts w:hint="eastAsia"/>
              </w:rPr>
              <w:t>计）</w:t>
            </w:r>
          </w:p>
        </w:tc>
        <w:tc>
          <w:tcPr>
            <w:tcW w:w="855" w:type="pct"/>
            <w:shd w:val="clear" w:color="auto" w:fill="auto"/>
            <w:vAlign w:val="center"/>
          </w:tcPr>
          <w:p>
            <w:pPr>
              <w:pStyle w:val="186"/>
              <w:textAlignment w:val="baseline"/>
            </w:pPr>
            <w:r>
              <w:rPr>
                <w:rFonts w:hint="eastAsia"/>
              </w:rPr>
              <w:t>0.5</w:t>
            </w:r>
          </w:p>
        </w:tc>
        <w:tc>
          <w:tcPr>
            <w:tcW w:w="1203" w:type="pct"/>
            <w:shd w:val="clear" w:color="auto" w:fill="auto"/>
            <w:vAlign w:val="center"/>
          </w:tcPr>
          <w:p>
            <w:pPr>
              <w:pStyle w:val="186"/>
              <w:textAlignment w:val="baseline"/>
            </w:pPr>
            <w:r>
              <w:rPr>
                <w:rFonts w:hint="eastAsia"/>
              </w:rPr>
              <w:t>/</w:t>
            </w:r>
          </w:p>
        </w:tc>
      </w:tr>
    </w:tbl>
    <w:p>
      <w:pPr>
        <w:pStyle w:val="3230"/>
        <w:rPr>
          <w:rFonts w:eastAsiaTheme="minorEastAsia"/>
          <w:color w:val="auto"/>
          <w:szCs w:val="21"/>
          <w:vertAlign w:val="superscript"/>
        </w:rPr>
      </w:pPr>
      <w:r>
        <w:rPr>
          <w:rFonts w:hint="eastAsia" w:eastAsiaTheme="minorEastAsia"/>
          <w:color w:val="auto"/>
          <w:szCs w:val="21"/>
        </w:rPr>
        <w:t>专项</w:t>
      </w:r>
      <w:r>
        <w:rPr>
          <w:rFonts w:eastAsiaTheme="minorEastAsia"/>
          <w:color w:val="auto"/>
          <w:szCs w:val="21"/>
        </w:rPr>
        <w:t>表</w:t>
      </w:r>
      <w:r>
        <w:rPr>
          <w:rFonts w:hint="eastAsia" w:eastAsiaTheme="minorEastAsia"/>
          <w:color w:val="auto"/>
          <w:szCs w:val="21"/>
        </w:rPr>
        <w:t>1.4.2</w:t>
      </w:r>
      <w:r>
        <w:rPr>
          <w:rFonts w:eastAsiaTheme="minorEastAsia"/>
          <w:color w:val="auto"/>
          <w:szCs w:val="21"/>
        </w:rPr>
        <w:t>-</w:t>
      </w:r>
      <w:r>
        <w:rPr>
          <w:rFonts w:hint="eastAsia" w:eastAsiaTheme="minorEastAsia"/>
          <w:color w:val="auto"/>
          <w:szCs w:val="21"/>
        </w:rPr>
        <w:t>2</w:t>
      </w:r>
      <w:r>
        <w:rPr>
          <w:rFonts w:eastAsiaTheme="minorEastAsia"/>
          <w:color w:val="auto"/>
          <w:szCs w:val="21"/>
        </w:rPr>
        <w:t xml:space="preserve">   </w:t>
      </w:r>
      <w:r>
        <w:rPr>
          <w:rFonts w:hint="eastAsia" w:eastAsiaTheme="minorEastAsia"/>
          <w:color w:val="auto"/>
          <w:szCs w:val="21"/>
        </w:rPr>
        <w:t>《炼钢工业大气污染物排放标准》（GB 28664-2012）</w:t>
      </w:r>
      <w:r>
        <w:rPr>
          <w:rFonts w:eastAsiaTheme="minorEastAsia"/>
          <w:color w:val="auto"/>
          <w:szCs w:val="21"/>
        </w:rPr>
        <w:t xml:space="preserve">   单位：mg/m</w:t>
      </w:r>
      <w:r>
        <w:rPr>
          <w:rFonts w:eastAsiaTheme="minorEastAsia"/>
          <w:color w:val="auto"/>
          <w:szCs w:val="21"/>
          <w:vertAlign w:val="superscript"/>
        </w:rPr>
        <w:t>3</w:t>
      </w:r>
    </w:p>
    <w:tbl>
      <w:tblPr>
        <w:tblStyle w:val="88"/>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650"/>
        <w:gridCol w:w="1281"/>
        <w:gridCol w:w="1702"/>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28" w:type="pct"/>
            <w:shd w:val="clear" w:color="auto" w:fill="auto"/>
            <w:vAlign w:val="center"/>
          </w:tcPr>
          <w:p>
            <w:pPr>
              <w:pStyle w:val="186"/>
              <w:textAlignment w:val="baseline"/>
            </w:pPr>
            <w:r>
              <w:rPr>
                <w:rFonts w:hint="eastAsia"/>
              </w:rPr>
              <w:t>污染物</w:t>
            </w:r>
          </w:p>
        </w:tc>
        <w:tc>
          <w:tcPr>
            <w:tcW w:w="1473" w:type="pct"/>
            <w:shd w:val="clear" w:color="auto" w:fill="auto"/>
            <w:vAlign w:val="center"/>
          </w:tcPr>
          <w:p>
            <w:pPr>
              <w:pStyle w:val="186"/>
              <w:textAlignment w:val="baseline"/>
            </w:pPr>
            <w:r>
              <w:rPr>
                <w:rFonts w:hint="eastAsia"/>
              </w:rPr>
              <w:t>生产工序或设施</w:t>
            </w:r>
          </w:p>
        </w:tc>
        <w:tc>
          <w:tcPr>
            <w:tcW w:w="712" w:type="pct"/>
            <w:shd w:val="clear" w:color="auto" w:fill="auto"/>
            <w:vAlign w:val="center"/>
          </w:tcPr>
          <w:p>
            <w:pPr>
              <w:pStyle w:val="186"/>
              <w:textAlignment w:val="baseline"/>
            </w:pPr>
            <w:r>
              <w:rPr>
                <w:rFonts w:hint="eastAsia"/>
              </w:rPr>
              <w:t>限值</w:t>
            </w:r>
          </w:p>
        </w:tc>
        <w:tc>
          <w:tcPr>
            <w:tcW w:w="946" w:type="pct"/>
            <w:shd w:val="clear" w:color="auto" w:fill="auto"/>
            <w:vAlign w:val="center"/>
          </w:tcPr>
          <w:p>
            <w:pPr>
              <w:pStyle w:val="186"/>
              <w:textAlignment w:val="baseline"/>
            </w:pPr>
            <w:r>
              <w:rPr>
                <w:rFonts w:hint="eastAsia"/>
              </w:rPr>
              <w:t>污染物排放监控位置</w:t>
            </w:r>
          </w:p>
        </w:tc>
        <w:tc>
          <w:tcPr>
            <w:tcW w:w="1141" w:type="pct"/>
            <w:shd w:val="clear" w:color="auto" w:fill="auto"/>
            <w:vAlign w:val="center"/>
          </w:tcPr>
          <w:p>
            <w:pPr>
              <w:pStyle w:val="186"/>
              <w:textAlignment w:val="baseline"/>
            </w:pPr>
            <w:r>
              <w:rPr>
                <w:rFonts w:hint="eastAsia"/>
              </w:rPr>
              <w:t>无组织浓度排放限值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8" w:type="pct"/>
            <w:vMerge w:val="restart"/>
            <w:shd w:val="clear" w:color="auto" w:fill="auto"/>
            <w:vAlign w:val="center"/>
          </w:tcPr>
          <w:p>
            <w:pPr>
              <w:pStyle w:val="186"/>
              <w:textAlignment w:val="baseline"/>
            </w:pPr>
            <w:r>
              <w:rPr>
                <w:rFonts w:hint="eastAsia"/>
              </w:rPr>
              <w:t>颗粒物</w:t>
            </w:r>
          </w:p>
        </w:tc>
        <w:tc>
          <w:tcPr>
            <w:tcW w:w="1473" w:type="pct"/>
            <w:shd w:val="clear" w:color="auto" w:fill="auto"/>
            <w:vAlign w:val="center"/>
          </w:tcPr>
          <w:p>
            <w:pPr>
              <w:pStyle w:val="186"/>
              <w:textAlignment w:val="baseline"/>
            </w:pPr>
            <w:r>
              <w:rPr>
                <w:rFonts w:hint="eastAsia"/>
              </w:rPr>
              <w:t>电炉、精炼炉</w:t>
            </w:r>
          </w:p>
        </w:tc>
        <w:tc>
          <w:tcPr>
            <w:tcW w:w="712" w:type="pct"/>
            <w:shd w:val="clear" w:color="auto" w:fill="auto"/>
            <w:vAlign w:val="center"/>
          </w:tcPr>
          <w:p>
            <w:pPr>
              <w:pStyle w:val="186"/>
              <w:textAlignment w:val="baseline"/>
            </w:pPr>
            <w:r>
              <w:rPr>
                <w:rFonts w:hint="eastAsia"/>
              </w:rPr>
              <w:t>20</w:t>
            </w:r>
          </w:p>
        </w:tc>
        <w:tc>
          <w:tcPr>
            <w:tcW w:w="946" w:type="pct"/>
            <w:vMerge w:val="restart"/>
            <w:shd w:val="clear" w:color="auto" w:fill="auto"/>
            <w:vAlign w:val="center"/>
          </w:tcPr>
          <w:p>
            <w:pPr>
              <w:pStyle w:val="186"/>
              <w:textAlignment w:val="baseline"/>
            </w:pPr>
            <w:r>
              <w:rPr>
                <w:rFonts w:hint="eastAsia"/>
              </w:rPr>
              <w:t>车间或生产设施排气筒</w:t>
            </w:r>
          </w:p>
        </w:tc>
        <w:tc>
          <w:tcPr>
            <w:tcW w:w="1141" w:type="pct"/>
            <w:vMerge w:val="restart"/>
            <w:shd w:val="clear" w:color="auto" w:fill="auto"/>
            <w:vAlign w:val="center"/>
          </w:tcPr>
          <w:p>
            <w:pPr>
              <w:pStyle w:val="186"/>
              <w:textAlignment w:val="baseline"/>
            </w:pPr>
            <w:r>
              <w:rPr>
                <w:rFonts w:hint="eastAsia"/>
              </w:rPr>
              <w:t>8.0</w:t>
            </w:r>
          </w:p>
          <w:p>
            <w:pPr>
              <w:pStyle w:val="186"/>
              <w:textAlignment w:val="baseline"/>
            </w:pPr>
            <w:r>
              <w:rPr>
                <w:rFonts w:hint="eastAsia"/>
              </w:rPr>
              <w:t>（有厂房生产车间）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28" w:type="pct"/>
            <w:vMerge w:val="continue"/>
            <w:shd w:val="clear" w:color="auto" w:fill="auto"/>
            <w:vAlign w:val="center"/>
          </w:tcPr>
          <w:p>
            <w:pPr>
              <w:pStyle w:val="186"/>
              <w:textAlignment w:val="baseline"/>
            </w:pPr>
          </w:p>
        </w:tc>
        <w:tc>
          <w:tcPr>
            <w:tcW w:w="1473" w:type="pct"/>
            <w:shd w:val="clear" w:color="auto" w:fill="auto"/>
            <w:vAlign w:val="center"/>
          </w:tcPr>
          <w:p>
            <w:pPr>
              <w:pStyle w:val="186"/>
              <w:textAlignment w:val="baseline"/>
            </w:pPr>
            <w:r>
              <w:rPr>
                <w:rFonts w:hint="eastAsia"/>
              </w:rPr>
              <w:t>连铸切割</w:t>
            </w:r>
          </w:p>
        </w:tc>
        <w:tc>
          <w:tcPr>
            <w:tcW w:w="712" w:type="pct"/>
            <w:shd w:val="clear" w:color="auto" w:fill="auto"/>
            <w:vAlign w:val="center"/>
          </w:tcPr>
          <w:p>
            <w:pPr>
              <w:pStyle w:val="186"/>
              <w:textAlignment w:val="baseline"/>
            </w:pPr>
            <w:r>
              <w:rPr>
                <w:rFonts w:hint="eastAsia"/>
              </w:rPr>
              <w:t>30</w:t>
            </w:r>
          </w:p>
        </w:tc>
        <w:tc>
          <w:tcPr>
            <w:tcW w:w="946" w:type="pct"/>
            <w:vMerge w:val="continue"/>
            <w:shd w:val="clear" w:color="auto" w:fill="auto"/>
            <w:vAlign w:val="center"/>
          </w:tcPr>
          <w:p>
            <w:pPr>
              <w:pStyle w:val="186"/>
              <w:textAlignment w:val="baseline"/>
            </w:pPr>
          </w:p>
        </w:tc>
        <w:tc>
          <w:tcPr>
            <w:tcW w:w="1141" w:type="pct"/>
            <w:vMerge w:val="continue"/>
            <w:shd w:val="clear" w:color="auto" w:fill="auto"/>
            <w:vAlign w:val="center"/>
          </w:tcPr>
          <w:p>
            <w:pPr>
              <w:pStyle w:val="186"/>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28" w:type="pct"/>
            <w:vMerge w:val="continue"/>
            <w:shd w:val="clear" w:color="auto" w:fill="auto"/>
            <w:vAlign w:val="center"/>
          </w:tcPr>
          <w:p>
            <w:pPr>
              <w:pStyle w:val="186"/>
              <w:textAlignment w:val="baseline"/>
            </w:pPr>
          </w:p>
        </w:tc>
        <w:tc>
          <w:tcPr>
            <w:tcW w:w="1473" w:type="pct"/>
            <w:shd w:val="clear" w:color="auto" w:fill="auto"/>
            <w:vAlign w:val="center"/>
          </w:tcPr>
          <w:p>
            <w:pPr>
              <w:pStyle w:val="186"/>
              <w:textAlignment w:val="baseline"/>
            </w:pPr>
            <w:r>
              <w:rPr>
                <w:rFonts w:hint="eastAsia"/>
              </w:rPr>
              <w:t>其他生产设施</w:t>
            </w:r>
          </w:p>
        </w:tc>
        <w:tc>
          <w:tcPr>
            <w:tcW w:w="712" w:type="pct"/>
            <w:shd w:val="clear" w:color="auto" w:fill="auto"/>
            <w:vAlign w:val="center"/>
          </w:tcPr>
          <w:p>
            <w:pPr>
              <w:pStyle w:val="186"/>
              <w:textAlignment w:val="baseline"/>
            </w:pPr>
            <w:r>
              <w:rPr>
                <w:rFonts w:hint="eastAsia"/>
              </w:rPr>
              <w:t>20</w:t>
            </w:r>
          </w:p>
        </w:tc>
        <w:tc>
          <w:tcPr>
            <w:tcW w:w="946" w:type="pct"/>
            <w:vMerge w:val="continue"/>
            <w:shd w:val="clear" w:color="auto" w:fill="auto"/>
            <w:vAlign w:val="center"/>
          </w:tcPr>
          <w:p>
            <w:pPr>
              <w:pStyle w:val="186"/>
              <w:textAlignment w:val="baseline"/>
            </w:pPr>
          </w:p>
        </w:tc>
        <w:tc>
          <w:tcPr>
            <w:tcW w:w="1141" w:type="pct"/>
            <w:vMerge w:val="continue"/>
            <w:shd w:val="clear" w:color="auto" w:fill="auto"/>
            <w:vAlign w:val="center"/>
          </w:tcPr>
          <w:p>
            <w:pPr>
              <w:pStyle w:val="186"/>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28" w:type="pct"/>
            <w:shd w:val="clear" w:color="auto" w:fill="auto"/>
            <w:vAlign w:val="center"/>
          </w:tcPr>
          <w:p>
            <w:pPr>
              <w:pStyle w:val="186"/>
              <w:textAlignment w:val="baseline"/>
            </w:pPr>
            <w:r>
              <w:rPr>
                <w:rFonts w:hint="eastAsia"/>
              </w:rPr>
              <w:t>二噁英</w:t>
            </w:r>
          </w:p>
        </w:tc>
        <w:tc>
          <w:tcPr>
            <w:tcW w:w="1473" w:type="pct"/>
            <w:shd w:val="clear" w:color="auto" w:fill="auto"/>
            <w:vAlign w:val="center"/>
          </w:tcPr>
          <w:p>
            <w:pPr>
              <w:pStyle w:val="186"/>
              <w:textAlignment w:val="baseline"/>
              <w:rPr>
                <w:kern w:val="0"/>
              </w:rPr>
            </w:pPr>
            <w:r>
              <w:rPr>
                <w:rFonts w:hint="eastAsia"/>
              </w:rPr>
              <w:t>电炉</w:t>
            </w:r>
          </w:p>
          <w:p>
            <w:pPr>
              <w:pStyle w:val="186"/>
              <w:textAlignment w:val="baseline"/>
            </w:pPr>
            <w:r>
              <w:rPr>
                <w:kern w:val="0"/>
              </w:rPr>
              <w:t>ng</w:t>
            </w:r>
            <w:r>
              <w:rPr>
                <w:rFonts w:hint="eastAsia"/>
                <w:kern w:val="0"/>
              </w:rPr>
              <w:t>-</w:t>
            </w:r>
            <w:r>
              <w:rPr>
                <w:kern w:val="0"/>
              </w:rPr>
              <w:t>TEQ/m</w:t>
            </w:r>
            <w:r>
              <w:rPr>
                <w:kern w:val="0"/>
                <w:vertAlign w:val="superscript"/>
              </w:rPr>
              <w:t>3</w:t>
            </w:r>
          </w:p>
        </w:tc>
        <w:tc>
          <w:tcPr>
            <w:tcW w:w="712" w:type="pct"/>
            <w:shd w:val="clear" w:color="auto" w:fill="auto"/>
            <w:vAlign w:val="center"/>
          </w:tcPr>
          <w:p>
            <w:pPr>
              <w:pStyle w:val="186"/>
              <w:textAlignment w:val="baseline"/>
            </w:pPr>
            <w:r>
              <w:rPr>
                <w:rFonts w:hint="eastAsia"/>
              </w:rPr>
              <w:t>0.5</w:t>
            </w:r>
          </w:p>
        </w:tc>
        <w:tc>
          <w:tcPr>
            <w:tcW w:w="946" w:type="pct"/>
            <w:vMerge w:val="continue"/>
            <w:shd w:val="clear" w:color="auto" w:fill="auto"/>
            <w:vAlign w:val="center"/>
          </w:tcPr>
          <w:p>
            <w:pPr>
              <w:pStyle w:val="186"/>
              <w:textAlignment w:val="baseline"/>
            </w:pPr>
          </w:p>
        </w:tc>
        <w:tc>
          <w:tcPr>
            <w:tcW w:w="1141" w:type="pct"/>
            <w:shd w:val="clear" w:color="auto" w:fill="auto"/>
            <w:vAlign w:val="center"/>
          </w:tcPr>
          <w:p>
            <w:pPr>
              <w:pStyle w:val="186"/>
              <w:textAlignment w:val="baseline"/>
            </w:pPr>
            <w:r>
              <w:rPr>
                <w:rFonts w:hint="eastAsia"/>
              </w:rPr>
              <w:t>/</w:t>
            </w:r>
          </w:p>
        </w:tc>
      </w:tr>
    </w:tbl>
    <w:p>
      <w:pPr>
        <w:pStyle w:val="3230"/>
        <w:rPr>
          <w:rFonts w:eastAsiaTheme="minorEastAsia"/>
          <w:color w:val="auto"/>
          <w:szCs w:val="21"/>
        </w:rPr>
      </w:pPr>
      <w:r>
        <w:rPr>
          <w:rFonts w:hint="eastAsia" w:eastAsiaTheme="minorEastAsia"/>
          <w:color w:val="auto"/>
          <w:szCs w:val="21"/>
        </w:rPr>
        <w:t>专项</w:t>
      </w:r>
      <w:r>
        <w:rPr>
          <w:rFonts w:eastAsiaTheme="minorEastAsia"/>
          <w:color w:val="auto"/>
          <w:szCs w:val="21"/>
        </w:rPr>
        <w:t>表</w:t>
      </w:r>
      <w:r>
        <w:rPr>
          <w:rFonts w:hint="eastAsia" w:eastAsiaTheme="minorEastAsia"/>
          <w:color w:val="auto"/>
          <w:szCs w:val="21"/>
        </w:rPr>
        <w:t>1.4.2</w:t>
      </w:r>
      <w:r>
        <w:rPr>
          <w:rFonts w:eastAsiaTheme="minorEastAsia"/>
          <w:color w:val="auto"/>
          <w:szCs w:val="21"/>
        </w:rPr>
        <w:t>-</w:t>
      </w:r>
      <w:r>
        <w:rPr>
          <w:rFonts w:hint="eastAsia" w:eastAsiaTheme="minorEastAsia"/>
          <w:color w:val="auto"/>
          <w:szCs w:val="21"/>
        </w:rPr>
        <w:t>3</w:t>
      </w:r>
      <w:r>
        <w:rPr>
          <w:rFonts w:eastAsiaTheme="minorEastAsia"/>
          <w:color w:val="auto"/>
          <w:szCs w:val="21"/>
        </w:rPr>
        <w:t xml:space="preserve">   </w:t>
      </w:r>
      <w:r>
        <w:rPr>
          <w:rFonts w:hint="eastAsia" w:eastAsiaTheme="minorEastAsia"/>
          <w:color w:val="auto"/>
          <w:szCs w:val="21"/>
        </w:rPr>
        <w:t xml:space="preserve">《轧钢工业大气污染物排放标准》（GB 28665-2012） </w:t>
      </w:r>
      <w:r>
        <w:rPr>
          <w:rFonts w:eastAsiaTheme="minorEastAsia"/>
          <w:color w:val="auto"/>
          <w:szCs w:val="21"/>
        </w:rPr>
        <w:t>单位：mg/m</w:t>
      </w:r>
      <w:r>
        <w:rPr>
          <w:rFonts w:eastAsiaTheme="minorEastAsia"/>
          <w:color w:val="auto"/>
          <w:szCs w:val="21"/>
          <w:vertAlign w:val="superscript"/>
        </w:rPr>
        <w:t>3</w:t>
      </w:r>
    </w:p>
    <w:tbl>
      <w:tblPr>
        <w:tblStyle w:val="88"/>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650"/>
        <w:gridCol w:w="1281"/>
        <w:gridCol w:w="1702"/>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28" w:type="pct"/>
            <w:shd w:val="clear" w:color="auto" w:fill="auto"/>
            <w:vAlign w:val="center"/>
          </w:tcPr>
          <w:p>
            <w:pPr>
              <w:pStyle w:val="186"/>
              <w:textAlignment w:val="baseline"/>
            </w:pPr>
            <w:r>
              <w:rPr>
                <w:rFonts w:hint="eastAsia"/>
              </w:rPr>
              <w:t>污染物</w:t>
            </w:r>
          </w:p>
        </w:tc>
        <w:tc>
          <w:tcPr>
            <w:tcW w:w="1473" w:type="pct"/>
            <w:shd w:val="clear" w:color="auto" w:fill="auto"/>
            <w:vAlign w:val="center"/>
          </w:tcPr>
          <w:p>
            <w:pPr>
              <w:pStyle w:val="186"/>
              <w:textAlignment w:val="baseline"/>
            </w:pPr>
            <w:r>
              <w:rPr>
                <w:rFonts w:hint="eastAsia"/>
              </w:rPr>
              <w:t>生产工序或设施</w:t>
            </w:r>
          </w:p>
        </w:tc>
        <w:tc>
          <w:tcPr>
            <w:tcW w:w="712" w:type="pct"/>
            <w:shd w:val="clear" w:color="auto" w:fill="auto"/>
            <w:vAlign w:val="center"/>
          </w:tcPr>
          <w:p>
            <w:pPr>
              <w:pStyle w:val="186"/>
              <w:textAlignment w:val="baseline"/>
            </w:pPr>
            <w:r>
              <w:rPr>
                <w:rFonts w:hint="eastAsia"/>
              </w:rPr>
              <w:t>限值</w:t>
            </w:r>
          </w:p>
        </w:tc>
        <w:tc>
          <w:tcPr>
            <w:tcW w:w="946" w:type="pct"/>
            <w:shd w:val="clear" w:color="auto" w:fill="auto"/>
            <w:vAlign w:val="center"/>
          </w:tcPr>
          <w:p>
            <w:pPr>
              <w:pStyle w:val="186"/>
              <w:textAlignment w:val="baseline"/>
            </w:pPr>
            <w:r>
              <w:rPr>
                <w:rFonts w:hint="eastAsia"/>
              </w:rPr>
              <w:t>污染物排放监控位置</w:t>
            </w:r>
          </w:p>
        </w:tc>
        <w:tc>
          <w:tcPr>
            <w:tcW w:w="1141" w:type="pct"/>
            <w:shd w:val="clear" w:color="auto" w:fill="auto"/>
            <w:vAlign w:val="center"/>
          </w:tcPr>
          <w:p>
            <w:pPr>
              <w:pStyle w:val="186"/>
              <w:textAlignment w:val="baseline"/>
            </w:pPr>
            <w:r>
              <w:rPr>
                <w:rFonts w:hint="eastAsia"/>
              </w:rPr>
              <w:t>无组织浓度排放限值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8" w:type="pct"/>
            <w:vMerge w:val="restart"/>
            <w:shd w:val="clear" w:color="auto" w:fill="auto"/>
            <w:vAlign w:val="center"/>
          </w:tcPr>
          <w:p>
            <w:pPr>
              <w:pStyle w:val="186"/>
              <w:textAlignment w:val="baseline"/>
            </w:pPr>
            <w:r>
              <w:rPr>
                <w:rFonts w:hint="eastAsia"/>
              </w:rPr>
              <w:t>颗粒物</w:t>
            </w:r>
          </w:p>
        </w:tc>
        <w:tc>
          <w:tcPr>
            <w:tcW w:w="1473" w:type="pct"/>
            <w:shd w:val="clear" w:color="auto" w:fill="auto"/>
            <w:vAlign w:val="center"/>
          </w:tcPr>
          <w:p>
            <w:pPr>
              <w:pStyle w:val="186"/>
              <w:textAlignment w:val="baseline"/>
            </w:pPr>
            <w:r>
              <w:rPr>
                <w:rFonts w:hint="eastAsia"/>
              </w:rPr>
              <w:t>热轧精轧机</w:t>
            </w:r>
          </w:p>
        </w:tc>
        <w:tc>
          <w:tcPr>
            <w:tcW w:w="712" w:type="pct"/>
            <w:shd w:val="clear" w:color="auto" w:fill="auto"/>
            <w:vAlign w:val="center"/>
          </w:tcPr>
          <w:p>
            <w:pPr>
              <w:pStyle w:val="186"/>
              <w:textAlignment w:val="baseline"/>
            </w:pPr>
            <w:r>
              <w:rPr>
                <w:rFonts w:hint="eastAsia"/>
              </w:rPr>
              <w:t>30</w:t>
            </w:r>
          </w:p>
        </w:tc>
        <w:tc>
          <w:tcPr>
            <w:tcW w:w="946" w:type="pct"/>
            <w:vMerge w:val="restart"/>
            <w:shd w:val="clear" w:color="auto" w:fill="auto"/>
            <w:vAlign w:val="center"/>
          </w:tcPr>
          <w:p>
            <w:pPr>
              <w:pStyle w:val="186"/>
              <w:textAlignment w:val="baseline"/>
            </w:pPr>
            <w:r>
              <w:rPr>
                <w:rFonts w:hint="eastAsia"/>
              </w:rPr>
              <w:t>车间或生产设施排气筒</w:t>
            </w:r>
          </w:p>
        </w:tc>
        <w:tc>
          <w:tcPr>
            <w:tcW w:w="1141" w:type="pct"/>
            <w:vMerge w:val="restart"/>
            <w:shd w:val="clear" w:color="auto" w:fill="auto"/>
            <w:vAlign w:val="center"/>
          </w:tcPr>
          <w:p>
            <w:pPr>
              <w:pStyle w:val="186"/>
              <w:textAlignment w:val="baseline"/>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28" w:type="pct"/>
            <w:vMerge w:val="continue"/>
            <w:shd w:val="clear" w:color="auto" w:fill="auto"/>
            <w:vAlign w:val="center"/>
          </w:tcPr>
          <w:p>
            <w:pPr>
              <w:pStyle w:val="186"/>
              <w:textAlignment w:val="baseline"/>
            </w:pPr>
          </w:p>
        </w:tc>
        <w:tc>
          <w:tcPr>
            <w:tcW w:w="1473" w:type="pct"/>
            <w:shd w:val="clear" w:color="auto" w:fill="auto"/>
            <w:vAlign w:val="center"/>
          </w:tcPr>
          <w:p>
            <w:pPr>
              <w:pStyle w:val="186"/>
              <w:textAlignment w:val="baseline"/>
            </w:pPr>
            <w:r>
              <w:rPr>
                <w:rFonts w:hint="eastAsia"/>
              </w:rPr>
              <w:t>热处理炉</w:t>
            </w:r>
          </w:p>
        </w:tc>
        <w:tc>
          <w:tcPr>
            <w:tcW w:w="712" w:type="pct"/>
            <w:shd w:val="clear" w:color="auto" w:fill="auto"/>
            <w:vAlign w:val="center"/>
          </w:tcPr>
          <w:p>
            <w:pPr>
              <w:pStyle w:val="186"/>
              <w:textAlignment w:val="baseline"/>
            </w:pPr>
            <w:r>
              <w:rPr>
                <w:rFonts w:hint="eastAsia"/>
              </w:rPr>
              <w:t>20</w:t>
            </w:r>
          </w:p>
        </w:tc>
        <w:tc>
          <w:tcPr>
            <w:tcW w:w="946" w:type="pct"/>
            <w:vMerge w:val="continue"/>
            <w:shd w:val="clear" w:color="auto" w:fill="auto"/>
            <w:vAlign w:val="center"/>
          </w:tcPr>
          <w:p>
            <w:pPr>
              <w:pStyle w:val="186"/>
              <w:textAlignment w:val="baseline"/>
            </w:pPr>
          </w:p>
        </w:tc>
        <w:tc>
          <w:tcPr>
            <w:tcW w:w="1141" w:type="pct"/>
            <w:vMerge w:val="continue"/>
            <w:shd w:val="clear" w:color="auto" w:fill="auto"/>
            <w:vAlign w:val="center"/>
          </w:tcPr>
          <w:p>
            <w:pPr>
              <w:pStyle w:val="186"/>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28" w:type="pct"/>
            <w:shd w:val="clear" w:color="auto" w:fill="auto"/>
            <w:vAlign w:val="center"/>
          </w:tcPr>
          <w:p>
            <w:pPr>
              <w:pStyle w:val="186"/>
              <w:textAlignment w:val="baseline"/>
            </w:pPr>
            <w:r>
              <w:rPr>
                <w:rFonts w:hint="eastAsia"/>
              </w:rPr>
              <w:t>二氧化硫</w:t>
            </w:r>
          </w:p>
        </w:tc>
        <w:tc>
          <w:tcPr>
            <w:tcW w:w="1473" w:type="pct"/>
            <w:shd w:val="clear" w:color="auto" w:fill="auto"/>
            <w:vAlign w:val="center"/>
          </w:tcPr>
          <w:p>
            <w:pPr>
              <w:pStyle w:val="186"/>
              <w:textAlignment w:val="baseline"/>
            </w:pPr>
            <w:r>
              <w:rPr>
                <w:rFonts w:hint="eastAsia"/>
              </w:rPr>
              <w:t>热处理炉</w:t>
            </w:r>
          </w:p>
        </w:tc>
        <w:tc>
          <w:tcPr>
            <w:tcW w:w="712" w:type="pct"/>
            <w:shd w:val="clear" w:color="auto" w:fill="auto"/>
            <w:vAlign w:val="center"/>
          </w:tcPr>
          <w:p>
            <w:pPr>
              <w:pStyle w:val="186"/>
              <w:textAlignment w:val="baseline"/>
            </w:pPr>
            <w:r>
              <w:rPr>
                <w:rFonts w:hint="eastAsia"/>
              </w:rPr>
              <w:t>150</w:t>
            </w:r>
          </w:p>
        </w:tc>
        <w:tc>
          <w:tcPr>
            <w:tcW w:w="946" w:type="pct"/>
            <w:vMerge w:val="continue"/>
            <w:shd w:val="clear" w:color="auto" w:fill="auto"/>
            <w:vAlign w:val="center"/>
          </w:tcPr>
          <w:p>
            <w:pPr>
              <w:pStyle w:val="186"/>
              <w:textAlignment w:val="baseline"/>
            </w:pPr>
          </w:p>
        </w:tc>
        <w:tc>
          <w:tcPr>
            <w:tcW w:w="1141" w:type="pct"/>
            <w:shd w:val="clear" w:color="auto" w:fill="auto"/>
            <w:vAlign w:val="center"/>
          </w:tcPr>
          <w:p>
            <w:pPr>
              <w:pStyle w:val="186"/>
              <w:textAlignment w:val="baseline"/>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28" w:type="pct"/>
            <w:shd w:val="clear" w:color="auto" w:fill="auto"/>
            <w:vAlign w:val="center"/>
          </w:tcPr>
          <w:p>
            <w:pPr>
              <w:pStyle w:val="186"/>
              <w:textAlignment w:val="baseline"/>
            </w:pPr>
            <w:r>
              <w:rPr>
                <w:rFonts w:hint="eastAsia"/>
              </w:rPr>
              <w:t>氮氧化物</w:t>
            </w:r>
          </w:p>
        </w:tc>
        <w:tc>
          <w:tcPr>
            <w:tcW w:w="1473" w:type="pct"/>
            <w:shd w:val="clear" w:color="auto" w:fill="auto"/>
            <w:vAlign w:val="center"/>
          </w:tcPr>
          <w:p>
            <w:pPr>
              <w:pStyle w:val="186"/>
              <w:textAlignment w:val="baseline"/>
            </w:pPr>
            <w:r>
              <w:rPr>
                <w:rFonts w:hint="eastAsia"/>
              </w:rPr>
              <w:t>热处理炉</w:t>
            </w:r>
          </w:p>
        </w:tc>
        <w:tc>
          <w:tcPr>
            <w:tcW w:w="712" w:type="pct"/>
            <w:shd w:val="clear" w:color="auto" w:fill="auto"/>
            <w:vAlign w:val="center"/>
          </w:tcPr>
          <w:p>
            <w:pPr>
              <w:pStyle w:val="186"/>
              <w:textAlignment w:val="baseline"/>
            </w:pPr>
            <w:r>
              <w:rPr>
                <w:rFonts w:hint="eastAsia"/>
              </w:rPr>
              <w:t>300</w:t>
            </w:r>
          </w:p>
        </w:tc>
        <w:tc>
          <w:tcPr>
            <w:tcW w:w="946" w:type="pct"/>
            <w:vMerge w:val="continue"/>
            <w:shd w:val="clear" w:color="auto" w:fill="auto"/>
            <w:vAlign w:val="center"/>
          </w:tcPr>
          <w:p>
            <w:pPr>
              <w:pStyle w:val="186"/>
              <w:textAlignment w:val="baseline"/>
            </w:pPr>
          </w:p>
        </w:tc>
        <w:tc>
          <w:tcPr>
            <w:tcW w:w="1141" w:type="pct"/>
            <w:shd w:val="clear" w:color="auto" w:fill="auto"/>
            <w:vAlign w:val="center"/>
          </w:tcPr>
          <w:p>
            <w:pPr>
              <w:pStyle w:val="186"/>
              <w:textAlignment w:val="baseline"/>
            </w:pPr>
            <w:r>
              <w:rPr>
                <w:rFonts w:hint="eastAsia"/>
              </w:rPr>
              <w:t>/</w:t>
            </w:r>
          </w:p>
        </w:tc>
      </w:tr>
    </w:tbl>
    <w:p>
      <w:pPr>
        <w:pStyle w:val="3230"/>
        <w:rPr>
          <w:rFonts w:eastAsiaTheme="minorEastAsia"/>
          <w:color w:val="auto"/>
        </w:rPr>
      </w:pPr>
      <w:r>
        <w:rPr>
          <w:rFonts w:hint="eastAsia" w:eastAsiaTheme="minorEastAsia"/>
          <w:color w:val="auto"/>
          <w:szCs w:val="21"/>
        </w:rPr>
        <w:t>专项</w:t>
      </w:r>
      <w:r>
        <w:rPr>
          <w:rFonts w:eastAsiaTheme="minorEastAsia"/>
          <w:color w:val="auto"/>
          <w:szCs w:val="21"/>
        </w:rPr>
        <w:t>表</w:t>
      </w:r>
      <w:r>
        <w:rPr>
          <w:rFonts w:hint="eastAsia" w:eastAsiaTheme="minorEastAsia"/>
          <w:color w:val="auto"/>
          <w:szCs w:val="21"/>
        </w:rPr>
        <w:t>1.4.2</w:t>
      </w:r>
      <w:r>
        <w:rPr>
          <w:rFonts w:eastAsiaTheme="minorEastAsia"/>
          <w:color w:val="auto"/>
          <w:szCs w:val="21"/>
        </w:rPr>
        <w:t>-</w:t>
      </w:r>
      <w:r>
        <w:rPr>
          <w:rFonts w:hint="eastAsia" w:eastAsiaTheme="minorEastAsia"/>
          <w:color w:val="auto"/>
          <w:szCs w:val="21"/>
        </w:rPr>
        <w:t>4</w:t>
      </w:r>
      <w:r>
        <w:rPr>
          <w:rFonts w:eastAsiaTheme="minorEastAsia"/>
          <w:color w:val="auto"/>
          <w:szCs w:val="21"/>
        </w:rPr>
        <w:t xml:space="preserve"> 《</w:t>
      </w:r>
      <w:r>
        <w:rPr>
          <w:rFonts w:eastAsiaTheme="minorEastAsia"/>
          <w:snapToGrid w:val="0"/>
          <w:color w:val="auto"/>
        </w:rPr>
        <w:t>工业炉窑大气污染物排放标准</w:t>
      </w:r>
      <w:r>
        <w:rPr>
          <w:rFonts w:eastAsiaTheme="minorEastAsia"/>
          <w:color w:val="auto"/>
          <w:szCs w:val="21"/>
        </w:rPr>
        <w:t>》（</w:t>
      </w:r>
      <w:r>
        <w:rPr>
          <w:rFonts w:eastAsiaTheme="minorEastAsia"/>
          <w:snapToGrid w:val="0"/>
          <w:color w:val="auto"/>
        </w:rPr>
        <w:t>DB50/659-2016</w:t>
      </w:r>
      <w:r>
        <w:rPr>
          <w:rFonts w:eastAsiaTheme="minorEastAsia"/>
          <w:color w:val="auto"/>
          <w:szCs w:val="21"/>
        </w:rPr>
        <w:t>） [摘录]   单位：mg</w:t>
      </w:r>
      <w:r>
        <w:rPr>
          <w:rFonts w:eastAsiaTheme="minorEastAsia"/>
          <w:color w:val="auto"/>
        </w:rPr>
        <w:t>/m</w:t>
      </w:r>
      <w:r>
        <w:rPr>
          <w:rFonts w:eastAsiaTheme="minorEastAsia"/>
          <w:color w:val="auto"/>
          <w:vertAlign w:val="superscript"/>
        </w:rPr>
        <w:t>3</w:t>
      </w:r>
    </w:p>
    <w:tbl>
      <w:tblPr>
        <w:tblStyle w:val="88"/>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94"/>
        <w:gridCol w:w="1490"/>
        <w:gridCol w:w="1753"/>
        <w:gridCol w:w="2152"/>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194" w:type="dxa"/>
            <w:shd w:val="clear" w:color="auto" w:fill="auto"/>
          </w:tcPr>
          <w:p>
            <w:pPr>
              <w:pStyle w:val="186"/>
            </w:pPr>
            <w:r>
              <w:rPr>
                <w:rFonts w:hint="eastAsia"/>
              </w:rPr>
              <w:t>序号</w:t>
            </w:r>
          </w:p>
        </w:tc>
        <w:tc>
          <w:tcPr>
            <w:tcW w:w="3243" w:type="dxa"/>
            <w:gridSpan w:val="2"/>
            <w:shd w:val="clear" w:color="auto" w:fill="auto"/>
          </w:tcPr>
          <w:p>
            <w:pPr>
              <w:pStyle w:val="186"/>
            </w:pPr>
            <w:r>
              <w:rPr>
                <w:rFonts w:hint="eastAsia"/>
              </w:rPr>
              <w:t>有害污染物名称</w:t>
            </w:r>
          </w:p>
        </w:tc>
        <w:tc>
          <w:tcPr>
            <w:tcW w:w="2152" w:type="dxa"/>
            <w:shd w:val="clear" w:color="auto" w:fill="auto"/>
          </w:tcPr>
          <w:p>
            <w:pPr>
              <w:pStyle w:val="186"/>
            </w:pPr>
            <w:r>
              <w:rPr>
                <w:rFonts w:hint="eastAsia"/>
              </w:rPr>
              <w:t>适用区域</w:t>
            </w:r>
          </w:p>
        </w:tc>
        <w:tc>
          <w:tcPr>
            <w:tcW w:w="2263" w:type="dxa"/>
            <w:shd w:val="clear" w:color="auto" w:fill="auto"/>
          </w:tcPr>
          <w:p>
            <w:pPr>
              <w:pStyle w:val="186"/>
            </w:pPr>
            <w:r>
              <w:rPr>
                <w:rFonts w:hint="eastAsia"/>
              </w:rPr>
              <w:t>最高允许浓度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194" w:type="dxa"/>
            <w:shd w:val="clear" w:color="auto" w:fill="auto"/>
          </w:tcPr>
          <w:p>
            <w:pPr>
              <w:pStyle w:val="186"/>
            </w:pPr>
            <w:r>
              <w:rPr>
                <w:rFonts w:hint="eastAsia"/>
              </w:rPr>
              <w:t>1</w:t>
            </w:r>
          </w:p>
        </w:tc>
        <w:tc>
          <w:tcPr>
            <w:tcW w:w="1490" w:type="dxa"/>
            <w:shd w:val="clear" w:color="auto" w:fill="auto"/>
            <w:vAlign w:val="center"/>
          </w:tcPr>
          <w:p>
            <w:pPr>
              <w:pStyle w:val="186"/>
            </w:pPr>
            <w:r>
              <w:rPr>
                <w:rFonts w:hint="eastAsia"/>
              </w:rPr>
              <w:t>二氧化硫</w:t>
            </w:r>
          </w:p>
        </w:tc>
        <w:tc>
          <w:tcPr>
            <w:tcW w:w="1753" w:type="dxa"/>
            <w:shd w:val="clear" w:color="auto" w:fill="auto"/>
          </w:tcPr>
          <w:p>
            <w:pPr>
              <w:pStyle w:val="186"/>
            </w:pPr>
            <w:r>
              <w:rPr>
                <w:rFonts w:hint="eastAsia"/>
              </w:rPr>
              <w:t>其他窑炉</w:t>
            </w:r>
          </w:p>
        </w:tc>
        <w:tc>
          <w:tcPr>
            <w:tcW w:w="2152" w:type="dxa"/>
            <w:shd w:val="clear" w:color="auto" w:fill="auto"/>
          </w:tcPr>
          <w:p>
            <w:pPr>
              <w:pStyle w:val="186"/>
            </w:pPr>
            <w:r>
              <w:rPr>
                <w:rFonts w:hint="eastAsia"/>
              </w:rPr>
              <w:t>其他区域</w:t>
            </w:r>
          </w:p>
        </w:tc>
        <w:tc>
          <w:tcPr>
            <w:tcW w:w="2263" w:type="dxa"/>
            <w:shd w:val="clear" w:color="auto" w:fill="auto"/>
          </w:tcPr>
          <w:p>
            <w:pPr>
              <w:pStyle w:val="186"/>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94" w:type="dxa"/>
            <w:shd w:val="clear" w:color="auto" w:fill="auto"/>
          </w:tcPr>
          <w:p>
            <w:pPr>
              <w:pStyle w:val="186"/>
            </w:pPr>
            <w:r>
              <w:rPr>
                <w:rFonts w:hint="eastAsia"/>
              </w:rPr>
              <w:t>2</w:t>
            </w:r>
          </w:p>
        </w:tc>
        <w:tc>
          <w:tcPr>
            <w:tcW w:w="1490" w:type="dxa"/>
            <w:shd w:val="clear" w:color="auto" w:fill="auto"/>
            <w:vAlign w:val="center"/>
          </w:tcPr>
          <w:p>
            <w:pPr>
              <w:pStyle w:val="186"/>
            </w:pPr>
            <w:r>
              <w:rPr>
                <w:rFonts w:hint="eastAsia"/>
              </w:rPr>
              <w:t>氮氧化物</w:t>
            </w:r>
          </w:p>
        </w:tc>
        <w:tc>
          <w:tcPr>
            <w:tcW w:w="1753" w:type="dxa"/>
            <w:shd w:val="clear" w:color="auto" w:fill="auto"/>
          </w:tcPr>
          <w:p>
            <w:pPr>
              <w:pStyle w:val="186"/>
            </w:pPr>
            <w:r>
              <w:rPr>
                <w:rFonts w:hint="eastAsia"/>
              </w:rPr>
              <w:t>其他窑炉</w:t>
            </w:r>
          </w:p>
        </w:tc>
        <w:tc>
          <w:tcPr>
            <w:tcW w:w="2152" w:type="dxa"/>
            <w:shd w:val="clear" w:color="auto" w:fill="auto"/>
          </w:tcPr>
          <w:p>
            <w:pPr>
              <w:pStyle w:val="186"/>
            </w:pPr>
            <w:r>
              <w:rPr>
                <w:rFonts w:hint="eastAsia"/>
              </w:rPr>
              <w:t>其他区域</w:t>
            </w:r>
          </w:p>
        </w:tc>
        <w:tc>
          <w:tcPr>
            <w:tcW w:w="2263" w:type="dxa"/>
            <w:shd w:val="clear" w:color="auto" w:fill="auto"/>
          </w:tcPr>
          <w:p>
            <w:pPr>
              <w:pStyle w:val="186"/>
            </w:pPr>
            <w:r>
              <w:rPr>
                <w:rFonts w:hint="eastAsia"/>
              </w:rPr>
              <w:t>700</w:t>
            </w:r>
          </w:p>
        </w:tc>
      </w:tr>
    </w:tbl>
    <w:p>
      <w:pPr>
        <w:pStyle w:val="3230"/>
        <w:rPr>
          <w:rFonts w:eastAsiaTheme="minorEastAsia"/>
          <w:color w:val="auto"/>
        </w:rPr>
      </w:pPr>
      <w:r>
        <w:rPr>
          <w:rFonts w:hint="eastAsia" w:eastAsiaTheme="minorEastAsia"/>
          <w:color w:val="auto"/>
          <w:szCs w:val="21"/>
        </w:rPr>
        <w:t>专项</w:t>
      </w:r>
      <w:r>
        <w:rPr>
          <w:rFonts w:eastAsiaTheme="minorEastAsia"/>
          <w:color w:val="auto"/>
          <w:szCs w:val="21"/>
        </w:rPr>
        <w:t>表</w:t>
      </w:r>
      <w:r>
        <w:rPr>
          <w:rFonts w:hint="eastAsia" w:eastAsiaTheme="minorEastAsia"/>
          <w:color w:val="auto"/>
          <w:szCs w:val="21"/>
        </w:rPr>
        <w:t>1.4.2</w:t>
      </w:r>
      <w:r>
        <w:rPr>
          <w:rFonts w:eastAsiaTheme="minorEastAsia"/>
          <w:color w:val="auto"/>
          <w:szCs w:val="21"/>
        </w:rPr>
        <w:t>-</w:t>
      </w:r>
      <w:r>
        <w:rPr>
          <w:rFonts w:hint="eastAsia" w:eastAsiaTheme="minorEastAsia"/>
          <w:color w:val="auto"/>
          <w:szCs w:val="21"/>
        </w:rPr>
        <w:t>5</w:t>
      </w:r>
      <w:r>
        <w:rPr>
          <w:rFonts w:eastAsiaTheme="minorEastAsia"/>
          <w:color w:val="auto"/>
        </w:rPr>
        <w:t xml:space="preserve">  《大气污染物综合排放标准》（DB50/418-2016）二级标准  [摘录]</w:t>
      </w:r>
    </w:p>
    <w:tbl>
      <w:tblPr>
        <w:tblStyle w:val="88"/>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15"/>
        <w:gridCol w:w="1919"/>
        <w:gridCol w:w="1287"/>
        <w:gridCol w:w="1681"/>
        <w:gridCol w:w="1399"/>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0" w:hRule="atLeast"/>
          <w:jc w:val="center"/>
        </w:trPr>
        <w:tc>
          <w:tcPr>
            <w:tcW w:w="965" w:type="dxa"/>
            <w:vMerge w:val="restart"/>
            <w:vAlign w:val="center"/>
          </w:tcPr>
          <w:p>
            <w:pPr>
              <w:pStyle w:val="186"/>
            </w:pPr>
            <w:r>
              <w:rPr>
                <w:rFonts w:hint="eastAsia"/>
              </w:rPr>
              <w:t>污染物名称</w:t>
            </w:r>
          </w:p>
        </w:tc>
        <w:tc>
          <w:tcPr>
            <w:tcW w:w="1825" w:type="dxa"/>
            <w:vMerge w:val="restart"/>
            <w:vAlign w:val="center"/>
          </w:tcPr>
          <w:p>
            <w:pPr>
              <w:pStyle w:val="186"/>
            </w:pPr>
            <w:r>
              <w:rPr>
                <w:rFonts w:hint="eastAsia"/>
              </w:rPr>
              <w:t>最高允许排放浓度（mg/m</w:t>
            </w:r>
            <w:r>
              <w:rPr>
                <w:rFonts w:hint="eastAsia"/>
                <w:vertAlign w:val="superscript"/>
              </w:rPr>
              <w:t>3</w:t>
            </w:r>
            <w:r>
              <w:rPr>
                <w:rFonts w:hint="eastAsia"/>
              </w:rPr>
              <w:t>）</w:t>
            </w:r>
          </w:p>
        </w:tc>
        <w:tc>
          <w:tcPr>
            <w:tcW w:w="1224" w:type="dxa"/>
            <w:vMerge w:val="restart"/>
            <w:vAlign w:val="center"/>
          </w:tcPr>
          <w:p>
            <w:pPr>
              <w:pStyle w:val="186"/>
            </w:pPr>
            <w:r>
              <w:rPr>
                <w:rFonts w:hint="eastAsia"/>
              </w:rPr>
              <w:t>排气筒（m）</w:t>
            </w:r>
          </w:p>
        </w:tc>
        <w:tc>
          <w:tcPr>
            <w:tcW w:w="1598" w:type="dxa"/>
            <w:vMerge w:val="restart"/>
            <w:vAlign w:val="center"/>
          </w:tcPr>
          <w:p>
            <w:pPr>
              <w:pStyle w:val="186"/>
            </w:pPr>
            <w:r>
              <w:rPr>
                <w:rFonts w:hint="eastAsia"/>
              </w:rPr>
              <w:t>最高允许排放速率（kg/h）</w:t>
            </w:r>
          </w:p>
        </w:tc>
        <w:tc>
          <w:tcPr>
            <w:tcW w:w="2790" w:type="dxa"/>
            <w:gridSpan w:val="2"/>
            <w:vAlign w:val="center"/>
          </w:tcPr>
          <w:p>
            <w:pPr>
              <w:pStyle w:val="186"/>
            </w:pPr>
            <w:r>
              <w:rPr>
                <w:rFonts w:hint="eastAsia"/>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 w:hRule="atLeast"/>
          <w:jc w:val="center"/>
        </w:trPr>
        <w:tc>
          <w:tcPr>
            <w:tcW w:w="965" w:type="dxa"/>
            <w:vMerge w:val="continue"/>
            <w:vAlign w:val="center"/>
          </w:tcPr>
          <w:p>
            <w:pPr>
              <w:pStyle w:val="186"/>
            </w:pPr>
          </w:p>
        </w:tc>
        <w:tc>
          <w:tcPr>
            <w:tcW w:w="1825" w:type="dxa"/>
            <w:vMerge w:val="continue"/>
            <w:vAlign w:val="center"/>
          </w:tcPr>
          <w:p>
            <w:pPr>
              <w:pStyle w:val="186"/>
            </w:pPr>
          </w:p>
        </w:tc>
        <w:tc>
          <w:tcPr>
            <w:tcW w:w="1224" w:type="dxa"/>
            <w:vMerge w:val="continue"/>
            <w:vAlign w:val="center"/>
          </w:tcPr>
          <w:p>
            <w:pPr>
              <w:pStyle w:val="186"/>
            </w:pPr>
          </w:p>
        </w:tc>
        <w:tc>
          <w:tcPr>
            <w:tcW w:w="1598" w:type="dxa"/>
            <w:vMerge w:val="continue"/>
            <w:vAlign w:val="center"/>
          </w:tcPr>
          <w:p>
            <w:pPr>
              <w:pStyle w:val="186"/>
            </w:pPr>
          </w:p>
        </w:tc>
        <w:tc>
          <w:tcPr>
            <w:tcW w:w="1330" w:type="dxa"/>
            <w:vAlign w:val="center"/>
          </w:tcPr>
          <w:p>
            <w:pPr>
              <w:pStyle w:val="186"/>
            </w:pPr>
            <w:r>
              <w:rPr>
                <w:rFonts w:hint="eastAsia"/>
              </w:rPr>
              <w:t>监控点</w:t>
            </w:r>
          </w:p>
        </w:tc>
        <w:tc>
          <w:tcPr>
            <w:tcW w:w="1460" w:type="dxa"/>
            <w:vAlign w:val="center"/>
          </w:tcPr>
          <w:p>
            <w:pPr>
              <w:pStyle w:val="186"/>
            </w:pPr>
            <w:r>
              <w:rPr>
                <w:rFonts w:hint="eastAsia"/>
              </w:rPr>
              <w:t>浓度（mg/m</w:t>
            </w:r>
            <w:r>
              <w:rPr>
                <w:rFonts w:hint="eastAsia"/>
                <w:vertAlign w:val="super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965" w:type="dxa"/>
            <w:vAlign w:val="center"/>
          </w:tcPr>
          <w:p>
            <w:pPr>
              <w:pStyle w:val="186"/>
            </w:pPr>
            <w:r>
              <w:rPr>
                <w:rFonts w:hint="eastAsia"/>
              </w:rPr>
              <w:t>颗粒物</w:t>
            </w:r>
          </w:p>
        </w:tc>
        <w:tc>
          <w:tcPr>
            <w:tcW w:w="1825" w:type="dxa"/>
            <w:vAlign w:val="center"/>
          </w:tcPr>
          <w:p>
            <w:pPr>
              <w:pStyle w:val="186"/>
            </w:pPr>
            <w:r>
              <w:rPr>
                <w:rFonts w:hint="eastAsia"/>
              </w:rPr>
              <w:t>120</w:t>
            </w:r>
          </w:p>
        </w:tc>
        <w:tc>
          <w:tcPr>
            <w:tcW w:w="1224" w:type="dxa"/>
            <w:vAlign w:val="center"/>
          </w:tcPr>
          <w:p>
            <w:pPr>
              <w:pStyle w:val="186"/>
            </w:pPr>
            <w:r>
              <w:rPr>
                <w:rFonts w:hint="eastAsia"/>
              </w:rPr>
              <w:t>15</w:t>
            </w:r>
          </w:p>
        </w:tc>
        <w:tc>
          <w:tcPr>
            <w:tcW w:w="1598" w:type="dxa"/>
            <w:vAlign w:val="center"/>
          </w:tcPr>
          <w:p>
            <w:pPr>
              <w:pStyle w:val="186"/>
            </w:pPr>
            <w:r>
              <w:rPr>
                <w:rFonts w:hint="eastAsia"/>
              </w:rPr>
              <w:t>3.5</w:t>
            </w:r>
          </w:p>
        </w:tc>
        <w:tc>
          <w:tcPr>
            <w:tcW w:w="1330" w:type="dxa"/>
            <w:vMerge w:val="restart"/>
            <w:vAlign w:val="center"/>
          </w:tcPr>
          <w:p>
            <w:pPr>
              <w:pStyle w:val="186"/>
            </w:pPr>
            <w:r>
              <w:rPr>
                <w:rFonts w:hint="eastAsia"/>
              </w:rPr>
              <w:t>周界外浓度最高点</w:t>
            </w:r>
          </w:p>
        </w:tc>
        <w:tc>
          <w:tcPr>
            <w:tcW w:w="1460" w:type="dxa"/>
            <w:vAlign w:val="center"/>
          </w:tcPr>
          <w:p>
            <w:pPr>
              <w:pStyle w:val="186"/>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965" w:type="dxa"/>
            <w:vAlign w:val="center"/>
          </w:tcPr>
          <w:p>
            <w:pPr>
              <w:pStyle w:val="186"/>
            </w:pPr>
            <w:r>
              <w:rPr>
                <w:rFonts w:hint="eastAsia"/>
              </w:rPr>
              <w:t>二氧化硫</w:t>
            </w:r>
          </w:p>
        </w:tc>
        <w:tc>
          <w:tcPr>
            <w:tcW w:w="1825" w:type="dxa"/>
            <w:vAlign w:val="center"/>
          </w:tcPr>
          <w:p>
            <w:pPr>
              <w:pStyle w:val="186"/>
            </w:pPr>
            <w:r>
              <w:rPr>
                <w:rFonts w:hint="eastAsia"/>
              </w:rPr>
              <w:t>550</w:t>
            </w:r>
          </w:p>
        </w:tc>
        <w:tc>
          <w:tcPr>
            <w:tcW w:w="1224" w:type="dxa"/>
            <w:vAlign w:val="center"/>
          </w:tcPr>
          <w:p>
            <w:pPr>
              <w:pStyle w:val="186"/>
            </w:pPr>
            <w:r>
              <w:rPr>
                <w:rFonts w:hint="eastAsia"/>
              </w:rPr>
              <w:t>15</w:t>
            </w:r>
          </w:p>
        </w:tc>
        <w:tc>
          <w:tcPr>
            <w:tcW w:w="1598" w:type="dxa"/>
            <w:vAlign w:val="center"/>
          </w:tcPr>
          <w:p>
            <w:pPr>
              <w:pStyle w:val="186"/>
            </w:pPr>
            <w:r>
              <w:rPr>
                <w:rFonts w:hint="eastAsia"/>
              </w:rPr>
              <w:t>2.6</w:t>
            </w:r>
          </w:p>
        </w:tc>
        <w:tc>
          <w:tcPr>
            <w:tcW w:w="1330" w:type="dxa"/>
            <w:vMerge w:val="continue"/>
            <w:vAlign w:val="center"/>
          </w:tcPr>
          <w:p>
            <w:pPr>
              <w:pStyle w:val="186"/>
            </w:pPr>
          </w:p>
        </w:tc>
        <w:tc>
          <w:tcPr>
            <w:tcW w:w="1460" w:type="dxa"/>
            <w:vAlign w:val="center"/>
          </w:tcPr>
          <w:p>
            <w:pPr>
              <w:pStyle w:val="186"/>
            </w:pPr>
            <w:r>
              <w:rPr>
                <w:rFonts w:hint="eastAsia"/>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965" w:type="dxa"/>
            <w:vAlign w:val="center"/>
          </w:tcPr>
          <w:p>
            <w:pPr>
              <w:pStyle w:val="186"/>
            </w:pPr>
            <w:r>
              <w:rPr>
                <w:rFonts w:hint="eastAsia"/>
              </w:rPr>
              <w:t>氮氧化物</w:t>
            </w:r>
          </w:p>
        </w:tc>
        <w:tc>
          <w:tcPr>
            <w:tcW w:w="1825" w:type="dxa"/>
            <w:vAlign w:val="center"/>
          </w:tcPr>
          <w:p>
            <w:pPr>
              <w:pStyle w:val="186"/>
            </w:pPr>
            <w:r>
              <w:rPr>
                <w:rFonts w:hint="eastAsia"/>
              </w:rPr>
              <w:t>240</w:t>
            </w:r>
          </w:p>
        </w:tc>
        <w:tc>
          <w:tcPr>
            <w:tcW w:w="1224" w:type="dxa"/>
            <w:vAlign w:val="center"/>
          </w:tcPr>
          <w:p>
            <w:pPr>
              <w:pStyle w:val="186"/>
            </w:pPr>
            <w:r>
              <w:rPr>
                <w:rFonts w:hint="eastAsia"/>
              </w:rPr>
              <w:t>15</w:t>
            </w:r>
          </w:p>
        </w:tc>
        <w:tc>
          <w:tcPr>
            <w:tcW w:w="1598" w:type="dxa"/>
            <w:vAlign w:val="center"/>
          </w:tcPr>
          <w:p>
            <w:pPr>
              <w:pStyle w:val="186"/>
            </w:pPr>
            <w:r>
              <w:rPr>
                <w:rFonts w:hint="eastAsia"/>
              </w:rPr>
              <w:t>0.77</w:t>
            </w:r>
          </w:p>
        </w:tc>
        <w:tc>
          <w:tcPr>
            <w:tcW w:w="1330" w:type="dxa"/>
            <w:vMerge w:val="continue"/>
            <w:vAlign w:val="center"/>
          </w:tcPr>
          <w:p>
            <w:pPr>
              <w:pStyle w:val="186"/>
            </w:pPr>
          </w:p>
        </w:tc>
        <w:tc>
          <w:tcPr>
            <w:tcW w:w="1460" w:type="dxa"/>
            <w:vAlign w:val="center"/>
          </w:tcPr>
          <w:p>
            <w:pPr>
              <w:pStyle w:val="186"/>
            </w:pPr>
            <w:r>
              <w:rPr>
                <w:rFonts w:hint="eastAsia"/>
              </w:rPr>
              <w:t>0.12</w:t>
            </w:r>
          </w:p>
        </w:tc>
      </w:tr>
    </w:tbl>
    <w:p/>
    <w:p>
      <w:pPr>
        <w:ind w:firstLine="0" w:firstLineChars="0"/>
        <w:rPr>
          <w:b/>
          <w:sz w:val="28"/>
          <w:szCs w:val="28"/>
        </w:rPr>
      </w:pPr>
      <w:r>
        <w:rPr>
          <w:rFonts w:hint="eastAsia"/>
          <w:b/>
          <w:sz w:val="28"/>
          <w:szCs w:val="28"/>
        </w:rPr>
        <w:t>1.5评价等级及评价范围</w:t>
      </w:r>
    </w:p>
    <w:p>
      <w:pPr>
        <w:ind w:firstLine="0" w:firstLineChars="0"/>
        <w:rPr>
          <w:b/>
        </w:rPr>
      </w:pPr>
      <w:r>
        <w:rPr>
          <w:rFonts w:hint="eastAsia"/>
          <w:b/>
        </w:rPr>
        <w:t>1.5.1评价等级</w:t>
      </w:r>
    </w:p>
    <w:p>
      <w:r>
        <w:t>根据《环境影响评价技术导则 大气环境》（HJ 2.2-2018）中相关要求选择正常排放的主要污染物及排放参数，采用附录A推荐模型中的AERSCREEN模式计算项目污染源的最大环境影响，然后按评价工作分级判据进行分级。</w:t>
      </w:r>
    </w:p>
    <w:p>
      <w:r>
        <w:t>P</w:t>
      </w:r>
      <w:r>
        <w:rPr>
          <w:vertAlign w:val="subscript"/>
        </w:rPr>
        <w:t>max</w:t>
      </w:r>
      <w:r>
        <w:t>及D</w:t>
      </w:r>
      <w:r>
        <w:rPr>
          <w:vertAlign w:val="subscript"/>
        </w:rPr>
        <w:t>10%</w:t>
      </w:r>
      <w:r>
        <w:t>的确定：依据《环境影响评价技术导则 大气环境》（HJ 2.2-2018）中最大地面浓度占标率P</w:t>
      </w:r>
      <w:r>
        <w:rPr>
          <w:vertAlign w:val="subscript"/>
        </w:rPr>
        <w:t>i</w:t>
      </w:r>
      <w:r>
        <w:t>定义如下：</w:t>
      </w:r>
    </w:p>
    <w:p>
      <w:r>
        <w:t>P</w:t>
      </w:r>
      <w:r>
        <w:rPr>
          <w:vertAlign w:val="subscript"/>
        </w:rPr>
        <w:t>i</w:t>
      </w:r>
      <w:r>
        <w:t>=C</w:t>
      </w:r>
      <w:r>
        <w:rPr>
          <w:vertAlign w:val="subscript"/>
        </w:rPr>
        <w:t>i</w:t>
      </w:r>
      <w:r>
        <w:t>/C</w:t>
      </w:r>
      <w:r>
        <w:rPr>
          <w:vertAlign w:val="subscript"/>
        </w:rPr>
        <w:t>oi</w:t>
      </w:r>
      <w:r>
        <w:t>×100%</w:t>
      </w:r>
    </w:p>
    <w:p>
      <w:r>
        <w:t>式中：P</w:t>
      </w:r>
      <w:r>
        <w:rPr>
          <w:vertAlign w:val="subscript"/>
        </w:rPr>
        <w:t>i</w:t>
      </w:r>
      <w:r>
        <w:t>---第i个污染物的最大地面浓度占标率，%；</w:t>
      </w:r>
    </w:p>
    <w:p>
      <w:r>
        <w:t xml:space="preserve">      C</w:t>
      </w:r>
      <w:r>
        <w:rPr>
          <w:vertAlign w:val="subscript"/>
        </w:rPr>
        <w:t>i</w:t>
      </w:r>
      <w:r>
        <w:t>---采用估算模式计算出的第i个污染物的最大1h地面空气质量浓度，µg/m</w:t>
      </w:r>
      <w:r>
        <w:rPr>
          <w:vertAlign w:val="superscript"/>
        </w:rPr>
        <w:t>3</w:t>
      </w:r>
      <w:r>
        <w:t>；</w:t>
      </w:r>
    </w:p>
    <w:p>
      <w:r>
        <w:t xml:space="preserve">        C</w:t>
      </w:r>
      <w:r>
        <w:rPr>
          <w:vertAlign w:val="subscript"/>
        </w:rPr>
        <w:t>oi</w:t>
      </w:r>
      <w:r>
        <w:t>---第i个污染物的环境空气质量标准，µg/m</w:t>
      </w:r>
      <w:r>
        <w:rPr>
          <w:vertAlign w:val="superscript"/>
        </w:rPr>
        <w:t>3</w:t>
      </w:r>
      <w:r>
        <w:t>。</w:t>
      </w:r>
    </w:p>
    <w:p>
      <w:r>
        <w:t>评价工作等级按下表的分级判据进行划分，如果污染物数i大于1，取P值中最大者（P</w:t>
      </w:r>
      <w:r>
        <w:rPr>
          <w:vertAlign w:val="subscript"/>
        </w:rPr>
        <w:t>max</w:t>
      </w:r>
      <w:r>
        <w:t>）和其对应的D</w:t>
      </w:r>
      <w:r>
        <w:rPr>
          <w:vertAlign w:val="subscript"/>
        </w:rPr>
        <w:t>10%</w:t>
      </w:r>
      <w:r>
        <w:t>，D</w:t>
      </w:r>
      <w:r>
        <w:rPr>
          <w:vertAlign w:val="subscript"/>
        </w:rPr>
        <w:t>10%</w:t>
      </w:r>
      <w:r>
        <w:t>为污染物的地面浓度达到标准限值10%时所对应的最远距离。当同一项目有多个（含2个）污染源排放同一种污染物时，则取评价等级最高者作为项目的评价等级。评价工作等级判断标准见</w:t>
      </w:r>
      <w:r>
        <w:rPr>
          <w:rFonts w:hint="eastAsia"/>
        </w:rPr>
        <w:t>专项</w:t>
      </w:r>
      <w:r>
        <w:t>表1.</w:t>
      </w:r>
      <w:r>
        <w:rPr>
          <w:rFonts w:hint="eastAsia"/>
        </w:rPr>
        <w:t>5.1-1</w:t>
      </w:r>
      <w:r>
        <w:t>。</w:t>
      </w:r>
    </w:p>
    <w:p>
      <w:pPr>
        <w:pStyle w:val="3230"/>
        <w:rPr>
          <w:rFonts w:eastAsiaTheme="minorEastAsia"/>
          <w:color w:val="auto"/>
        </w:rPr>
      </w:pPr>
      <w:r>
        <w:rPr>
          <w:rFonts w:hint="eastAsia" w:eastAsiaTheme="minorEastAsia"/>
          <w:color w:val="auto"/>
        </w:rPr>
        <w:t>专项</w:t>
      </w:r>
      <w:r>
        <w:rPr>
          <w:rFonts w:eastAsiaTheme="minorEastAsia"/>
          <w:color w:val="auto"/>
        </w:rPr>
        <w:t>表1.</w:t>
      </w:r>
      <w:r>
        <w:rPr>
          <w:rFonts w:hint="eastAsia" w:eastAsiaTheme="minorEastAsia"/>
          <w:color w:val="auto"/>
        </w:rPr>
        <w:t>5.1</w:t>
      </w:r>
      <w:r>
        <w:rPr>
          <w:rFonts w:eastAsiaTheme="minorEastAsia"/>
          <w:color w:val="auto"/>
        </w:rPr>
        <w:t>-</w:t>
      </w:r>
      <w:r>
        <w:rPr>
          <w:rFonts w:hint="eastAsia" w:eastAsiaTheme="minorEastAsia"/>
          <w:color w:val="auto"/>
        </w:rPr>
        <w:t>1</w:t>
      </w:r>
      <w:r>
        <w:rPr>
          <w:rFonts w:eastAsiaTheme="minorEastAsia"/>
          <w:color w:val="auto"/>
        </w:rPr>
        <w:t xml:space="preserve"> </w:t>
      </w:r>
      <w:r>
        <w:rPr>
          <w:rFonts w:hint="eastAsia" w:eastAsiaTheme="minorEastAsia"/>
          <w:color w:val="auto"/>
        </w:rPr>
        <w:t xml:space="preserve"> </w:t>
      </w:r>
      <w:r>
        <w:rPr>
          <w:rFonts w:eastAsiaTheme="minorEastAsia"/>
          <w:color w:val="auto"/>
        </w:rPr>
        <w:t xml:space="preserve"> 大气环境影响评价工作等级</w:t>
      </w:r>
      <w:r>
        <w:rPr>
          <w:rFonts w:hint="eastAsia" w:eastAsiaTheme="minorEastAsia"/>
          <w:color w:val="auto"/>
        </w:rPr>
        <w:t>判别表</w:t>
      </w:r>
    </w:p>
    <w:tbl>
      <w:tblPr>
        <w:tblStyle w:val="88"/>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83"/>
        <w:gridCol w:w="626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683" w:type="dxa"/>
            <w:vAlign w:val="center"/>
          </w:tcPr>
          <w:p>
            <w:pPr>
              <w:spacing w:line="240" w:lineRule="exact"/>
              <w:ind w:right="210" w:firstLine="420"/>
              <w:jc w:val="center"/>
              <w:rPr>
                <w:sz w:val="21"/>
                <w:szCs w:val="21"/>
              </w:rPr>
            </w:pPr>
            <w:r>
              <w:rPr>
                <w:sz w:val="21"/>
                <w:szCs w:val="21"/>
              </w:rPr>
              <w:t>评价工作等级</w:t>
            </w:r>
          </w:p>
        </w:tc>
        <w:tc>
          <w:tcPr>
            <w:tcW w:w="6263" w:type="dxa"/>
            <w:vAlign w:val="center"/>
          </w:tcPr>
          <w:p>
            <w:pPr>
              <w:spacing w:line="240" w:lineRule="exact"/>
              <w:ind w:right="210" w:firstLine="420"/>
              <w:jc w:val="center"/>
              <w:rPr>
                <w:sz w:val="21"/>
                <w:szCs w:val="21"/>
              </w:rPr>
            </w:pPr>
            <w:r>
              <w:rPr>
                <w:sz w:val="21"/>
                <w:szCs w:val="21"/>
              </w:rPr>
              <w:t>评价工作分级判据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2683" w:type="dxa"/>
            <w:vAlign w:val="center"/>
          </w:tcPr>
          <w:p>
            <w:pPr>
              <w:spacing w:line="240" w:lineRule="exact"/>
              <w:ind w:right="210" w:firstLine="420"/>
              <w:jc w:val="center"/>
              <w:rPr>
                <w:sz w:val="21"/>
                <w:szCs w:val="21"/>
              </w:rPr>
            </w:pPr>
            <w:r>
              <w:rPr>
                <w:sz w:val="21"/>
                <w:szCs w:val="21"/>
              </w:rPr>
              <w:t>一级</w:t>
            </w:r>
          </w:p>
        </w:tc>
        <w:tc>
          <w:tcPr>
            <w:tcW w:w="6263" w:type="dxa"/>
            <w:vAlign w:val="center"/>
          </w:tcPr>
          <w:p>
            <w:pPr>
              <w:spacing w:line="240" w:lineRule="exact"/>
              <w:ind w:right="210" w:firstLine="420"/>
              <w:jc w:val="center"/>
              <w:rPr>
                <w:sz w:val="21"/>
                <w:szCs w:val="21"/>
              </w:rPr>
            </w:pPr>
            <w:r>
              <w:rPr>
                <w:sz w:val="21"/>
                <w:szCs w:val="21"/>
              </w:rPr>
              <w:t>P</w:t>
            </w:r>
            <w:r>
              <w:rPr>
                <w:sz w:val="21"/>
                <w:szCs w:val="21"/>
                <w:vertAlign w:val="subscript"/>
              </w:rPr>
              <w:t>max</w:t>
            </w:r>
            <w:r>
              <w:rPr>
                <w:bCs/>
                <w:sz w:val="21"/>
                <w:szCs w:val="21"/>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2683" w:type="dxa"/>
            <w:vAlign w:val="center"/>
          </w:tcPr>
          <w:p>
            <w:pPr>
              <w:spacing w:line="240" w:lineRule="exact"/>
              <w:ind w:right="210" w:firstLine="420"/>
              <w:jc w:val="center"/>
              <w:rPr>
                <w:sz w:val="21"/>
                <w:szCs w:val="21"/>
              </w:rPr>
            </w:pPr>
            <w:r>
              <w:rPr>
                <w:sz w:val="21"/>
                <w:szCs w:val="21"/>
              </w:rPr>
              <w:t>二级</w:t>
            </w:r>
          </w:p>
        </w:tc>
        <w:tc>
          <w:tcPr>
            <w:tcW w:w="6263" w:type="dxa"/>
            <w:vAlign w:val="center"/>
          </w:tcPr>
          <w:p>
            <w:pPr>
              <w:spacing w:line="240" w:lineRule="exact"/>
              <w:ind w:right="210" w:firstLine="420"/>
              <w:jc w:val="center"/>
              <w:rPr>
                <w:sz w:val="21"/>
                <w:szCs w:val="21"/>
              </w:rPr>
            </w:pPr>
            <w:r>
              <w:rPr>
                <w:bCs/>
                <w:sz w:val="21"/>
                <w:szCs w:val="21"/>
              </w:rPr>
              <w:t>1%≤</w:t>
            </w:r>
            <w:r>
              <w:rPr>
                <w:sz w:val="21"/>
                <w:szCs w:val="21"/>
              </w:rPr>
              <w:t>P</w:t>
            </w:r>
            <w:r>
              <w:rPr>
                <w:sz w:val="21"/>
                <w:szCs w:val="21"/>
                <w:vertAlign w:val="subscript"/>
              </w:rPr>
              <w:t>max</w:t>
            </w:r>
            <w:r>
              <w:rPr>
                <w:bCs/>
                <w:sz w:val="21"/>
                <w:szCs w:val="21"/>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683" w:type="dxa"/>
            <w:vAlign w:val="center"/>
          </w:tcPr>
          <w:p>
            <w:pPr>
              <w:spacing w:line="240" w:lineRule="exact"/>
              <w:ind w:right="210" w:firstLine="420"/>
              <w:jc w:val="center"/>
              <w:rPr>
                <w:sz w:val="21"/>
                <w:szCs w:val="21"/>
              </w:rPr>
            </w:pPr>
            <w:r>
              <w:rPr>
                <w:sz w:val="21"/>
                <w:szCs w:val="21"/>
              </w:rPr>
              <w:t>三级</w:t>
            </w:r>
          </w:p>
        </w:tc>
        <w:tc>
          <w:tcPr>
            <w:tcW w:w="6263" w:type="dxa"/>
            <w:vAlign w:val="center"/>
          </w:tcPr>
          <w:p>
            <w:pPr>
              <w:spacing w:line="240" w:lineRule="exact"/>
              <w:ind w:right="210" w:firstLine="420"/>
              <w:jc w:val="center"/>
              <w:rPr>
                <w:sz w:val="21"/>
                <w:szCs w:val="21"/>
              </w:rPr>
            </w:pPr>
            <w:r>
              <w:rPr>
                <w:bCs/>
                <w:sz w:val="21"/>
                <w:szCs w:val="21"/>
              </w:rPr>
              <w:t>P</w:t>
            </w:r>
            <w:r>
              <w:rPr>
                <w:bCs/>
                <w:sz w:val="21"/>
                <w:szCs w:val="21"/>
                <w:vertAlign w:val="subscript"/>
              </w:rPr>
              <w:t>max</w:t>
            </w:r>
            <w:r>
              <w:rPr>
                <w:bCs/>
                <w:sz w:val="21"/>
                <w:szCs w:val="21"/>
              </w:rPr>
              <w:t>＜1%</w:t>
            </w:r>
          </w:p>
        </w:tc>
      </w:tr>
    </w:tbl>
    <w:p>
      <w:pPr>
        <w:rPr>
          <w:bCs/>
        </w:rPr>
      </w:pPr>
    </w:p>
    <w:p>
      <w:pPr>
        <w:rPr>
          <w:bCs/>
        </w:rPr>
      </w:pPr>
      <w:r>
        <w:rPr>
          <w:bCs/>
        </w:rPr>
        <w:t>估算模型参数见</w:t>
      </w:r>
      <w:r>
        <w:rPr>
          <w:rFonts w:hint="eastAsia"/>
          <w:bCs/>
        </w:rPr>
        <w:t>专项</w:t>
      </w:r>
      <w:r>
        <w:rPr>
          <w:bCs/>
        </w:rPr>
        <w:t>表1.</w:t>
      </w:r>
      <w:r>
        <w:rPr>
          <w:rFonts w:hint="eastAsia"/>
          <w:bCs/>
        </w:rPr>
        <w:t>5.1</w:t>
      </w:r>
      <w:r>
        <w:rPr>
          <w:bCs/>
        </w:rPr>
        <w:t>-</w:t>
      </w:r>
      <w:r>
        <w:rPr>
          <w:rFonts w:hint="eastAsia"/>
          <w:bCs/>
        </w:rPr>
        <w:t>2</w:t>
      </w:r>
      <w:r>
        <w:rPr>
          <w:bCs/>
        </w:rPr>
        <w:t>。</w:t>
      </w:r>
    </w:p>
    <w:p>
      <w:pPr>
        <w:pStyle w:val="3230"/>
        <w:rPr>
          <w:rFonts w:eastAsiaTheme="minorEastAsia"/>
          <w:color w:val="auto"/>
        </w:rPr>
      </w:pPr>
      <w:bookmarkStart w:id="14" w:name="_Hlk4335156"/>
      <w:r>
        <w:rPr>
          <w:rFonts w:hint="eastAsia" w:eastAsiaTheme="minorEastAsia"/>
          <w:color w:val="auto"/>
        </w:rPr>
        <w:t>专项</w:t>
      </w:r>
      <w:r>
        <w:rPr>
          <w:rFonts w:eastAsiaTheme="minorEastAsia"/>
          <w:color w:val="auto"/>
        </w:rPr>
        <w:t>表1.</w:t>
      </w:r>
      <w:r>
        <w:rPr>
          <w:rFonts w:hint="eastAsia" w:eastAsiaTheme="minorEastAsia"/>
          <w:color w:val="auto"/>
        </w:rPr>
        <w:t>5.1</w:t>
      </w:r>
      <w:r>
        <w:rPr>
          <w:rFonts w:eastAsiaTheme="minorEastAsia"/>
          <w:color w:val="auto"/>
        </w:rPr>
        <w:t>-</w:t>
      </w:r>
      <w:bookmarkEnd w:id="14"/>
      <w:r>
        <w:rPr>
          <w:rFonts w:eastAsiaTheme="minorEastAsia"/>
          <w:color w:val="auto"/>
        </w:rPr>
        <w:t>2   估算模型参数表</w:t>
      </w:r>
    </w:p>
    <w:tbl>
      <w:tblPr>
        <w:tblStyle w:val="88"/>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707"/>
        <w:gridCol w:w="3042"/>
        <w:gridCol w:w="33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173" w:type="pct"/>
            <w:gridSpan w:val="2"/>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参数</w:t>
            </w:r>
          </w:p>
        </w:tc>
        <w:tc>
          <w:tcPr>
            <w:tcW w:w="1827"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取值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94" w:type="pct"/>
            <w:vMerge w:val="restar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城市/农村选项</w:t>
            </w:r>
          </w:p>
        </w:tc>
        <w:tc>
          <w:tcPr>
            <w:tcW w:w="1679"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城市/农村</w:t>
            </w:r>
          </w:p>
        </w:tc>
        <w:tc>
          <w:tcPr>
            <w:tcW w:w="1827"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城市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94" w:type="pct"/>
            <w:vMerge w:val="continue"/>
            <w:shd w:val="clear" w:color="auto" w:fill="auto"/>
            <w:vAlign w:val="center"/>
          </w:tcPr>
          <w:p>
            <w:pPr>
              <w:pStyle w:val="825"/>
              <w:rPr>
                <w:rFonts w:ascii="Times New Roman" w:hAnsi="Times New Roman"/>
                <w:color w:val="auto"/>
                <w:sz w:val="21"/>
                <w:szCs w:val="21"/>
              </w:rPr>
            </w:pPr>
          </w:p>
        </w:tc>
        <w:tc>
          <w:tcPr>
            <w:tcW w:w="1679"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人口数（城市选项时）</w:t>
            </w:r>
          </w:p>
        </w:tc>
        <w:tc>
          <w:tcPr>
            <w:tcW w:w="1827" w:type="pct"/>
            <w:shd w:val="clear" w:color="auto" w:fill="auto"/>
            <w:vAlign w:val="center"/>
          </w:tcPr>
          <w:p>
            <w:pPr>
              <w:pStyle w:val="825"/>
              <w:rPr>
                <w:rFonts w:ascii="Times New Roman" w:hAnsi="Times New Roman"/>
                <w:color w:val="auto"/>
                <w:sz w:val="21"/>
                <w:szCs w:val="21"/>
              </w:rPr>
            </w:pPr>
            <w:r>
              <w:rPr>
                <w:rFonts w:hint="eastAsia" w:ascii="Times New Roman" w:hAnsi="Times New Roman"/>
                <w:color w:val="auto"/>
                <w:sz w:val="21"/>
                <w:szCs w:val="21"/>
              </w:rPr>
              <w:t>83.4</w:t>
            </w:r>
            <w:r>
              <w:rPr>
                <w:rFonts w:ascii="Times New Roman" w:hAnsi="Times New Roman"/>
                <w:color w:val="auto"/>
                <w:sz w:val="21"/>
                <w:szCs w:val="21"/>
              </w:rPr>
              <w:t>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173" w:type="pct"/>
            <w:gridSpan w:val="2"/>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最高环境温度/</w:t>
            </w:r>
            <w:r>
              <w:rPr>
                <w:rFonts w:hint="eastAsia" w:cs="宋体"/>
                <w:color w:val="auto"/>
                <w:sz w:val="21"/>
                <w:szCs w:val="21"/>
              </w:rPr>
              <w:t>℃</w:t>
            </w:r>
          </w:p>
        </w:tc>
        <w:tc>
          <w:tcPr>
            <w:tcW w:w="1827"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40.</w:t>
            </w:r>
            <w:r>
              <w:rPr>
                <w:rFonts w:hint="eastAsia" w:ascii="Times New Roman" w:hAnsi="Times New Roman"/>
                <w:color w:val="auto"/>
                <w:sz w:val="21"/>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173" w:type="pct"/>
            <w:gridSpan w:val="2"/>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最低环境温度/</w:t>
            </w:r>
            <w:r>
              <w:rPr>
                <w:rFonts w:hint="eastAsia" w:cs="宋体"/>
                <w:color w:val="auto"/>
                <w:sz w:val="21"/>
                <w:szCs w:val="21"/>
              </w:rPr>
              <w:t>℃</w:t>
            </w:r>
          </w:p>
        </w:tc>
        <w:tc>
          <w:tcPr>
            <w:tcW w:w="1827"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173" w:type="pct"/>
            <w:gridSpan w:val="2"/>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土地利用类型</w:t>
            </w:r>
          </w:p>
        </w:tc>
        <w:tc>
          <w:tcPr>
            <w:tcW w:w="1827"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城市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173" w:type="pct"/>
            <w:gridSpan w:val="2"/>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区域湿度条件</w:t>
            </w:r>
          </w:p>
        </w:tc>
        <w:tc>
          <w:tcPr>
            <w:tcW w:w="1827"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潮湿气候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94" w:type="pct"/>
            <w:vMerge w:val="restar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是否考虑地形</w:t>
            </w:r>
          </w:p>
        </w:tc>
        <w:tc>
          <w:tcPr>
            <w:tcW w:w="1679"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考虑地形</w:t>
            </w:r>
          </w:p>
        </w:tc>
        <w:tc>
          <w:tcPr>
            <w:tcW w:w="1827"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94" w:type="pct"/>
            <w:vMerge w:val="continue"/>
            <w:shd w:val="clear" w:color="auto" w:fill="auto"/>
            <w:vAlign w:val="center"/>
          </w:tcPr>
          <w:p>
            <w:pPr>
              <w:pStyle w:val="825"/>
              <w:rPr>
                <w:rFonts w:ascii="Times New Roman" w:hAnsi="Times New Roman"/>
                <w:color w:val="auto"/>
                <w:sz w:val="21"/>
                <w:szCs w:val="21"/>
              </w:rPr>
            </w:pPr>
          </w:p>
        </w:tc>
        <w:tc>
          <w:tcPr>
            <w:tcW w:w="1679"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地形数据分辨率/m</w:t>
            </w:r>
          </w:p>
        </w:tc>
        <w:tc>
          <w:tcPr>
            <w:tcW w:w="1827"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94" w:type="pct"/>
            <w:vMerge w:val="restar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是否考虑岸线熏烟</w:t>
            </w:r>
          </w:p>
        </w:tc>
        <w:tc>
          <w:tcPr>
            <w:tcW w:w="1679"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考虑岸线熏</w:t>
            </w:r>
          </w:p>
        </w:tc>
        <w:tc>
          <w:tcPr>
            <w:tcW w:w="1827"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94" w:type="pct"/>
            <w:vMerge w:val="continue"/>
            <w:shd w:val="clear" w:color="auto" w:fill="auto"/>
            <w:vAlign w:val="center"/>
          </w:tcPr>
          <w:p>
            <w:pPr>
              <w:pStyle w:val="825"/>
              <w:rPr>
                <w:rFonts w:ascii="Times New Roman" w:hAnsi="Times New Roman"/>
                <w:color w:val="auto"/>
                <w:sz w:val="21"/>
                <w:szCs w:val="21"/>
              </w:rPr>
            </w:pPr>
          </w:p>
        </w:tc>
        <w:tc>
          <w:tcPr>
            <w:tcW w:w="1679"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岸线距离/km</w:t>
            </w:r>
          </w:p>
        </w:tc>
        <w:tc>
          <w:tcPr>
            <w:tcW w:w="1827"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94" w:type="pct"/>
            <w:vMerge w:val="continue"/>
            <w:shd w:val="clear" w:color="auto" w:fill="auto"/>
            <w:vAlign w:val="center"/>
          </w:tcPr>
          <w:p>
            <w:pPr>
              <w:pStyle w:val="825"/>
              <w:rPr>
                <w:rFonts w:ascii="Times New Roman" w:hAnsi="Times New Roman"/>
                <w:color w:val="auto"/>
                <w:sz w:val="21"/>
                <w:szCs w:val="21"/>
              </w:rPr>
            </w:pPr>
          </w:p>
        </w:tc>
        <w:tc>
          <w:tcPr>
            <w:tcW w:w="1679"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岸线方向/°</w:t>
            </w:r>
          </w:p>
        </w:tc>
        <w:tc>
          <w:tcPr>
            <w:tcW w:w="1827"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w:t>
            </w:r>
          </w:p>
        </w:tc>
      </w:tr>
    </w:tbl>
    <w:p>
      <w:pPr>
        <w:rPr>
          <w:bCs/>
        </w:rPr>
      </w:pPr>
    </w:p>
    <w:p>
      <w:pPr>
        <w:sectPr>
          <w:pgSz w:w="11906" w:h="16838"/>
          <w:pgMar w:top="1701" w:right="1531" w:bottom="1701" w:left="1531" w:header="851" w:footer="851" w:gutter="0"/>
          <w:cols w:space="720" w:num="1"/>
          <w:docGrid w:linePitch="312" w:charSpace="0"/>
        </w:sectPr>
      </w:pPr>
      <w:r>
        <w:rPr>
          <w:rFonts w:hint="eastAsia"/>
        </w:rPr>
        <w:t>根据估算模式计算出的有组织排放废气（点源）和无组织排放废气（面源）主要污染因子下风向最大落地浓度及占标率，见专项表1.5.1</w:t>
      </w:r>
      <w:r>
        <w:t>-3~</w:t>
      </w:r>
      <w:r>
        <w:rPr>
          <w:rFonts w:hint="eastAsia"/>
        </w:rPr>
        <w:t>1.5.1</w:t>
      </w:r>
      <w:r>
        <w:t>-4</w:t>
      </w:r>
      <w:r>
        <w:rPr>
          <w:rFonts w:hint="eastAsia"/>
        </w:rPr>
        <w:t>。</w:t>
      </w:r>
    </w:p>
    <w:p>
      <w:pPr>
        <w:pStyle w:val="3230"/>
        <w:rPr>
          <w:rFonts w:eastAsiaTheme="minorEastAsia"/>
          <w:color w:val="auto"/>
        </w:rPr>
      </w:pPr>
      <w:r>
        <w:rPr>
          <w:rFonts w:hint="eastAsia" w:eastAsiaTheme="minorEastAsia"/>
          <w:color w:val="auto"/>
        </w:rPr>
        <w:t>专项</w:t>
      </w:r>
      <w:r>
        <w:rPr>
          <w:rFonts w:eastAsiaTheme="minorEastAsia"/>
          <w:color w:val="auto"/>
        </w:rPr>
        <w:t>表1.</w:t>
      </w:r>
      <w:r>
        <w:rPr>
          <w:rFonts w:hint="eastAsia" w:eastAsiaTheme="minorEastAsia"/>
          <w:color w:val="auto"/>
        </w:rPr>
        <w:t>5.1</w:t>
      </w:r>
      <w:r>
        <w:rPr>
          <w:rFonts w:eastAsiaTheme="minorEastAsia"/>
          <w:color w:val="auto"/>
        </w:rPr>
        <w:t>-</w:t>
      </w:r>
      <w:r>
        <w:rPr>
          <w:rFonts w:hint="eastAsia" w:eastAsiaTheme="minorEastAsia"/>
          <w:color w:val="auto"/>
        </w:rPr>
        <w:t>3</w:t>
      </w:r>
      <w:r>
        <w:rPr>
          <w:rFonts w:eastAsiaTheme="minorEastAsia"/>
          <w:color w:val="auto"/>
        </w:rPr>
        <w:t xml:space="preserve">   </w:t>
      </w:r>
      <w:r>
        <w:rPr>
          <w:rFonts w:hint="eastAsia" w:eastAsiaTheme="minorEastAsia"/>
          <w:color w:val="auto"/>
        </w:rPr>
        <w:t>项目有组织污染源估算模型计算结果</w:t>
      </w:r>
      <w:r>
        <w:rPr>
          <w:rFonts w:eastAsiaTheme="minorEastAsia"/>
          <w:color w:val="auto"/>
        </w:rPr>
        <w:t>表</w:t>
      </w:r>
    </w:p>
    <w:tbl>
      <w:tblPr>
        <w:tblStyle w:val="88"/>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214"/>
        <w:gridCol w:w="1786"/>
        <w:gridCol w:w="1275"/>
        <w:gridCol w:w="1207"/>
        <w:gridCol w:w="1207"/>
        <w:gridCol w:w="1196"/>
        <w:gridCol w:w="1521"/>
        <w:gridCol w:w="1436"/>
        <w:gridCol w:w="1592"/>
        <w:gridCol w:w="121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445" w:type="pct"/>
            <w:vAlign w:val="center"/>
          </w:tcPr>
          <w:p>
            <w:pPr>
              <w:pStyle w:val="825"/>
              <w:rPr>
                <w:rFonts w:ascii="Times New Roman" w:hAnsi="Times New Roman"/>
                <w:color w:val="auto"/>
                <w:sz w:val="21"/>
                <w:szCs w:val="21"/>
              </w:rPr>
            </w:pPr>
            <w:r>
              <w:rPr>
                <w:rFonts w:ascii="Times New Roman" w:hAnsi="Times New Roman"/>
                <w:color w:val="auto"/>
                <w:sz w:val="21"/>
                <w:szCs w:val="21"/>
              </w:rPr>
              <w:t>污染源</w:t>
            </w:r>
          </w:p>
        </w:tc>
        <w:tc>
          <w:tcPr>
            <w:tcW w:w="654" w:type="pct"/>
            <w:vAlign w:val="center"/>
          </w:tcPr>
          <w:p>
            <w:pPr>
              <w:pStyle w:val="825"/>
              <w:rPr>
                <w:rFonts w:ascii="Times New Roman" w:hAnsi="Times New Roman"/>
                <w:color w:val="auto"/>
                <w:sz w:val="21"/>
                <w:szCs w:val="21"/>
              </w:rPr>
            </w:pPr>
            <w:r>
              <w:rPr>
                <w:rFonts w:ascii="Times New Roman" w:hAnsi="Times New Roman"/>
                <w:color w:val="auto"/>
                <w:sz w:val="21"/>
                <w:szCs w:val="21"/>
              </w:rPr>
              <w:t>烟气</w:t>
            </w:r>
            <w:r>
              <w:rPr>
                <w:rFonts w:hint="eastAsia" w:ascii="Times New Roman" w:hAnsi="Times New Roman"/>
                <w:color w:val="auto"/>
                <w:sz w:val="21"/>
                <w:szCs w:val="21"/>
              </w:rPr>
              <w:t>流速</w:t>
            </w:r>
          </w:p>
          <w:p>
            <w:pPr>
              <w:pStyle w:val="825"/>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m/s</w:t>
            </w:r>
            <w:r>
              <w:rPr>
                <w:rFonts w:ascii="Times New Roman" w:hAnsi="Times New Roman"/>
                <w:color w:val="auto"/>
                <w:sz w:val="21"/>
                <w:szCs w:val="21"/>
              </w:rPr>
              <w:t>）</w:t>
            </w:r>
          </w:p>
        </w:tc>
        <w:tc>
          <w:tcPr>
            <w:tcW w:w="467" w:type="pct"/>
            <w:vAlign w:val="center"/>
          </w:tcPr>
          <w:p>
            <w:pPr>
              <w:pStyle w:val="825"/>
              <w:rPr>
                <w:rFonts w:ascii="Times New Roman" w:hAnsi="Times New Roman"/>
                <w:color w:val="auto"/>
                <w:sz w:val="21"/>
                <w:szCs w:val="21"/>
              </w:rPr>
            </w:pPr>
            <w:r>
              <w:rPr>
                <w:rFonts w:ascii="Times New Roman" w:hAnsi="Times New Roman"/>
                <w:color w:val="auto"/>
                <w:sz w:val="21"/>
                <w:szCs w:val="21"/>
              </w:rPr>
              <w:t>烟气温度</w:t>
            </w:r>
          </w:p>
          <w:p>
            <w:pPr>
              <w:pStyle w:val="825"/>
              <w:rPr>
                <w:rFonts w:ascii="Times New Roman" w:hAnsi="Times New Roman"/>
                <w:color w:val="auto"/>
                <w:sz w:val="21"/>
                <w:szCs w:val="21"/>
              </w:rPr>
            </w:pPr>
            <w:r>
              <w:rPr>
                <w:rFonts w:ascii="Times New Roman" w:hAnsi="Times New Roman"/>
                <w:color w:val="auto"/>
                <w:sz w:val="21"/>
                <w:szCs w:val="21"/>
              </w:rPr>
              <w:t>（</w:t>
            </w:r>
            <w:r>
              <w:rPr>
                <w:rFonts w:hint="eastAsia" w:cs="宋体"/>
                <w:color w:val="auto"/>
                <w:sz w:val="21"/>
                <w:szCs w:val="21"/>
              </w:rPr>
              <w:t>℃</w:t>
            </w:r>
            <w:r>
              <w:rPr>
                <w:rFonts w:ascii="Times New Roman" w:hAnsi="Times New Roman"/>
                <w:color w:val="auto"/>
                <w:sz w:val="21"/>
                <w:szCs w:val="21"/>
              </w:rPr>
              <w:t>）</w:t>
            </w:r>
          </w:p>
        </w:tc>
        <w:tc>
          <w:tcPr>
            <w:tcW w:w="442" w:type="pct"/>
            <w:vAlign w:val="center"/>
          </w:tcPr>
          <w:p>
            <w:pPr>
              <w:pStyle w:val="825"/>
              <w:rPr>
                <w:rFonts w:ascii="Times New Roman" w:hAnsi="Times New Roman"/>
                <w:color w:val="auto"/>
                <w:sz w:val="21"/>
                <w:szCs w:val="21"/>
              </w:rPr>
            </w:pPr>
            <w:r>
              <w:rPr>
                <w:rFonts w:ascii="Times New Roman" w:hAnsi="Times New Roman"/>
                <w:color w:val="auto"/>
                <w:sz w:val="21"/>
                <w:szCs w:val="21"/>
              </w:rPr>
              <w:t>排气筒高度</w:t>
            </w:r>
          </w:p>
          <w:p>
            <w:pPr>
              <w:pStyle w:val="825"/>
              <w:rPr>
                <w:rFonts w:ascii="Times New Roman" w:hAnsi="Times New Roman"/>
                <w:color w:val="auto"/>
                <w:sz w:val="21"/>
                <w:szCs w:val="21"/>
              </w:rPr>
            </w:pPr>
            <w:r>
              <w:rPr>
                <w:rFonts w:ascii="Times New Roman" w:hAnsi="Times New Roman"/>
                <w:color w:val="auto"/>
                <w:sz w:val="21"/>
                <w:szCs w:val="21"/>
              </w:rPr>
              <w:t>（m）</w:t>
            </w:r>
          </w:p>
        </w:tc>
        <w:tc>
          <w:tcPr>
            <w:tcW w:w="442" w:type="pct"/>
            <w:vAlign w:val="center"/>
          </w:tcPr>
          <w:p>
            <w:pPr>
              <w:pStyle w:val="825"/>
              <w:rPr>
                <w:rFonts w:ascii="Times New Roman" w:hAnsi="Times New Roman"/>
                <w:color w:val="auto"/>
                <w:sz w:val="21"/>
                <w:szCs w:val="21"/>
              </w:rPr>
            </w:pPr>
            <w:r>
              <w:rPr>
                <w:rFonts w:ascii="Times New Roman" w:hAnsi="Times New Roman"/>
                <w:color w:val="auto"/>
                <w:sz w:val="21"/>
                <w:szCs w:val="21"/>
              </w:rPr>
              <w:t>排气筒内径（m）</w:t>
            </w:r>
          </w:p>
        </w:tc>
        <w:tc>
          <w:tcPr>
            <w:tcW w:w="438" w:type="pct"/>
            <w:vAlign w:val="center"/>
          </w:tcPr>
          <w:p>
            <w:pPr>
              <w:pStyle w:val="825"/>
              <w:rPr>
                <w:rFonts w:ascii="Times New Roman" w:hAnsi="Times New Roman"/>
                <w:color w:val="auto"/>
                <w:sz w:val="21"/>
                <w:szCs w:val="21"/>
              </w:rPr>
            </w:pPr>
            <w:r>
              <w:rPr>
                <w:rFonts w:ascii="Times New Roman" w:hAnsi="Times New Roman"/>
                <w:color w:val="auto"/>
                <w:sz w:val="21"/>
                <w:szCs w:val="21"/>
              </w:rPr>
              <w:t>污染物</w:t>
            </w:r>
          </w:p>
        </w:tc>
        <w:tc>
          <w:tcPr>
            <w:tcW w:w="557" w:type="pct"/>
            <w:vAlign w:val="center"/>
          </w:tcPr>
          <w:p>
            <w:pPr>
              <w:pStyle w:val="825"/>
              <w:rPr>
                <w:rFonts w:ascii="Times New Roman" w:hAnsi="Times New Roman"/>
                <w:color w:val="auto"/>
                <w:sz w:val="21"/>
                <w:szCs w:val="21"/>
              </w:rPr>
            </w:pPr>
            <w:r>
              <w:rPr>
                <w:rFonts w:ascii="Times New Roman" w:hAnsi="Times New Roman"/>
                <w:color w:val="auto"/>
                <w:sz w:val="21"/>
                <w:szCs w:val="21"/>
              </w:rPr>
              <w:t>排放速率</w:t>
            </w:r>
          </w:p>
          <w:p>
            <w:pPr>
              <w:pStyle w:val="825"/>
              <w:rPr>
                <w:rFonts w:ascii="Times New Roman" w:hAnsi="Times New Roman"/>
                <w:color w:val="auto"/>
                <w:sz w:val="21"/>
                <w:szCs w:val="21"/>
              </w:rPr>
            </w:pPr>
            <w:r>
              <w:rPr>
                <w:rFonts w:ascii="Times New Roman" w:hAnsi="Times New Roman"/>
                <w:color w:val="auto"/>
                <w:sz w:val="21"/>
                <w:szCs w:val="21"/>
              </w:rPr>
              <w:t>（kg/h）</w:t>
            </w:r>
          </w:p>
        </w:tc>
        <w:tc>
          <w:tcPr>
            <w:tcW w:w="526" w:type="pct"/>
            <w:vAlign w:val="center"/>
          </w:tcPr>
          <w:p>
            <w:pPr>
              <w:pStyle w:val="825"/>
              <w:rPr>
                <w:rFonts w:ascii="Times New Roman" w:hAnsi="Times New Roman"/>
                <w:color w:val="auto"/>
                <w:sz w:val="21"/>
                <w:szCs w:val="21"/>
              </w:rPr>
            </w:pPr>
            <w:r>
              <w:rPr>
                <w:rFonts w:ascii="Times New Roman" w:hAnsi="Times New Roman"/>
                <w:color w:val="auto"/>
                <w:sz w:val="21"/>
                <w:szCs w:val="21"/>
              </w:rPr>
              <w:t>最大落地浓度（μg/m</w:t>
            </w:r>
            <w:r>
              <w:rPr>
                <w:rFonts w:ascii="Times New Roman" w:hAnsi="Times New Roman"/>
                <w:color w:val="auto"/>
                <w:sz w:val="21"/>
                <w:szCs w:val="21"/>
                <w:vertAlign w:val="superscript"/>
              </w:rPr>
              <w:t>3</w:t>
            </w:r>
            <w:r>
              <w:rPr>
                <w:rFonts w:ascii="Times New Roman" w:hAnsi="Times New Roman"/>
                <w:color w:val="auto"/>
                <w:sz w:val="21"/>
                <w:szCs w:val="21"/>
              </w:rPr>
              <w:t>）</w:t>
            </w:r>
          </w:p>
        </w:tc>
        <w:tc>
          <w:tcPr>
            <w:tcW w:w="583" w:type="pct"/>
            <w:vAlign w:val="center"/>
          </w:tcPr>
          <w:p>
            <w:pPr>
              <w:pStyle w:val="825"/>
              <w:rPr>
                <w:rFonts w:ascii="Times New Roman" w:hAnsi="Times New Roman"/>
                <w:color w:val="auto"/>
                <w:sz w:val="21"/>
                <w:szCs w:val="21"/>
              </w:rPr>
            </w:pPr>
            <w:r>
              <w:rPr>
                <w:rFonts w:ascii="Times New Roman" w:hAnsi="Times New Roman"/>
                <w:color w:val="auto"/>
                <w:sz w:val="21"/>
                <w:szCs w:val="21"/>
              </w:rPr>
              <w:t>最大落地浓度占标率Pi(</w:t>
            </w:r>
            <w:r>
              <w:rPr>
                <w:rFonts w:ascii="Times New Roman" w:hAnsi="Times New Roman"/>
                <w:bCs/>
                <w:color w:val="auto"/>
                <w:sz w:val="21"/>
                <w:szCs w:val="21"/>
              </w:rPr>
              <w:t>%</w:t>
            </w:r>
            <w:r>
              <w:rPr>
                <w:rFonts w:ascii="Times New Roman" w:hAnsi="Times New Roman"/>
                <w:color w:val="auto"/>
                <w:sz w:val="21"/>
                <w:szCs w:val="21"/>
              </w:rPr>
              <w:t>)</w:t>
            </w:r>
          </w:p>
        </w:tc>
        <w:tc>
          <w:tcPr>
            <w:tcW w:w="446" w:type="pct"/>
            <w:vAlign w:val="center"/>
          </w:tcPr>
          <w:p>
            <w:pPr>
              <w:pStyle w:val="825"/>
              <w:rPr>
                <w:rFonts w:ascii="Times New Roman" w:hAnsi="Times New Roman"/>
                <w:color w:val="auto"/>
                <w:sz w:val="21"/>
                <w:szCs w:val="21"/>
              </w:rPr>
            </w:pPr>
            <w:r>
              <w:rPr>
                <w:rFonts w:ascii="Times New Roman" w:hAnsi="Times New Roman"/>
                <w:color w:val="auto"/>
                <w:sz w:val="21"/>
                <w:szCs w:val="21"/>
              </w:rPr>
              <w:t>D10%对应的最远距离（m）</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445"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1</w:t>
            </w:r>
            <w:r>
              <w:rPr>
                <w:rFonts w:ascii="Times New Roman" w:hAnsi="Times New Roman"/>
                <w:color w:val="auto"/>
                <w:sz w:val="21"/>
                <w:szCs w:val="21"/>
              </w:rPr>
              <w:t>#</w:t>
            </w:r>
            <w:r>
              <w:rPr>
                <w:rFonts w:hint="eastAsia" w:ascii="Times New Roman" w:hAnsi="Times New Roman"/>
                <w:color w:val="auto"/>
                <w:sz w:val="21"/>
                <w:szCs w:val="21"/>
              </w:rPr>
              <w:t>电炉</w:t>
            </w:r>
            <w:r>
              <w:rPr>
                <w:rFonts w:ascii="Times New Roman" w:hAnsi="Times New Roman"/>
                <w:color w:val="auto"/>
                <w:sz w:val="21"/>
                <w:szCs w:val="21"/>
              </w:rPr>
              <w:t>排气筒</w:t>
            </w:r>
          </w:p>
        </w:tc>
        <w:tc>
          <w:tcPr>
            <w:tcW w:w="654"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18</w:t>
            </w:r>
          </w:p>
        </w:tc>
        <w:tc>
          <w:tcPr>
            <w:tcW w:w="467"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80</w:t>
            </w:r>
          </w:p>
        </w:tc>
        <w:tc>
          <w:tcPr>
            <w:tcW w:w="442"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36</w:t>
            </w:r>
          </w:p>
        </w:tc>
        <w:tc>
          <w:tcPr>
            <w:tcW w:w="442"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4.2</w:t>
            </w:r>
          </w:p>
        </w:tc>
        <w:tc>
          <w:tcPr>
            <w:tcW w:w="438" w:type="pc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铅及其化合物</w:t>
            </w:r>
          </w:p>
        </w:tc>
        <w:tc>
          <w:tcPr>
            <w:tcW w:w="557"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0.0016</w:t>
            </w:r>
          </w:p>
        </w:tc>
        <w:tc>
          <w:tcPr>
            <w:tcW w:w="52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0.0019</w:t>
            </w:r>
          </w:p>
        </w:tc>
        <w:tc>
          <w:tcPr>
            <w:tcW w:w="583"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0.06</w:t>
            </w:r>
          </w:p>
        </w:tc>
        <w:tc>
          <w:tcPr>
            <w:tcW w:w="44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445" w:type="pct"/>
            <w:vMerge w:val="continue"/>
            <w:vAlign w:val="center"/>
          </w:tcPr>
          <w:p>
            <w:pPr>
              <w:pStyle w:val="825"/>
              <w:rPr>
                <w:rFonts w:ascii="Times New Roman" w:hAnsi="Times New Roman"/>
                <w:color w:val="auto"/>
                <w:sz w:val="21"/>
                <w:szCs w:val="21"/>
              </w:rPr>
            </w:pPr>
          </w:p>
        </w:tc>
        <w:tc>
          <w:tcPr>
            <w:tcW w:w="654" w:type="pct"/>
            <w:vMerge w:val="continue"/>
            <w:vAlign w:val="center"/>
          </w:tcPr>
          <w:p>
            <w:pPr>
              <w:pStyle w:val="825"/>
              <w:rPr>
                <w:rFonts w:ascii="Times New Roman" w:hAnsi="Times New Roman"/>
                <w:color w:val="auto"/>
                <w:sz w:val="21"/>
                <w:szCs w:val="21"/>
              </w:rPr>
            </w:pPr>
          </w:p>
        </w:tc>
        <w:tc>
          <w:tcPr>
            <w:tcW w:w="467" w:type="pct"/>
            <w:vMerge w:val="continue"/>
            <w:vAlign w:val="center"/>
          </w:tcPr>
          <w:p>
            <w:pPr>
              <w:pStyle w:val="825"/>
              <w:rPr>
                <w:rFonts w:ascii="Times New Roman" w:hAnsi="Times New Roman"/>
                <w:color w:val="auto"/>
                <w:sz w:val="21"/>
                <w:szCs w:val="21"/>
              </w:rPr>
            </w:pPr>
          </w:p>
        </w:tc>
        <w:tc>
          <w:tcPr>
            <w:tcW w:w="442" w:type="pct"/>
            <w:vMerge w:val="continue"/>
            <w:vAlign w:val="center"/>
          </w:tcPr>
          <w:p>
            <w:pPr>
              <w:pStyle w:val="825"/>
              <w:rPr>
                <w:rFonts w:ascii="Times New Roman" w:hAnsi="Times New Roman"/>
                <w:color w:val="auto"/>
                <w:sz w:val="21"/>
                <w:szCs w:val="21"/>
              </w:rPr>
            </w:pPr>
          </w:p>
        </w:tc>
        <w:tc>
          <w:tcPr>
            <w:tcW w:w="442" w:type="pct"/>
            <w:vMerge w:val="continue"/>
            <w:vAlign w:val="center"/>
          </w:tcPr>
          <w:p>
            <w:pPr>
              <w:pStyle w:val="825"/>
              <w:rPr>
                <w:rFonts w:ascii="Times New Roman" w:hAnsi="Times New Roman"/>
                <w:color w:val="auto"/>
                <w:sz w:val="21"/>
                <w:szCs w:val="21"/>
              </w:rPr>
            </w:pPr>
          </w:p>
        </w:tc>
        <w:tc>
          <w:tcPr>
            <w:tcW w:w="438" w:type="pc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镉及其化合物</w:t>
            </w:r>
          </w:p>
        </w:tc>
        <w:tc>
          <w:tcPr>
            <w:tcW w:w="557"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0.0002</w:t>
            </w:r>
          </w:p>
        </w:tc>
        <w:tc>
          <w:tcPr>
            <w:tcW w:w="52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0.0002</w:t>
            </w:r>
          </w:p>
        </w:tc>
        <w:tc>
          <w:tcPr>
            <w:tcW w:w="583"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0.78</w:t>
            </w:r>
          </w:p>
        </w:tc>
        <w:tc>
          <w:tcPr>
            <w:tcW w:w="44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445" w:type="pct"/>
            <w:vMerge w:val="continue"/>
            <w:vAlign w:val="center"/>
          </w:tcPr>
          <w:p>
            <w:pPr>
              <w:pStyle w:val="825"/>
              <w:rPr>
                <w:rFonts w:ascii="Times New Roman" w:hAnsi="Times New Roman"/>
                <w:color w:val="auto"/>
                <w:sz w:val="21"/>
                <w:szCs w:val="21"/>
              </w:rPr>
            </w:pPr>
          </w:p>
        </w:tc>
        <w:tc>
          <w:tcPr>
            <w:tcW w:w="654" w:type="pct"/>
            <w:vMerge w:val="continue"/>
            <w:vAlign w:val="center"/>
          </w:tcPr>
          <w:p>
            <w:pPr>
              <w:pStyle w:val="825"/>
              <w:rPr>
                <w:rFonts w:ascii="Times New Roman" w:hAnsi="Times New Roman"/>
                <w:color w:val="auto"/>
                <w:sz w:val="21"/>
                <w:szCs w:val="21"/>
              </w:rPr>
            </w:pPr>
          </w:p>
        </w:tc>
        <w:tc>
          <w:tcPr>
            <w:tcW w:w="467" w:type="pct"/>
            <w:vMerge w:val="continue"/>
            <w:vAlign w:val="center"/>
          </w:tcPr>
          <w:p>
            <w:pPr>
              <w:pStyle w:val="825"/>
              <w:rPr>
                <w:rFonts w:ascii="Times New Roman" w:hAnsi="Times New Roman"/>
                <w:color w:val="auto"/>
                <w:sz w:val="21"/>
                <w:szCs w:val="21"/>
              </w:rPr>
            </w:pPr>
          </w:p>
        </w:tc>
        <w:tc>
          <w:tcPr>
            <w:tcW w:w="442" w:type="pct"/>
            <w:vMerge w:val="continue"/>
            <w:vAlign w:val="center"/>
          </w:tcPr>
          <w:p>
            <w:pPr>
              <w:pStyle w:val="825"/>
              <w:rPr>
                <w:rFonts w:ascii="Times New Roman" w:hAnsi="Times New Roman"/>
                <w:color w:val="auto"/>
                <w:sz w:val="21"/>
                <w:szCs w:val="21"/>
              </w:rPr>
            </w:pPr>
          </w:p>
        </w:tc>
        <w:tc>
          <w:tcPr>
            <w:tcW w:w="442" w:type="pct"/>
            <w:vMerge w:val="continue"/>
            <w:vAlign w:val="center"/>
          </w:tcPr>
          <w:p>
            <w:pPr>
              <w:pStyle w:val="825"/>
              <w:rPr>
                <w:rFonts w:ascii="Times New Roman" w:hAnsi="Times New Roman"/>
                <w:color w:val="auto"/>
                <w:sz w:val="21"/>
                <w:szCs w:val="21"/>
              </w:rPr>
            </w:pPr>
          </w:p>
        </w:tc>
        <w:tc>
          <w:tcPr>
            <w:tcW w:w="438" w:type="pc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铬及其化合物</w:t>
            </w:r>
          </w:p>
        </w:tc>
        <w:tc>
          <w:tcPr>
            <w:tcW w:w="557"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2.5×10</w:t>
            </w:r>
            <w:r>
              <w:rPr>
                <w:rFonts w:hint="eastAsia" w:ascii="Times New Roman" w:hAnsi="Times New Roman"/>
                <w:color w:val="auto"/>
                <w:sz w:val="21"/>
                <w:szCs w:val="21"/>
                <w:vertAlign w:val="superscript"/>
              </w:rPr>
              <w:t>-7</w:t>
            </w:r>
          </w:p>
        </w:tc>
        <w:tc>
          <w:tcPr>
            <w:tcW w:w="52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2.9×10</w:t>
            </w:r>
            <w:r>
              <w:rPr>
                <w:rFonts w:hint="eastAsia" w:ascii="Times New Roman" w:hAnsi="Times New Roman"/>
                <w:color w:val="auto"/>
                <w:sz w:val="21"/>
                <w:szCs w:val="21"/>
                <w:vertAlign w:val="superscript"/>
              </w:rPr>
              <w:t>-7</w:t>
            </w:r>
          </w:p>
        </w:tc>
        <w:tc>
          <w:tcPr>
            <w:tcW w:w="583"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0.19</w:t>
            </w:r>
          </w:p>
        </w:tc>
        <w:tc>
          <w:tcPr>
            <w:tcW w:w="44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445"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2#电炉排气筒1</w:t>
            </w:r>
          </w:p>
        </w:tc>
        <w:tc>
          <w:tcPr>
            <w:tcW w:w="654"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18</w:t>
            </w:r>
          </w:p>
        </w:tc>
        <w:tc>
          <w:tcPr>
            <w:tcW w:w="467"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80</w:t>
            </w:r>
          </w:p>
        </w:tc>
        <w:tc>
          <w:tcPr>
            <w:tcW w:w="442"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32</w:t>
            </w:r>
          </w:p>
        </w:tc>
        <w:tc>
          <w:tcPr>
            <w:tcW w:w="442"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4.2</w:t>
            </w:r>
          </w:p>
        </w:tc>
        <w:tc>
          <w:tcPr>
            <w:tcW w:w="438" w:type="pc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铅及其化合物</w:t>
            </w:r>
          </w:p>
        </w:tc>
        <w:tc>
          <w:tcPr>
            <w:tcW w:w="557" w:type="pct"/>
            <w:vAlign w:val="center"/>
          </w:tcPr>
          <w:p>
            <w:pPr>
              <w:pStyle w:val="186"/>
            </w:pPr>
            <w:r>
              <w:rPr>
                <w:rFonts w:hint="eastAsia"/>
              </w:rPr>
              <w:t>0.0008</w:t>
            </w:r>
          </w:p>
        </w:tc>
        <w:tc>
          <w:tcPr>
            <w:tcW w:w="52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0.0013</w:t>
            </w:r>
          </w:p>
        </w:tc>
        <w:tc>
          <w:tcPr>
            <w:tcW w:w="583"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0.04</w:t>
            </w:r>
          </w:p>
        </w:tc>
        <w:tc>
          <w:tcPr>
            <w:tcW w:w="44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445" w:type="pct"/>
            <w:vMerge w:val="continue"/>
            <w:vAlign w:val="center"/>
          </w:tcPr>
          <w:p>
            <w:pPr>
              <w:pStyle w:val="825"/>
              <w:rPr>
                <w:rFonts w:ascii="Times New Roman" w:hAnsi="Times New Roman"/>
                <w:color w:val="auto"/>
                <w:sz w:val="21"/>
                <w:szCs w:val="21"/>
              </w:rPr>
            </w:pPr>
          </w:p>
        </w:tc>
        <w:tc>
          <w:tcPr>
            <w:tcW w:w="654" w:type="pct"/>
            <w:vMerge w:val="continue"/>
            <w:vAlign w:val="center"/>
          </w:tcPr>
          <w:p>
            <w:pPr>
              <w:pStyle w:val="825"/>
              <w:rPr>
                <w:rFonts w:ascii="Times New Roman" w:hAnsi="Times New Roman"/>
                <w:color w:val="auto"/>
                <w:sz w:val="21"/>
                <w:szCs w:val="21"/>
              </w:rPr>
            </w:pPr>
          </w:p>
        </w:tc>
        <w:tc>
          <w:tcPr>
            <w:tcW w:w="467" w:type="pct"/>
            <w:vMerge w:val="continue"/>
            <w:vAlign w:val="center"/>
          </w:tcPr>
          <w:p>
            <w:pPr>
              <w:pStyle w:val="825"/>
              <w:rPr>
                <w:rFonts w:ascii="Times New Roman" w:hAnsi="Times New Roman"/>
                <w:color w:val="auto"/>
                <w:sz w:val="21"/>
                <w:szCs w:val="21"/>
              </w:rPr>
            </w:pPr>
          </w:p>
        </w:tc>
        <w:tc>
          <w:tcPr>
            <w:tcW w:w="442" w:type="pct"/>
            <w:vMerge w:val="continue"/>
            <w:vAlign w:val="center"/>
          </w:tcPr>
          <w:p>
            <w:pPr>
              <w:pStyle w:val="825"/>
              <w:rPr>
                <w:rFonts w:ascii="Times New Roman" w:hAnsi="Times New Roman"/>
                <w:color w:val="auto"/>
                <w:sz w:val="21"/>
                <w:szCs w:val="21"/>
              </w:rPr>
            </w:pPr>
          </w:p>
        </w:tc>
        <w:tc>
          <w:tcPr>
            <w:tcW w:w="442" w:type="pct"/>
            <w:vMerge w:val="continue"/>
            <w:vAlign w:val="center"/>
          </w:tcPr>
          <w:p>
            <w:pPr>
              <w:pStyle w:val="825"/>
              <w:rPr>
                <w:rFonts w:ascii="Times New Roman" w:hAnsi="Times New Roman"/>
                <w:color w:val="auto"/>
                <w:sz w:val="21"/>
                <w:szCs w:val="21"/>
              </w:rPr>
            </w:pPr>
          </w:p>
        </w:tc>
        <w:tc>
          <w:tcPr>
            <w:tcW w:w="438" w:type="pc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镉及其化合物</w:t>
            </w:r>
          </w:p>
        </w:tc>
        <w:tc>
          <w:tcPr>
            <w:tcW w:w="557" w:type="pct"/>
            <w:vAlign w:val="center"/>
          </w:tcPr>
          <w:p>
            <w:pPr>
              <w:pStyle w:val="186"/>
            </w:pPr>
            <w:r>
              <w:rPr>
                <w:rFonts w:hint="eastAsia"/>
              </w:rPr>
              <w:t>0.0001</w:t>
            </w:r>
          </w:p>
        </w:tc>
        <w:tc>
          <w:tcPr>
            <w:tcW w:w="52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0.0001</w:t>
            </w:r>
          </w:p>
        </w:tc>
        <w:tc>
          <w:tcPr>
            <w:tcW w:w="583"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0.53</w:t>
            </w:r>
          </w:p>
        </w:tc>
        <w:tc>
          <w:tcPr>
            <w:tcW w:w="44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445" w:type="pct"/>
            <w:vMerge w:val="continue"/>
            <w:vAlign w:val="center"/>
          </w:tcPr>
          <w:p>
            <w:pPr>
              <w:pStyle w:val="825"/>
              <w:rPr>
                <w:rFonts w:ascii="Times New Roman" w:hAnsi="Times New Roman"/>
                <w:color w:val="auto"/>
                <w:sz w:val="21"/>
                <w:szCs w:val="21"/>
              </w:rPr>
            </w:pPr>
          </w:p>
        </w:tc>
        <w:tc>
          <w:tcPr>
            <w:tcW w:w="654" w:type="pct"/>
            <w:vMerge w:val="continue"/>
            <w:vAlign w:val="center"/>
          </w:tcPr>
          <w:p>
            <w:pPr>
              <w:pStyle w:val="825"/>
              <w:rPr>
                <w:rFonts w:ascii="Times New Roman" w:hAnsi="Times New Roman"/>
                <w:color w:val="auto"/>
                <w:sz w:val="21"/>
                <w:szCs w:val="21"/>
              </w:rPr>
            </w:pPr>
          </w:p>
        </w:tc>
        <w:tc>
          <w:tcPr>
            <w:tcW w:w="467" w:type="pct"/>
            <w:vMerge w:val="continue"/>
            <w:vAlign w:val="center"/>
          </w:tcPr>
          <w:p>
            <w:pPr>
              <w:pStyle w:val="825"/>
              <w:rPr>
                <w:rFonts w:ascii="Times New Roman" w:hAnsi="Times New Roman"/>
                <w:color w:val="auto"/>
                <w:sz w:val="21"/>
                <w:szCs w:val="21"/>
              </w:rPr>
            </w:pPr>
          </w:p>
        </w:tc>
        <w:tc>
          <w:tcPr>
            <w:tcW w:w="442" w:type="pct"/>
            <w:vMerge w:val="continue"/>
            <w:vAlign w:val="center"/>
          </w:tcPr>
          <w:p>
            <w:pPr>
              <w:pStyle w:val="825"/>
              <w:rPr>
                <w:rFonts w:ascii="Times New Roman" w:hAnsi="Times New Roman"/>
                <w:color w:val="auto"/>
                <w:sz w:val="21"/>
                <w:szCs w:val="21"/>
              </w:rPr>
            </w:pPr>
          </w:p>
        </w:tc>
        <w:tc>
          <w:tcPr>
            <w:tcW w:w="442" w:type="pct"/>
            <w:vMerge w:val="continue"/>
            <w:vAlign w:val="center"/>
          </w:tcPr>
          <w:p>
            <w:pPr>
              <w:pStyle w:val="825"/>
              <w:rPr>
                <w:rFonts w:ascii="Times New Roman" w:hAnsi="Times New Roman"/>
                <w:color w:val="auto"/>
                <w:sz w:val="21"/>
                <w:szCs w:val="21"/>
              </w:rPr>
            </w:pPr>
          </w:p>
        </w:tc>
        <w:tc>
          <w:tcPr>
            <w:tcW w:w="438" w:type="pc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铬及其化合物</w:t>
            </w:r>
          </w:p>
        </w:tc>
        <w:tc>
          <w:tcPr>
            <w:tcW w:w="557" w:type="pct"/>
            <w:vAlign w:val="center"/>
          </w:tcPr>
          <w:p>
            <w:pPr>
              <w:pStyle w:val="186"/>
            </w:pPr>
            <w:r>
              <w:rPr>
                <w:rFonts w:hint="eastAsia"/>
              </w:rPr>
              <w:t>1.25×10</w:t>
            </w:r>
            <w:r>
              <w:rPr>
                <w:rFonts w:hint="eastAsia"/>
                <w:vertAlign w:val="superscript"/>
              </w:rPr>
              <w:t>-7</w:t>
            </w:r>
          </w:p>
        </w:tc>
        <w:tc>
          <w:tcPr>
            <w:tcW w:w="52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1.98×10</w:t>
            </w:r>
            <w:r>
              <w:rPr>
                <w:rFonts w:hint="eastAsia" w:ascii="Times New Roman" w:hAnsi="Times New Roman"/>
                <w:color w:val="auto"/>
                <w:sz w:val="21"/>
                <w:szCs w:val="21"/>
                <w:vertAlign w:val="superscript"/>
              </w:rPr>
              <w:t>-7</w:t>
            </w:r>
          </w:p>
        </w:tc>
        <w:tc>
          <w:tcPr>
            <w:tcW w:w="583"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0.13</w:t>
            </w:r>
          </w:p>
        </w:tc>
        <w:tc>
          <w:tcPr>
            <w:tcW w:w="44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445"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2#电炉排气筒2</w:t>
            </w:r>
          </w:p>
        </w:tc>
        <w:tc>
          <w:tcPr>
            <w:tcW w:w="654"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18</w:t>
            </w:r>
          </w:p>
        </w:tc>
        <w:tc>
          <w:tcPr>
            <w:tcW w:w="467"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80</w:t>
            </w:r>
          </w:p>
        </w:tc>
        <w:tc>
          <w:tcPr>
            <w:tcW w:w="442"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32</w:t>
            </w:r>
          </w:p>
        </w:tc>
        <w:tc>
          <w:tcPr>
            <w:tcW w:w="442" w:type="pct"/>
            <w:vMerge w:val="restar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4.2</w:t>
            </w:r>
          </w:p>
        </w:tc>
        <w:tc>
          <w:tcPr>
            <w:tcW w:w="438" w:type="pc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铅及其化合物</w:t>
            </w:r>
          </w:p>
        </w:tc>
        <w:tc>
          <w:tcPr>
            <w:tcW w:w="557" w:type="pct"/>
            <w:vAlign w:val="center"/>
          </w:tcPr>
          <w:p>
            <w:pPr>
              <w:pStyle w:val="186"/>
            </w:pPr>
            <w:r>
              <w:rPr>
                <w:rFonts w:hint="eastAsia"/>
              </w:rPr>
              <w:t>0.0008</w:t>
            </w:r>
          </w:p>
        </w:tc>
        <w:tc>
          <w:tcPr>
            <w:tcW w:w="52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0.0013</w:t>
            </w:r>
          </w:p>
        </w:tc>
        <w:tc>
          <w:tcPr>
            <w:tcW w:w="583"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0.04</w:t>
            </w:r>
          </w:p>
        </w:tc>
        <w:tc>
          <w:tcPr>
            <w:tcW w:w="44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445" w:type="pct"/>
            <w:vMerge w:val="continue"/>
            <w:vAlign w:val="center"/>
          </w:tcPr>
          <w:p>
            <w:pPr>
              <w:pStyle w:val="825"/>
              <w:rPr>
                <w:rFonts w:ascii="Times New Roman" w:hAnsi="Times New Roman"/>
                <w:color w:val="auto"/>
                <w:sz w:val="21"/>
                <w:szCs w:val="21"/>
              </w:rPr>
            </w:pPr>
          </w:p>
        </w:tc>
        <w:tc>
          <w:tcPr>
            <w:tcW w:w="654" w:type="pct"/>
            <w:vMerge w:val="continue"/>
            <w:vAlign w:val="center"/>
          </w:tcPr>
          <w:p>
            <w:pPr>
              <w:pStyle w:val="825"/>
              <w:rPr>
                <w:rFonts w:ascii="Times New Roman" w:hAnsi="Times New Roman"/>
                <w:color w:val="auto"/>
                <w:sz w:val="21"/>
                <w:szCs w:val="21"/>
              </w:rPr>
            </w:pPr>
          </w:p>
        </w:tc>
        <w:tc>
          <w:tcPr>
            <w:tcW w:w="467" w:type="pct"/>
            <w:vMerge w:val="continue"/>
            <w:vAlign w:val="center"/>
          </w:tcPr>
          <w:p>
            <w:pPr>
              <w:pStyle w:val="825"/>
              <w:rPr>
                <w:rFonts w:ascii="Times New Roman" w:hAnsi="Times New Roman"/>
                <w:color w:val="auto"/>
                <w:sz w:val="21"/>
                <w:szCs w:val="21"/>
              </w:rPr>
            </w:pPr>
          </w:p>
        </w:tc>
        <w:tc>
          <w:tcPr>
            <w:tcW w:w="442" w:type="pct"/>
            <w:vMerge w:val="continue"/>
            <w:vAlign w:val="center"/>
          </w:tcPr>
          <w:p>
            <w:pPr>
              <w:pStyle w:val="825"/>
              <w:rPr>
                <w:rFonts w:ascii="Times New Roman" w:hAnsi="Times New Roman"/>
                <w:color w:val="auto"/>
                <w:sz w:val="21"/>
                <w:szCs w:val="21"/>
              </w:rPr>
            </w:pPr>
          </w:p>
        </w:tc>
        <w:tc>
          <w:tcPr>
            <w:tcW w:w="442" w:type="pct"/>
            <w:vMerge w:val="continue"/>
            <w:vAlign w:val="center"/>
          </w:tcPr>
          <w:p>
            <w:pPr>
              <w:pStyle w:val="825"/>
              <w:rPr>
                <w:rFonts w:ascii="Times New Roman" w:hAnsi="Times New Roman"/>
                <w:color w:val="auto"/>
                <w:sz w:val="21"/>
                <w:szCs w:val="21"/>
              </w:rPr>
            </w:pPr>
          </w:p>
        </w:tc>
        <w:tc>
          <w:tcPr>
            <w:tcW w:w="438" w:type="pc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镉及其化合物</w:t>
            </w:r>
          </w:p>
        </w:tc>
        <w:tc>
          <w:tcPr>
            <w:tcW w:w="557" w:type="pct"/>
            <w:vAlign w:val="center"/>
          </w:tcPr>
          <w:p>
            <w:pPr>
              <w:pStyle w:val="186"/>
            </w:pPr>
            <w:r>
              <w:rPr>
                <w:rFonts w:hint="eastAsia"/>
              </w:rPr>
              <w:t>0.0001</w:t>
            </w:r>
          </w:p>
        </w:tc>
        <w:tc>
          <w:tcPr>
            <w:tcW w:w="52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0.0001</w:t>
            </w:r>
          </w:p>
        </w:tc>
        <w:tc>
          <w:tcPr>
            <w:tcW w:w="583"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0.53</w:t>
            </w:r>
          </w:p>
        </w:tc>
        <w:tc>
          <w:tcPr>
            <w:tcW w:w="44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445" w:type="pct"/>
            <w:vMerge w:val="continue"/>
            <w:vAlign w:val="center"/>
          </w:tcPr>
          <w:p>
            <w:pPr>
              <w:pStyle w:val="825"/>
              <w:rPr>
                <w:rFonts w:ascii="Times New Roman" w:hAnsi="Times New Roman"/>
                <w:color w:val="auto"/>
                <w:sz w:val="21"/>
                <w:szCs w:val="21"/>
              </w:rPr>
            </w:pPr>
          </w:p>
        </w:tc>
        <w:tc>
          <w:tcPr>
            <w:tcW w:w="654" w:type="pct"/>
            <w:vMerge w:val="continue"/>
            <w:vAlign w:val="center"/>
          </w:tcPr>
          <w:p>
            <w:pPr>
              <w:pStyle w:val="825"/>
              <w:rPr>
                <w:rFonts w:ascii="Times New Roman" w:hAnsi="Times New Roman"/>
                <w:color w:val="auto"/>
                <w:sz w:val="21"/>
                <w:szCs w:val="21"/>
              </w:rPr>
            </w:pPr>
          </w:p>
        </w:tc>
        <w:tc>
          <w:tcPr>
            <w:tcW w:w="467" w:type="pct"/>
            <w:vMerge w:val="continue"/>
            <w:vAlign w:val="center"/>
          </w:tcPr>
          <w:p>
            <w:pPr>
              <w:pStyle w:val="825"/>
              <w:rPr>
                <w:rFonts w:ascii="Times New Roman" w:hAnsi="Times New Roman"/>
                <w:color w:val="auto"/>
                <w:sz w:val="21"/>
                <w:szCs w:val="21"/>
              </w:rPr>
            </w:pPr>
          </w:p>
        </w:tc>
        <w:tc>
          <w:tcPr>
            <w:tcW w:w="442" w:type="pct"/>
            <w:vMerge w:val="continue"/>
            <w:vAlign w:val="center"/>
          </w:tcPr>
          <w:p>
            <w:pPr>
              <w:pStyle w:val="825"/>
              <w:rPr>
                <w:rFonts w:ascii="Times New Roman" w:hAnsi="Times New Roman"/>
                <w:color w:val="auto"/>
                <w:sz w:val="21"/>
                <w:szCs w:val="21"/>
              </w:rPr>
            </w:pPr>
          </w:p>
        </w:tc>
        <w:tc>
          <w:tcPr>
            <w:tcW w:w="442" w:type="pct"/>
            <w:vMerge w:val="continue"/>
            <w:vAlign w:val="center"/>
          </w:tcPr>
          <w:p>
            <w:pPr>
              <w:pStyle w:val="825"/>
              <w:rPr>
                <w:rFonts w:ascii="Times New Roman" w:hAnsi="Times New Roman"/>
                <w:color w:val="auto"/>
                <w:sz w:val="21"/>
                <w:szCs w:val="21"/>
              </w:rPr>
            </w:pPr>
          </w:p>
        </w:tc>
        <w:tc>
          <w:tcPr>
            <w:tcW w:w="438" w:type="pc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铬及其化合物</w:t>
            </w:r>
          </w:p>
        </w:tc>
        <w:tc>
          <w:tcPr>
            <w:tcW w:w="557" w:type="pct"/>
            <w:vAlign w:val="center"/>
          </w:tcPr>
          <w:p>
            <w:pPr>
              <w:pStyle w:val="186"/>
            </w:pPr>
            <w:r>
              <w:rPr>
                <w:rFonts w:hint="eastAsia"/>
              </w:rPr>
              <w:t>1.25×10</w:t>
            </w:r>
            <w:r>
              <w:rPr>
                <w:rFonts w:hint="eastAsia"/>
                <w:vertAlign w:val="superscript"/>
              </w:rPr>
              <w:t>-7</w:t>
            </w:r>
          </w:p>
        </w:tc>
        <w:tc>
          <w:tcPr>
            <w:tcW w:w="52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1.98×10</w:t>
            </w:r>
            <w:r>
              <w:rPr>
                <w:rFonts w:hint="eastAsia" w:ascii="Times New Roman" w:hAnsi="Times New Roman"/>
                <w:color w:val="auto"/>
                <w:sz w:val="21"/>
                <w:szCs w:val="21"/>
                <w:vertAlign w:val="superscript"/>
              </w:rPr>
              <w:t>-7</w:t>
            </w:r>
          </w:p>
        </w:tc>
        <w:tc>
          <w:tcPr>
            <w:tcW w:w="583"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0.13</w:t>
            </w:r>
          </w:p>
        </w:tc>
        <w:tc>
          <w:tcPr>
            <w:tcW w:w="44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3971" w:type="pct"/>
            <w:gridSpan w:val="8"/>
            <w:vAlign w:val="center"/>
          </w:tcPr>
          <w:p>
            <w:pPr>
              <w:pStyle w:val="825"/>
              <w:rPr>
                <w:rFonts w:ascii="Times New Roman" w:hAnsi="Times New Roman"/>
                <w:color w:val="auto"/>
                <w:sz w:val="21"/>
                <w:szCs w:val="21"/>
              </w:rPr>
            </w:pPr>
            <w:r>
              <w:rPr>
                <w:rFonts w:ascii="Times New Roman" w:hAnsi="Times New Roman"/>
                <w:color w:val="auto"/>
                <w:sz w:val="21"/>
                <w:szCs w:val="21"/>
              </w:rPr>
              <w:t>P</w:t>
            </w:r>
            <w:r>
              <w:rPr>
                <w:rFonts w:ascii="Times New Roman" w:hAnsi="Times New Roman"/>
                <w:color w:val="auto"/>
                <w:sz w:val="21"/>
                <w:szCs w:val="21"/>
                <w:vertAlign w:val="subscript"/>
              </w:rPr>
              <w:t>max</w:t>
            </w:r>
          </w:p>
        </w:tc>
        <w:tc>
          <w:tcPr>
            <w:tcW w:w="583"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0.78</w:t>
            </w:r>
          </w:p>
        </w:tc>
        <w:tc>
          <w:tcPr>
            <w:tcW w:w="44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w:t>
            </w:r>
          </w:p>
        </w:tc>
      </w:tr>
    </w:tbl>
    <w:p>
      <w:pPr>
        <w:pStyle w:val="3230"/>
        <w:rPr>
          <w:rFonts w:eastAsiaTheme="minorEastAsia"/>
          <w:color w:val="auto"/>
        </w:rPr>
      </w:pPr>
      <w:r>
        <w:rPr>
          <w:rFonts w:hint="eastAsia" w:eastAsiaTheme="minorEastAsia"/>
          <w:color w:val="auto"/>
        </w:rPr>
        <w:t>专项</w:t>
      </w:r>
      <w:r>
        <w:rPr>
          <w:rFonts w:eastAsiaTheme="minorEastAsia"/>
          <w:color w:val="auto"/>
        </w:rPr>
        <w:t>表1.</w:t>
      </w:r>
      <w:r>
        <w:rPr>
          <w:rFonts w:hint="eastAsia" w:eastAsiaTheme="minorEastAsia"/>
          <w:color w:val="auto"/>
        </w:rPr>
        <w:t>5.1</w:t>
      </w:r>
      <w:r>
        <w:rPr>
          <w:rFonts w:eastAsiaTheme="minorEastAsia"/>
          <w:color w:val="auto"/>
        </w:rPr>
        <w:t>-</w:t>
      </w:r>
      <w:r>
        <w:rPr>
          <w:rFonts w:hint="eastAsia" w:eastAsiaTheme="minorEastAsia"/>
          <w:color w:val="auto"/>
        </w:rPr>
        <w:t>4</w:t>
      </w:r>
      <w:r>
        <w:rPr>
          <w:rFonts w:eastAsiaTheme="minorEastAsia"/>
          <w:color w:val="auto"/>
        </w:rPr>
        <w:t xml:space="preserve">   </w:t>
      </w:r>
      <w:r>
        <w:rPr>
          <w:rFonts w:hint="eastAsia" w:eastAsiaTheme="minorEastAsia"/>
          <w:color w:val="auto"/>
        </w:rPr>
        <w:t>项目无组织污染源估算模型计算结果</w:t>
      </w:r>
      <w:r>
        <w:rPr>
          <w:rFonts w:eastAsiaTheme="minorEastAsia"/>
          <w:color w:val="auto"/>
        </w:rPr>
        <w:t>表</w:t>
      </w:r>
    </w:p>
    <w:tbl>
      <w:tblPr>
        <w:tblStyle w:val="88"/>
        <w:tblW w:w="4999"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514"/>
        <w:gridCol w:w="1515"/>
        <w:gridCol w:w="1515"/>
        <w:gridCol w:w="1515"/>
        <w:gridCol w:w="1518"/>
        <w:gridCol w:w="1518"/>
        <w:gridCol w:w="1518"/>
        <w:gridCol w:w="1518"/>
        <w:gridCol w:w="151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555" w:type="pct"/>
            <w:vAlign w:val="center"/>
          </w:tcPr>
          <w:p>
            <w:pPr>
              <w:pStyle w:val="825"/>
              <w:rPr>
                <w:rFonts w:ascii="Times New Roman" w:hAnsi="Times New Roman"/>
                <w:color w:val="auto"/>
                <w:sz w:val="21"/>
                <w:szCs w:val="21"/>
              </w:rPr>
            </w:pPr>
            <w:r>
              <w:rPr>
                <w:rFonts w:ascii="Times New Roman" w:hAnsi="Times New Roman"/>
                <w:color w:val="auto"/>
                <w:sz w:val="21"/>
                <w:szCs w:val="21"/>
              </w:rPr>
              <w:t>污染源</w:t>
            </w:r>
          </w:p>
        </w:tc>
        <w:tc>
          <w:tcPr>
            <w:tcW w:w="555" w:type="pct"/>
            <w:vAlign w:val="center"/>
          </w:tcPr>
          <w:p>
            <w:pPr>
              <w:pStyle w:val="825"/>
              <w:rPr>
                <w:rFonts w:ascii="Times New Roman" w:hAnsi="Times New Roman"/>
                <w:color w:val="auto"/>
                <w:sz w:val="21"/>
                <w:szCs w:val="21"/>
              </w:rPr>
            </w:pPr>
            <w:r>
              <w:rPr>
                <w:rFonts w:ascii="Times New Roman" w:hAnsi="Times New Roman"/>
                <w:color w:val="auto"/>
                <w:sz w:val="21"/>
                <w:szCs w:val="21"/>
              </w:rPr>
              <w:t>面源长度（m）</w:t>
            </w:r>
          </w:p>
        </w:tc>
        <w:tc>
          <w:tcPr>
            <w:tcW w:w="555" w:type="pct"/>
            <w:vAlign w:val="center"/>
          </w:tcPr>
          <w:p>
            <w:pPr>
              <w:pStyle w:val="825"/>
              <w:rPr>
                <w:rFonts w:ascii="Times New Roman" w:hAnsi="Times New Roman"/>
                <w:color w:val="auto"/>
                <w:sz w:val="21"/>
                <w:szCs w:val="21"/>
              </w:rPr>
            </w:pPr>
            <w:r>
              <w:rPr>
                <w:rFonts w:ascii="Times New Roman" w:hAnsi="Times New Roman"/>
                <w:color w:val="auto"/>
                <w:sz w:val="21"/>
                <w:szCs w:val="21"/>
              </w:rPr>
              <w:t>面源宽度（m）</w:t>
            </w:r>
          </w:p>
        </w:tc>
        <w:tc>
          <w:tcPr>
            <w:tcW w:w="555" w:type="pct"/>
            <w:vAlign w:val="center"/>
          </w:tcPr>
          <w:p>
            <w:pPr>
              <w:pStyle w:val="825"/>
              <w:rPr>
                <w:rFonts w:ascii="Times New Roman" w:hAnsi="Times New Roman"/>
                <w:color w:val="auto"/>
                <w:sz w:val="21"/>
                <w:szCs w:val="21"/>
              </w:rPr>
            </w:pPr>
            <w:r>
              <w:rPr>
                <w:rFonts w:ascii="Times New Roman" w:hAnsi="Times New Roman"/>
                <w:color w:val="auto"/>
                <w:sz w:val="21"/>
                <w:szCs w:val="21"/>
              </w:rPr>
              <w:t>初始高度（m）</w:t>
            </w:r>
          </w:p>
        </w:tc>
        <w:tc>
          <w:tcPr>
            <w:tcW w:w="556" w:type="pct"/>
            <w:vAlign w:val="center"/>
          </w:tcPr>
          <w:p>
            <w:pPr>
              <w:pStyle w:val="825"/>
              <w:rPr>
                <w:rFonts w:ascii="Times New Roman" w:hAnsi="Times New Roman"/>
                <w:color w:val="auto"/>
                <w:sz w:val="21"/>
                <w:szCs w:val="21"/>
              </w:rPr>
            </w:pPr>
            <w:r>
              <w:rPr>
                <w:rFonts w:ascii="Times New Roman" w:hAnsi="Times New Roman"/>
                <w:color w:val="auto"/>
                <w:sz w:val="21"/>
                <w:szCs w:val="21"/>
              </w:rPr>
              <w:t>污染物</w:t>
            </w:r>
          </w:p>
        </w:tc>
        <w:tc>
          <w:tcPr>
            <w:tcW w:w="556" w:type="pct"/>
            <w:vAlign w:val="center"/>
          </w:tcPr>
          <w:p>
            <w:pPr>
              <w:pStyle w:val="825"/>
              <w:rPr>
                <w:rFonts w:ascii="Times New Roman" w:hAnsi="Times New Roman"/>
                <w:color w:val="auto"/>
                <w:sz w:val="21"/>
                <w:szCs w:val="21"/>
              </w:rPr>
            </w:pPr>
            <w:r>
              <w:rPr>
                <w:rFonts w:ascii="Times New Roman" w:hAnsi="Times New Roman"/>
                <w:color w:val="auto"/>
                <w:sz w:val="21"/>
                <w:szCs w:val="21"/>
              </w:rPr>
              <w:t>排放速率</w:t>
            </w:r>
          </w:p>
          <w:p>
            <w:pPr>
              <w:pStyle w:val="825"/>
              <w:rPr>
                <w:rFonts w:ascii="Times New Roman" w:hAnsi="Times New Roman"/>
                <w:color w:val="auto"/>
                <w:sz w:val="21"/>
                <w:szCs w:val="21"/>
              </w:rPr>
            </w:pPr>
            <w:r>
              <w:rPr>
                <w:rFonts w:ascii="Times New Roman" w:hAnsi="Times New Roman"/>
                <w:color w:val="auto"/>
                <w:sz w:val="21"/>
                <w:szCs w:val="21"/>
              </w:rPr>
              <w:t>（kg/h）</w:t>
            </w:r>
          </w:p>
        </w:tc>
        <w:tc>
          <w:tcPr>
            <w:tcW w:w="556" w:type="pct"/>
            <w:vAlign w:val="center"/>
          </w:tcPr>
          <w:p>
            <w:pPr>
              <w:pStyle w:val="825"/>
              <w:rPr>
                <w:rFonts w:ascii="Times New Roman" w:hAnsi="Times New Roman"/>
                <w:color w:val="auto"/>
                <w:sz w:val="21"/>
                <w:szCs w:val="21"/>
              </w:rPr>
            </w:pPr>
            <w:r>
              <w:rPr>
                <w:rFonts w:ascii="Times New Roman" w:hAnsi="Times New Roman"/>
                <w:color w:val="auto"/>
                <w:sz w:val="21"/>
                <w:szCs w:val="21"/>
              </w:rPr>
              <w:t>最大落地浓度（μg/m</w:t>
            </w:r>
            <w:r>
              <w:rPr>
                <w:rFonts w:ascii="Times New Roman" w:hAnsi="Times New Roman"/>
                <w:color w:val="auto"/>
                <w:sz w:val="21"/>
                <w:szCs w:val="21"/>
                <w:vertAlign w:val="superscript"/>
              </w:rPr>
              <w:t>3</w:t>
            </w:r>
            <w:r>
              <w:rPr>
                <w:rFonts w:ascii="Times New Roman" w:hAnsi="Times New Roman"/>
                <w:color w:val="auto"/>
                <w:sz w:val="21"/>
                <w:szCs w:val="21"/>
              </w:rPr>
              <w:t>）</w:t>
            </w:r>
          </w:p>
        </w:tc>
        <w:tc>
          <w:tcPr>
            <w:tcW w:w="556" w:type="pct"/>
            <w:vAlign w:val="center"/>
          </w:tcPr>
          <w:p>
            <w:pPr>
              <w:pStyle w:val="825"/>
              <w:rPr>
                <w:rFonts w:ascii="Times New Roman" w:hAnsi="Times New Roman"/>
                <w:color w:val="auto"/>
                <w:sz w:val="21"/>
                <w:szCs w:val="21"/>
              </w:rPr>
            </w:pPr>
            <w:r>
              <w:rPr>
                <w:rFonts w:ascii="Times New Roman" w:hAnsi="Times New Roman"/>
                <w:color w:val="auto"/>
                <w:sz w:val="21"/>
                <w:szCs w:val="21"/>
              </w:rPr>
              <w:t>最大落地浓度占标率Pi(</w:t>
            </w:r>
            <w:r>
              <w:rPr>
                <w:rFonts w:ascii="Times New Roman" w:hAnsi="Times New Roman"/>
                <w:bCs/>
                <w:color w:val="auto"/>
                <w:sz w:val="21"/>
                <w:szCs w:val="21"/>
              </w:rPr>
              <w:t>%</w:t>
            </w:r>
            <w:r>
              <w:rPr>
                <w:rFonts w:ascii="Times New Roman" w:hAnsi="Times New Roman"/>
                <w:color w:val="auto"/>
                <w:sz w:val="21"/>
                <w:szCs w:val="21"/>
              </w:rPr>
              <w:t>)</w:t>
            </w:r>
          </w:p>
        </w:tc>
        <w:tc>
          <w:tcPr>
            <w:tcW w:w="556" w:type="pct"/>
            <w:vAlign w:val="center"/>
          </w:tcPr>
          <w:p>
            <w:pPr>
              <w:pStyle w:val="825"/>
              <w:rPr>
                <w:rFonts w:ascii="Times New Roman" w:hAnsi="Times New Roman"/>
                <w:color w:val="auto"/>
                <w:sz w:val="21"/>
                <w:szCs w:val="21"/>
              </w:rPr>
            </w:pPr>
            <w:r>
              <w:rPr>
                <w:rFonts w:ascii="Times New Roman" w:hAnsi="Times New Roman"/>
                <w:color w:val="auto"/>
                <w:sz w:val="21"/>
                <w:szCs w:val="21"/>
              </w:rPr>
              <w:t>D10%对应的最远距离（m）</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555" w:type="pct"/>
            <w:vMerge w:val="restart"/>
            <w:tcBorders>
              <w:top w:val="single" w:color="auto" w:sz="4" w:space="0"/>
            </w:tcBorders>
            <w:vAlign w:val="center"/>
          </w:tcPr>
          <w:p>
            <w:pPr>
              <w:pStyle w:val="825"/>
              <w:rPr>
                <w:rFonts w:ascii="Times New Roman" w:hAnsi="Times New Roman"/>
                <w:color w:val="auto"/>
                <w:sz w:val="21"/>
                <w:szCs w:val="21"/>
              </w:rPr>
            </w:pPr>
            <w:r>
              <w:rPr>
                <w:rFonts w:ascii="Times New Roman" w:hAnsi="Times New Roman"/>
                <w:color w:val="auto"/>
                <w:sz w:val="21"/>
                <w:szCs w:val="21"/>
              </w:rPr>
              <w:t>炼钢车间</w:t>
            </w:r>
          </w:p>
        </w:tc>
        <w:tc>
          <w:tcPr>
            <w:tcW w:w="555" w:type="pct"/>
            <w:vMerge w:val="restart"/>
            <w:tcBorders>
              <w:top w:val="single" w:color="auto" w:sz="4" w:space="0"/>
            </w:tcBorders>
            <w:vAlign w:val="center"/>
          </w:tcPr>
          <w:p>
            <w:pPr>
              <w:pStyle w:val="825"/>
              <w:rPr>
                <w:rFonts w:ascii="Times New Roman" w:hAnsi="Times New Roman"/>
                <w:color w:val="auto"/>
                <w:sz w:val="21"/>
                <w:szCs w:val="21"/>
              </w:rPr>
            </w:pPr>
            <w:r>
              <w:rPr>
                <w:rFonts w:ascii="Times New Roman" w:hAnsi="Times New Roman"/>
                <w:color w:val="auto"/>
                <w:sz w:val="21"/>
                <w:szCs w:val="21"/>
              </w:rPr>
              <w:t>380</w:t>
            </w:r>
          </w:p>
        </w:tc>
        <w:tc>
          <w:tcPr>
            <w:tcW w:w="555" w:type="pct"/>
            <w:vMerge w:val="restart"/>
            <w:tcBorders>
              <w:top w:val="single" w:color="auto" w:sz="4" w:space="0"/>
            </w:tcBorders>
            <w:vAlign w:val="center"/>
          </w:tcPr>
          <w:p>
            <w:pPr>
              <w:pStyle w:val="825"/>
              <w:rPr>
                <w:rFonts w:ascii="Times New Roman" w:hAnsi="Times New Roman"/>
                <w:color w:val="auto"/>
                <w:sz w:val="21"/>
                <w:szCs w:val="21"/>
              </w:rPr>
            </w:pPr>
            <w:r>
              <w:rPr>
                <w:rFonts w:ascii="Times New Roman" w:hAnsi="Times New Roman"/>
                <w:color w:val="auto"/>
                <w:sz w:val="21"/>
                <w:szCs w:val="21"/>
              </w:rPr>
              <w:t>50</w:t>
            </w:r>
          </w:p>
        </w:tc>
        <w:tc>
          <w:tcPr>
            <w:tcW w:w="555" w:type="pct"/>
            <w:vMerge w:val="restart"/>
            <w:tcBorders>
              <w:top w:val="single" w:color="auto" w:sz="4" w:space="0"/>
            </w:tcBorders>
            <w:vAlign w:val="center"/>
          </w:tcPr>
          <w:p>
            <w:pPr>
              <w:pStyle w:val="825"/>
              <w:rPr>
                <w:rFonts w:ascii="Times New Roman" w:hAnsi="Times New Roman"/>
                <w:color w:val="auto"/>
                <w:sz w:val="21"/>
                <w:szCs w:val="21"/>
              </w:rPr>
            </w:pPr>
            <w:r>
              <w:rPr>
                <w:rFonts w:ascii="Times New Roman" w:hAnsi="Times New Roman"/>
                <w:color w:val="auto"/>
                <w:sz w:val="21"/>
                <w:szCs w:val="21"/>
              </w:rPr>
              <w:t>16</w:t>
            </w:r>
          </w:p>
        </w:tc>
        <w:tc>
          <w:tcPr>
            <w:tcW w:w="556" w:type="pct"/>
            <w:tcBorders>
              <w:top w:val="single" w:color="auto" w:sz="4" w:space="0"/>
              <w:bottom w:val="single" w:color="auto" w:sz="4" w:space="0"/>
            </w:tcBorders>
            <w:vAlign w:val="center"/>
          </w:tcPr>
          <w:p>
            <w:pPr>
              <w:pStyle w:val="825"/>
              <w:rPr>
                <w:rFonts w:ascii="Times New Roman" w:hAnsi="Times New Roman"/>
                <w:color w:val="auto"/>
                <w:sz w:val="21"/>
                <w:szCs w:val="21"/>
              </w:rPr>
            </w:pPr>
            <w:r>
              <w:rPr>
                <w:rFonts w:ascii="Times New Roman" w:hAnsi="Times New Roman"/>
                <w:color w:val="auto"/>
                <w:sz w:val="21"/>
                <w:szCs w:val="21"/>
              </w:rPr>
              <w:t>铅及其化合物</w:t>
            </w:r>
          </w:p>
        </w:tc>
        <w:tc>
          <w:tcPr>
            <w:tcW w:w="55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0.00008</w:t>
            </w:r>
          </w:p>
        </w:tc>
        <w:tc>
          <w:tcPr>
            <w:tcW w:w="55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0.0094</w:t>
            </w:r>
          </w:p>
        </w:tc>
        <w:tc>
          <w:tcPr>
            <w:tcW w:w="55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0.31</w:t>
            </w:r>
          </w:p>
        </w:tc>
        <w:tc>
          <w:tcPr>
            <w:tcW w:w="55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555" w:type="pct"/>
            <w:vMerge w:val="continue"/>
            <w:vAlign w:val="center"/>
          </w:tcPr>
          <w:p>
            <w:pPr>
              <w:pStyle w:val="825"/>
              <w:rPr>
                <w:rFonts w:ascii="Times New Roman" w:hAnsi="Times New Roman"/>
                <w:color w:val="auto"/>
                <w:sz w:val="21"/>
                <w:szCs w:val="21"/>
              </w:rPr>
            </w:pPr>
          </w:p>
        </w:tc>
        <w:tc>
          <w:tcPr>
            <w:tcW w:w="555" w:type="pct"/>
            <w:vMerge w:val="continue"/>
            <w:vAlign w:val="center"/>
          </w:tcPr>
          <w:p>
            <w:pPr>
              <w:pStyle w:val="825"/>
              <w:rPr>
                <w:rFonts w:ascii="Times New Roman" w:hAnsi="Times New Roman"/>
                <w:color w:val="auto"/>
                <w:sz w:val="21"/>
                <w:szCs w:val="21"/>
              </w:rPr>
            </w:pPr>
          </w:p>
        </w:tc>
        <w:tc>
          <w:tcPr>
            <w:tcW w:w="555" w:type="pct"/>
            <w:vMerge w:val="continue"/>
            <w:vAlign w:val="center"/>
          </w:tcPr>
          <w:p>
            <w:pPr>
              <w:pStyle w:val="825"/>
              <w:rPr>
                <w:rFonts w:ascii="Times New Roman" w:hAnsi="Times New Roman"/>
                <w:color w:val="auto"/>
                <w:sz w:val="21"/>
                <w:szCs w:val="21"/>
              </w:rPr>
            </w:pPr>
          </w:p>
        </w:tc>
        <w:tc>
          <w:tcPr>
            <w:tcW w:w="555" w:type="pct"/>
            <w:vMerge w:val="continue"/>
            <w:vAlign w:val="center"/>
          </w:tcPr>
          <w:p>
            <w:pPr>
              <w:pStyle w:val="825"/>
              <w:rPr>
                <w:rFonts w:ascii="Times New Roman" w:hAnsi="Times New Roman"/>
                <w:color w:val="auto"/>
                <w:sz w:val="21"/>
                <w:szCs w:val="21"/>
              </w:rPr>
            </w:pPr>
          </w:p>
        </w:tc>
        <w:tc>
          <w:tcPr>
            <w:tcW w:w="556" w:type="pct"/>
            <w:tcBorders>
              <w:top w:val="single" w:color="auto" w:sz="4" w:space="0"/>
              <w:bottom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镉及其化合物</w:t>
            </w:r>
          </w:p>
        </w:tc>
        <w:tc>
          <w:tcPr>
            <w:tcW w:w="55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0.000008</w:t>
            </w:r>
          </w:p>
        </w:tc>
        <w:tc>
          <w:tcPr>
            <w:tcW w:w="55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0.0009</w:t>
            </w:r>
          </w:p>
        </w:tc>
        <w:tc>
          <w:tcPr>
            <w:tcW w:w="55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3.15</w:t>
            </w:r>
          </w:p>
        </w:tc>
        <w:tc>
          <w:tcPr>
            <w:tcW w:w="55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555" w:type="pct"/>
            <w:vMerge w:val="continue"/>
            <w:vAlign w:val="center"/>
          </w:tcPr>
          <w:p>
            <w:pPr>
              <w:pStyle w:val="825"/>
              <w:rPr>
                <w:rFonts w:ascii="Times New Roman" w:hAnsi="Times New Roman"/>
                <w:color w:val="auto"/>
                <w:sz w:val="21"/>
                <w:szCs w:val="21"/>
              </w:rPr>
            </w:pPr>
          </w:p>
        </w:tc>
        <w:tc>
          <w:tcPr>
            <w:tcW w:w="555" w:type="pct"/>
            <w:vMerge w:val="continue"/>
            <w:vAlign w:val="center"/>
          </w:tcPr>
          <w:p>
            <w:pPr>
              <w:pStyle w:val="825"/>
              <w:rPr>
                <w:rFonts w:ascii="Times New Roman" w:hAnsi="Times New Roman"/>
                <w:color w:val="auto"/>
                <w:sz w:val="21"/>
                <w:szCs w:val="21"/>
              </w:rPr>
            </w:pPr>
          </w:p>
        </w:tc>
        <w:tc>
          <w:tcPr>
            <w:tcW w:w="555" w:type="pct"/>
            <w:vMerge w:val="continue"/>
            <w:vAlign w:val="center"/>
          </w:tcPr>
          <w:p>
            <w:pPr>
              <w:pStyle w:val="825"/>
              <w:rPr>
                <w:rFonts w:ascii="Times New Roman" w:hAnsi="Times New Roman"/>
                <w:color w:val="auto"/>
                <w:sz w:val="21"/>
                <w:szCs w:val="21"/>
              </w:rPr>
            </w:pPr>
          </w:p>
        </w:tc>
        <w:tc>
          <w:tcPr>
            <w:tcW w:w="555" w:type="pct"/>
            <w:vMerge w:val="continue"/>
            <w:vAlign w:val="center"/>
          </w:tcPr>
          <w:p>
            <w:pPr>
              <w:pStyle w:val="825"/>
              <w:rPr>
                <w:rFonts w:ascii="Times New Roman" w:hAnsi="Times New Roman"/>
                <w:color w:val="auto"/>
                <w:sz w:val="21"/>
                <w:szCs w:val="21"/>
              </w:rPr>
            </w:pPr>
          </w:p>
        </w:tc>
        <w:tc>
          <w:tcPr>
            <w:tcW w:w="556" w:type="pct"/>
            <w:tcBorders>
              <w:top w:val="single" w:color="auto" w:sz="4"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铬及其化合物</w:t>
            </w:r>
          </w:p>
        </w:tc>
        <w:tc>
          <w:tcPr>
            <w:tcW w:w="55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1×10</w:t>
            </w:r>
            <w:r>
              <w:rPr>
                <w:rFonts w:hint="eastAsia" w:ascii="Times New Roman" w:hAnsi="Times New Roman"/>
                <w:color w:val="auto"/>
                <w:sz w:val="21"/>
                <w:szCs w:val="21"/>
                <w:vertAlign w:val="superscript"/>
              </w:rPr>
              <w:t>-8</w:t>
            </w:r>
          </w:p>
        </w:tc>
        <w:tc>
          <w:tcPr>
            <w:tcW w:w="55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1.57×10</w:t>
            </w:r>
            <w:r>
              <w:rPr>
                <w:rFonts w:hint="eastAsia" w:ascii="Times New Roman" w:hAnsi="Times New Roman"/>
                <w:color w:val="auto"/>
                <w:sz w:val="21"/>
                <w:szCs w:val="21"/>
                <w:vertAlign w:val="superscript"/>
              </w:rPr>
              <w:t>-6</w:t>
            </w:r>
          </w:p>
        </w:tc>
        <w:tc>
          <w:tcPr>
            <w:tcW w:w="55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1.05</w:t>
            </w:r>
          </w:p>
        </w:tc>
        <w:tc>
          <w:tcPr>
            <w:tcW w:w="55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w:t>
            </w:r>
          </w:p>
        </w:tc>
      </w:tr>
    </w:tbl>
    <w:p>
      <w:pPr>
        <w:sectPr>
          <w:pgSz w:w="16838" w:h="11906" w:orient="landscape"/>
          <w:pgMar w:top="1531" w:right="1701" w:bottom="1531" w:left="1701" w:header="851" w:footer="851" w:gutter="0"/>
          <w:cols w:space="720" w:num="1"/>
          <w:docGrid w:linePitch="326" w:charSpace="0"/>
        </w:sectPr>
      </w:pPr>
    </w:p>
    <w:p>
      <w:r>
        <w:t>根据上表可知，估算模型所得出的最大占标率Pmax=</w:t>
      </w:r>
      <w:r>
        <w:rPr>
          <w:rFonts w:hint="eastAsia"/>
        </w:rPr>
        <w:t>3.15</w:t>
      </w:r>
      <w:r>
        <w:t>%</w:t>
      </w:r>
      <w:r>
        <w:rPr>
          <w:bCs/>
        </w:rPr>
        <w:t>＜1</w:t>
      </w:r>
      <w:r>
        <w:rPr>
          <w:rFonts w:hint="eastAsia"/>
          <w:bCs/>
        </w:rPr>
        <w:t>0</w:t>
      </w:r>
      <w:r>
        <w:rPr>
          <w:bCs/>
        </w:rPr>
        <w:t>%</w:t>
      </w:r>
      <w:r>
        <w:t>，环境空气影响评价工作等级为</w:t>
      </w:r>
      <w:r>
        <w:rPr>
          <w:rFonts w:hint="eastAsia"/>
        </w:rPr>
        <w:t>二</w:t>
      </w:r>
      <w:r>
        <w:t>级</w:t>
      </w:r>
      <w:r>
        <w:rPr>
          <w:rFonts w:hint="eastAsia"/>
        </w:rPr>
        <w:t>，二级评价项目不进行进一步预测与评价，只对污染物排放量进行核算</w:t>
      </w:r>
      <w:r>
        <w:t>。</w:t>
      </w:r>
    </w:p>
    <w:p>
      <w:pPr>
        <w:ind w:firstLine="0" w:firstLineChars="0"/>
        <w:rPr>
          <w:b/>
        </w:rPr>
      </w:pPr>
      <w:r>
        <w:rPr>
          <w:rFonts w:hint="eastAsia"/>
          <w:b/>
        </w:rPr>
        <w:t>1.5.2</w:t>
      </w:r>
      <w:r>
        <w:rPr>
          <w:b/>
        </w:rPr>
        <w:t>评价范围</w:t>
      </w:r>
    </w:p>
    <w:p>
      <w:r>
        <w:rPr>
          <w:rFonts w:hint="eastAsia"/>
          <w:bCs/>
        </w:rPr>
        <w:t>项目厂址为中心边长5km的矩形范围。</w:t>
      </w:r>
    </w:p>
    <w:p>
      <w:pPr>
        <w:ind w:firstLine="0" w:firstLineChars="0"/>
        <w:rPr>
          <w:b/>
          <w:sz w:val="28"/>
          <w:szCs w:val="28"/>
        </w:rPr>
      </w:pPr>
      <w:r>
        <w:rPr>
          <w:rFonts w:hint="eastAsia"/>
          <w:b/>
          <w:sz w:val="28"/>
          <w:szCs w:val="28"/>
        </w:rPr>
        <w:t>1.6环境保护目标调查</w:t>
      </w:r>
    </w:p>
    <w:p>
      <w:r>
        <w:rPr>
          <w:rFonts w:hint="eastAsia"/>
        </w:rPr>
        <w:t>项目位于</w:t>
      </w:r>
      <w:r>
        <w:rPr>
          <w:rFonts w:hint="eastAsia"/>
          <w:bCs/>
        </w:rPr>
        <w:t>大足高新区邮亭组团，周边无自然保护区、风景名胜区、森林公园、重点文物保护单位及用水源保护区，也未发现珍稀动植物，项目主要环境保护目标为厂区周边居民点、村社、国家粮库、学校、邮亭镇区、苦水河、水库等，项目主要大气环境保护目标见专项表1.6-1。</w:t>
      </w:r>
    </w:p>
    <w:p>
      <w:pPr>
        <w:adjustRightInd w:val="0"/>
        <w:spacing w:line="240" w:lineRule="auto"/>
        <w:ind w:firstLine="420"/>
        <w:jc w:val="center"/>
        <w:rPr>
          <w:sz w:val="21"/>
          <w:szCs w:val="21"/>
        </w:rPr>
      </w:pPr>
      <w:r>
        <w:rPr>
          <w:rFonts w:hint="eastAsia"/>
          <w:sz w:val="21"/>
          <w:szCs w:val="21"/>
        </w:rPr>
        <w:t>专项表1.6-1   主要大气</w:t>
      </w:r>
      <w:r>
        <w:rPr>
          <w:sz w:val="21"/>
          <w:szCs w:val="21"/>
        </w:rPr>
        <w:t>环境保护目标分布情况一览表</w:t>
      </w:r>
    </w:p>
    <w:tbl>
      <w:tblPr>
        <w:tblStyle w:val="8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28"/>
        <w:gridCol w:w="1378"/>
        <w:gridCol w:w="706"/>
        <w:gridCol w:w="720"/>
        <w:gridCol w:w="905"/>
        <w:gridCol w:w="800"/>
        <w:gridCol w:w="1128"/>
        <w:gridCol w:w="1700"/>
        <w:gridCol w:w="12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blHeader/>
          <w:jc w:val="center"/>
        </w:trPr>
        <w:tc>
          <w:tcPr>
            <w:tcW w:w="237" w:type="pct"/>
            <w:vMerge w:val="restart"/>
            <w:vAlign w:val="center"/>
          </w:tcPr>
          <w:p>
            <w:pPr>
              <w:pStyle w:val="3232"/>
              <w:rPr>
                <w:rFonts w:cs="Times New Roman"/>
                <w:sz w:val="21"/>
                <w:szCs w:val="21"/>
              </w:rPr>
            </w:pPr>
            <w:r>
              <w:rPr>
                <w:rFonts w:eastAsia="宋体" w:cs="Times New Roman"/>
                <w:sz w:val="21"/>
                <w:szCs w:val="21"/>
              </w:rPr>
              <w:t>序号</w:t>
            </w:r>
          </w:p>
        </w:tc>
        <w:tc>
          <w:tcPr>
            <w:tcW w:w="761" w:type="pct"/>
            <w:vMerge w:val="restart"/>
            <w:vAlign w:val="center"/>
          </w:tcPr>
          <w:p>
            <w:pPr>
              <w:pStyle w:val="3232"/>
              <w:rPr>
                <w:rFonts w:cs="Times New Roman"/>
                <w:sz w:val="21"/>
                <w:szCs w:val="21"/>
              </w:rPr>
            </w:pPr>
            <w:r>
              <w:rPr>
                <w:rFonts w:eastAsia="宋体" w:cs="Times New Roman"/>
                <w:sz w:val="21"/>
                <w:szCs w:val="21"/>
              </w:rPr>
              <w:t>敏感点</w:t>
            </w:r>
          </w:p>
          <w:p>
            <w:pPr>
              <w:pStyle w:val="3232"/>
              <w:rPr>
                <w:rFonts w:cs="Times New Roman"/>
                <w:sz w:val="21"/>
                <w:szCs w:val="21"/>
              </w:rPr>
            </w:pPr>
            <w:r>
              <w:rPr>
                <w:rFonts w:eastAsia="宋体" w:cs="Times New Roman"/>
                <w:sz w:val="21"/>
                <w:szCs w:val="21"/>
              </w:rPr>
              <w:t>名称</w:t>
            </w:r>
          </w:p>
        </w:tc>
        <w:tc>
          <w:tcPr>
            <w:tcW w:w="783" w:type="pct"/>
            <w:gridSpan w:val="2"/>
            <w:tcBorders>
              <w:bottom w:val="single" w:color="auto" w:sz="4" w:space="0"/>
            </w:tcBorders>
            <w:vAlign w:val="center"/>
          </w:tcPr>
          <w:p>
            <w:pPr>
              <w:pStyle w:val="3232"/>
              <w:rPr>
                <w:rFonts w:cs="Times New Roman"/>
                <w:sz w:val="21"/>
                <w:szCs w:val="21"/>
              </w:rPr>
            </w:pPr>
            <w:r>
              <w:rPr>
                <w:rFonts w:hint="eastAsia" w:eastAsia="宋体" w:cs="Times New Roman"/>
                <w:sz w:val="21"/>
                <w:szCs w:val="21"/>
              </w:rPr>
              <w:t>坐标</w:t>
            </w:r>
          </w:p>
        </w:tc>
        <w:tc>
          <w:tcPr>
            <w:tcW w:w="500" w:type="pct"/>
            <w:vMerge w:val="restart"/>
            <w:vAlign w:val="center"/>
          </w:tcPr>
          <w:p>
            <w:pPr>
              <w:pStyle w:val="3232"/>
              <w:rPr>
                <w:rFonts w:cs="Times New Roman"/>
                <w:sz w:val="21"/>
                <w:szCs w:val="21"/>
              </w:rPr>
            </w:pPr>
            <w:r>
              <w:rPr>
                <w:rFonts w:eastAsia="宋体" w:cs="Times New Roman"/>
                <w:sz w:val="21"/>
                <w:szCs w:val="21"/>
              </w:rPr>
              <w:t>相对厂区</w:t>
            </w:r>
          </w:p>
          <w:p>
            <w:pPr>
              <w:pStyle w:val="3232"/>
              <w:rPr>
                <w:rFonts w:cs="Times New Roman"/>
                <w:sz w:val="21"/>
                <w:szCs w:val="21"/>
              </w:rPr>
            </w:pPr>
            <w:r>
              <w:rPr>
                <w:rFonts w:eastAsia="宋体" w:cs="Times New Roman"/>
                <w:sz w:val="21"/>
                <w:szCs w:val="21"/>
              </w:rPr>
              <w:t>方位</w:t>
            </w:r>
          </w:p>
        </w:tc>
        <w:tc>
          <w:tcPr>
            <w:tcW w:w="442" w:type="pct"/>
            <w:vMerge w:val="restart"/>
            <w:vAlign w:val="center"/>
          </w:tcPr>
          <w:p>
            <w:pPr>
              <w:pStyle w:val="3232"/>
              <w:rPr>
                <w:rFonts w:cs="Times New Roman"/>
                <w:sz w:val="21"/>
                <w:szCs w:val="21"/>
              </w:rPr>
            </w:pPr>
            <w:r>
              <w:rPr>
                <w:rFonts w:eastAsia="宋体" w:cs="Times New Roman"/>
                <w:sz w:val="21"/>
                <w:szCs w:val="21"/>
              </w:rPr>
              <w:t>距厂界最近距离（</w:t>
            </w:r>
            <w:r>
              <w:rPr>
                <w:rFonts w:cs="Times New Roman"/>
                <w:sz w:val="21"/>
                <w:szCs w:val="21"/>
              </w:rPr>
              <w:t>m</w:t>
            </w:r>
            <w:r>
              <w:rPr>
                <w:rFonts w:eastAsia="宋体" w:cs="Times New Roman"/>
                <w:sz w:val="21"/>
                <w:szCs w:val="21"/>
              </w:rPr>
              <w:t>）</w:t>
            </w:r>
          </w:p>
        </w:tc>
        <w:tc>
          <w:tcPr>
            <w:tcW w:w="623" w:type="pct"/>
            <w:vMerge w:val="restart"/>
            <w:vAlign w:val="center"/>
          </w:tcPr>
          <w:p>
            <w:pPr>
              <w:pStyle w:val="3232"/>
              <w:rPr>
                <w:rFonts w:cs="Times New Roman"/>
                <w:sz w:val="21"/>
                <w:szCs w:val="21"/>
              </w:rPr>
            </w:pPr>
            <w:r>
              <w:rPr>
                <w:rFonts w:eastAsia="宋体" w:cs="Times New Roman"/>
                <w:sz w:val="21"/>
                <w:szCs w:val="21"/>
              </w:rPr>
              <w:t>距本项目生产区最近距离（</w:t>
            </w:r>
            <w:r>
              <w:rPr>
                <w:rFonts w:cs="Times New Roman"/>
                <w:sz w:val="21"/>
                <w:szCs w:val="21"/>
              </w:rPr>
              <w:t>m</w:t>
            </w:r>
            <w:r>
              <w:rPr>
                <w:rFonts w:eastAsia="宋体" w:cs="Times New Roman"/>
                <w:sz w:val="21"/>
                <w:szCs w:val="21"/>
              </w:rPr>
              <w:t>）</w:t>
            </w:r>
          </w:p>
        </w:tc>
        <w:tc>
          <w:tcPr>
            <w:tcW w:w="939" w:type="pct"/>
            <w:vMerge w:val="restart"/>
            <w:vAlign w:val="center"/>
          </w:tcPr>
          <w:p>
            <w:pPr>
              <w:pStyle w:val="3232"/>
              <w:rPr>
                <w:rFonts w:cs="Times New Roman"/>
                <w:sz w:val="21"/>
                <w:szCs w:val="21"/>
              </w:rPr>
            </w:pPr>
            <w:r>
              <w:rPr>
                <w:rFonts w:eastAsia="宋体" w:cs="Times New Roman"/>
                <w:sz w:val="21"/>
                <w:szCs w:val="21"/>
              </w:rPr>
              <w:t>备注</w:t>
            </w:r>
          </w:p>
        </w:tc>
        <w:tc>
          <w:tcPr>
            <w:tcW w:w="715" w:type="pct"/>
            <w:vMerge w:val="restart"/>
            <w:vAlign w:val="center"/>
          </w:tcPr>
          <w:p>
            <w:pPr>
              <w:pStyle w:val="3232"/>
              <w:rPr>
                <w:rFonts w:cs="Times New Roman"/>
                <w:sz w:val="21"/>
                <w:szCs w:val="21"/>
              </w:rPr>
            </w:pPr>
            <w:r>
              <w:rPr>
                <w:rFonts w:eastAsia="宋体" w:cs="Times New Roman"/>
                <w:sz w:val="21"/>
                <w:szCs w:val="21"/>
              </w:rPr>
              <w:t>环境功能分类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237" w:type="pct"/>
            <w:vMerge w:val="continue"/>
            <w:vAlign w:val="center"/>
          </w:tcPr>
          <w:p>
            <w:pPr>
              <w:pStyle w:val="3232"/>
              <w:rPr>
                <w:rFonts w:eastAsia="宋体" w:cs="Times New Roman"/>
                <w:sz w:val="21"/>
                <w:szCs w:val="21"/>
              </w:rPr>
            </w:pPr>
          </w:p>
        </w:tc>
        <w:tc>
          <w:tcPr>
            <w:tcW w:w="761" w:type="pct"/>
            <w:vMerge w:val="continue"/>
            <w:vAlign w:val="center"/>
          </w:tcPr>
          <w:p>
            <w:pPr>
              <w:pStyle w:val="3232"/>
              <w:rPr>
                <w:rFonts w:eastAsia="宋体" w:cs="Times New Roman"/>
                <w:sz w:val="21"/>
                <w:szCs w:val="21"/>
              </w:rPr>
            </w:pPr>
          </w:p>
        </w:tc>
        <w:tc>
          <w:tcPr>
            <w:tcW w:w="385" w:type="pct"/>
            <w:tcBorders>
              <w:top w:val="single" w:color="auto" w:sz="4" w:space="0"/>
              <w:right w:val="single" w:color="auto" w:sz="4" w:space="0"/>
            </w:tcBorders>
            <w:vAlign w:val="center"/>
          </w:tcPr>
          <w:p>
            <w:pPr>
              <w:pStyle w:val="3232"/>
              <w:rPr>
                <w:rFonts w:eastAsia="宋体" w:cs="Times New Roman"/>
                <w:sz w:val="21"/>
                <w:szCs w:val="21"/>
              </w:rPr>
            </w:pPr>
            <w:r>
              <w:rPr>
                <w:rFonts w:hint="eastAsia" w:eastAsia="宋体" w:cs="Times New Roman"/>
                <w:sz w:val="21"/>
                <w:szCs w:val="21"/>
              </w:rPr>
              <w:t>X</w:t>
            </w:r>
          </w:p>
        </w:tc>
        <w:tc>
          <w:tcPr>
            <w:tcW w:w="398" w:type="pct"/>
            <w:tcBorders>
              <w:top w:val="single" w:color="auto" w:sz="4" w:space="0"/>
              <w:left w:val="single" w:color="auto" w:sz="4" w:space="0"/>
            </w:tcBorders>
            <w:vAlign w:val="center"/>
          </w:tcPr>
          <w:p>
            <w:pPr>
              <w:pStyle w:val="3232"/>
              <w:rPr>
                <w:rFonts w:eastAsia="宋体" w:cs="Times New Roman"/>
                <w:sz w:val="21"/>
                <w:szCs w:val="21"/>
              </w:rPr>
            </w:pPr>
            <w:r>
              <w:rPr>
                <w:rFonts w:hint="eastAsia" w:eastAsia="宋体" w:cs="Times New Roman"/>
                <w:sz w:val="21"/>
                <w:szCs w:val="21"/>
              </w:rPr>
              <w:t>Y</w:t>
            </w:r>
          </w:p>
        </w:tc>
        <w:tc>
          <w:tcPr>
            <w:tcW w:w="500" w:type="pct"/>
            <w:vMerge w:val="continue"/>
            <w:vAlign w:val="center"/>
          </w:tcPr>
          <w:p>
            <w:pPr>
              <w:pStyle w:val="3232"/>
              <w:rPr>
                <w:rFonts w:eastAsia="宋体" w:cs="Times New Roman"/>
                <w:sz w:val="21"/>
                <w:szCs w:val="21"/>
              </w:rPr>
            </w:pPr>
          </w:p>
        </w:tc>
        <w:tc>
          <w:tcPr>
            <w:tcW w:w="442" w:type="pct"/>
            <w:vMerge w:val="continue"/>
            <w:vAlign w:val="center"/>
          </w:tcPr>
          <w:p>
            <w:pPr>
              <w:pStyle w:val="3232"/>
              <w:rPr>
                <w:rFonts w:eastAsia="宋体" w:cs="Times New Roman"/>
                <w:sz w:val="21"/>
                <w:szCs w:val="21"/>
              </w:rPr>
            </w:pPr>
          </w:p>
        </w:tc>
        <w:tc>
          <w:tcPr>
            <w:tcW w:w="623" w:type="pct"/>
            <w:vMerge w:val="continue"/>
            <w:vAlign w:val="center"/>
          </w:tcPr>
          <w:p>
            <w:pPr>
              <w:pStyle w:val="3232"/>
              <w:rPr>
                <w:rFonts w:eastAsia="宋体" w:cs="Times New Roman"/>
                <w:sz w:val="21"/>
                <w:szCs w:val="21"/>
              </w:rPr>
            </w:pPr>
          </w:p>
        </w:tc>
        <w:tc>
          <w:tcPr>
            <w:tcW w:w="939" w:type="pct"/>
            <w:vMerge w:val="continue"/>
            <w:vAlign w:val="center"/>
          </w:tcPr>
          <w:p>
            <w:pPr>
              <w:pStyle w:val="3232"/>
              <w:rPr>
                <w:rFonts w:eastAsia="宋体" w:cs="Times New Roman"/>
                <w:sz w:val="21"/>
                <w:szCs w:val="21"/>
              </w:rPr>
            </w:pPr>
          </w:p>
        </w:tc>
        <w:tc>
          <w:tcPr>
            <w:tcW w:w="715" w:type="pct"/>
            <w:vMerge w:val="continue"/>
            <w:vAlign w:val="center"/>
          </w:tcPr>
          <w:p>
            <w:pPr>
              <w:pStyle w:val="3232"/>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7" w:type="pct"/>
            <w:vAlign w:val="center"/>
          </w:tcPr>
          <w:p>
            <w:pPr>
              <w:pStyle w:val="3232"/>
              <w:rPr>
                <w:rFonts w:cs="Times New Roman"/>
                <w:sz w:val="21"/>
                <w:szCs w:val="21"/>
              </w:rPr>
            </w:pPr>
            <w:r>
              <w:rPr>
                <w:rFonts w:cs="Times New Roman"/>
                <w:sz w:val="21"/>
                <w:szCs w:val="21"/>
              </w:rPr>
              <w:t>1</w:t>
            </w:r>
          </w:p>
        </w:tc>
        <w:tc>
          <w:tcPr>
            <w:tcW w:w="761" w:type="pct"/>
            <w:vAlign w:val="center"/>
          </w:tcPr>
          <w:p>
            <w:pPr>
              <w:pStyle w:val="3232"/>
              <w:rPr>
                <w:rFonts w:cs="Times New Roman" w:eastAsiaTheme="minorEastAsia"/>
                <w:sz w:val="21"/>
                <w:szCs w:val="21"/>
              </w:rPr>
            </w:pPr>
            <w:r>
              <w:rPr>
                <w:rFonts w:eastAsia="宋体" w:cs="Times New Roman"/>
                <w:sz w:val="21"/>
                <w:szCs w:val="21"/>
              </w:rPr>
              <w:t>东侧居民点</w:t>
            </w:r>
          </w:p>
        </w:tc>
        <w:tc>
          <w:tcPr>
            <w:tcW w:w="385" w:type="pct"/>
            <w:tcBorders>
              <w:right w:val="single" w:color="auto" w:sz="4" w:space="0"/>
            </w:tcBorders>
            <w:vAlign w:val="center"/>
          </w:tcPr>
          <w:p>
            <w:pPr>
              <w:spacing w:line="240" w:lineRule="auto"/>
              <w:ind w:firstLine="0" w:firstLineChars="0"/>
              <w:jc w:val="center"/>
              <w:rPr>
                <w:sz w:val="21"/>
                <w:szCs w:val="21"/>
              </w:rPr>
            </w:pPr>
            <w:r>
              <w:rPr>
                <w:sz w:val="21"/>
                <w:szCs w:val="21"/>
              </w:rPr>
              <w:t>632</w:t>
            </w:r>
          </w:p>
        </w:tc>
        <w:tc>
          <w:tcPr>
            <w:tcW w:w="398" w:type="pct"/>
            <w:tcBorders>
              <w:left w:val="single" w:color="auto" w:sz="4" w:space="0"/>
            </w:tcBorders>
            <w:vAlign w:val="center"/>
          </w:tcPr>
          <w:p>
            <w:pPr>
              <w:spacing w:line="240" w:lineRule="auto"/>
              <w:ind w:firstLine="0" w:firstLineChars="0"/>
              <w:jc w:val="center"/>
              <w:rPr>
                <w:sz w:val="21"/>
                <w:szCs w:val="21"/>
              </w:rPr>
            </w:pPr>
            <w:r>
              <w:rPr>
                <w:sz w:val="21"/>
                <w:szCs w:val="21"/>
              </w:rPr>
              <w:t>96</w:t>
            </w:r>
          </w:p>
        </w:tc>
        <w:tc>
          <w:tcPr>
            <w:tcW w:w="500" w:type="pct"/>
            <w:vAlign w:val="center"/>
          </w:tcPr>
          <w:p>
            <w:pPr>
              <w:pStyle w:val="3232"/>
              <w:rPr>
                <w:rFonts w:cs="Times New Roman"/>
                <w:sz w:val="21"/>
                <w:szCs w:val="21"/>
              </w:rPr>
            </w:pPr>
            <w:r>
              <w:rPr>
                <w:rFonts w:cs="Times New Roman"/>
                <w:sz w:val="21"/>
                <w:szCs w:val="21"/>
              </w:rPr>
              <w:t>E</w:t>
            </w:r>
          </w:p>
        </w:tc>
        <w:tc>
          <w:tcPr>
            <w:tcW w:w="442" w:type="pct"/>
            <w:vAlign w:val="center"/>
          </w:tcPr>
          <w:p>
            <w:pPr>
              <w:pStyle w:val="3232"/>
              <w:rPr>
                <w:rFonts w:cs="Times New Roman"/>
                <w:sz w:val="21"/>
                <w:szCs w:val="21"/>
              </w:rPr>
            </w:pPr>
            <w:r>
              <w:rPr>
                <w:rFonts w:hint="eastAsia" w:eastAsia="宋体" w:cs="Times New Roman"/>
                <w:sz w:val="21"/>
                <w:szCs w:val="21"/>
              </w:rPr>
              <w:t>100</w:t>
            </w:r>
          </w:p>
        </w:tc>
        <w:tc>
          <w:tcPr>
            <w:tcW w:w="623" w:type="pct"/>
            <w:vAlign w:val="center"/>
          </w:tcPr>
          <w:p>
            <w:pPr>
              <w:pStyle w:val="3232"/>
              <w:rPr>
                <w:rFonts w:cs="Times New Roman" w:eastAsiaTheme="minorEastAsia"/>
                <w:sz w:val="21"/>
                <w:szCs w:val="21"/>
              </w:rPr>
            </w:pPr>
            <w:r>
              <w:rPr>
                <w:rFonts w:cs="Times New Roman" w:eastAsiaTheme="minorEastAsia"/>
                <w:sz w:val="21"/>
                <w:szCs w:val="21"/>
              </w:rPr>
              <w:t>230</w:t>
            </w:r>
          </w:p>
        </w:tc>
        <w:tc>
          <w:tcPr>
            <w:tcW w:w="939" w:type="pct"/>
            <w:vAlign w:val="center"/>
          </w:tcPr>
          <w:p>
            <w:pPr>
              <w:pStyle w:val="3232"/>
              <w:rPr>
                <w:rFonts w:cs="Times New Roman"/>
                <w:sz w:val="21"/>
                <w:szCs w:val="21"/>
              </w:rPr>
            </w:pPr>
            <w:r>
              <w:rPr>
                <w:rFonts w:eastAsia="宋体" w:cs="Times New Roman"/>
                <w:sz w:val="21"/>
                <w:szCs w:val="21"/>
              </w:rPr>
              <w:t>约</w:t>
            </w:r>
            <w:r>
              <w:rPr>
                <w:rFonts w:cs="Times New Roman"/>
                <w:sz w:val="21"/>
                <w:szCs w:val="21"/>
              </w:rPr>
              <w:t>7</w:t>
            </w:r>
            <w:r>
              <w:rPr>
                <w:rFonts w:eastAsia="宋体" w:cs="Times New Roman"/>
                <w:sz w:val="21"/>
                <w:szCs w:val="21"/>
              </w:rPr>
              <w:t>户，</w:t>
            </w:r>
            <w:r>
              <w:rPr>
                <w:rFonts w:cs="Times New Roman"/>
                <w:sz w:val="21"/>
                <w:szCs w:val="21"/>
              </w:rPr>
              <w:t>30</w:t>
            </w:r>
            <w:r>
              <w:rPr>
                <w:rFonts w:eastAsia="宋体" w:cs="Times New Roman"/>
                <w:sz w:val="21"/>
                <w:szCs w:val="21"/>
              </w:rPr>
              <w:t>人</w:t>
            </w:r>
          </w:p>
        </w:tc>
        <w:tc>
          <w:tcPr>
            <w:tcW w:w="715" w:type="pct"/>
            <w:vAlign w:val="center"/>
          </w:tcPr>
          <w:p>
            <w:pPr>
              <w:pStyle w:val="3232"/>
              <w:rPr>
                <w:rFonts w:cs="Times New Roman" w:eastAsiaTheme="minorEastAsia"/>
                <w:sz w:val="21"/>
                <w:szCs w:val="21"/>
              </w:rPr>
            </w:pPr>
            <w:r>
              <w:rPr>
                <w:rFonts w:eastAsia="宋体" w:cs="Times New Roman"/>
                <w:sz w:val="21"/>
                <w:szCs w:val="21"/>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7" w:type="pct"/>
            <w:vAlign w:val="center"/>
          </w:tcPr>
          <w:p>
            <w:pPr>
              <w:pStyle w:val="3232"/>
              <w:rPr>
                <w:rFonts w:cs="Times New Roman" w:eastAsiaTheme="minorEastAsia"/>
                <w:sz w:val="21"/>
                <w:szCs w:val="21"/>
              </w:rPr>
            </w:pPr>
            <w:r>
              <w:rPr>
                <w:rFonts w:hint="eastAsia" w:cs="Times New Roman" w:eastAsiaTheme="minorEastAsia"/>
                <w:sz w:val="21"/>
                <w:szCs w:val="21"/>
              </w:rPr>
              <w:t>2</w:t>
            </w:r>
          </w:p>
        </w:tc>
        <w:tc>
          <w:tcPr>
            <w:tcW w:w="761" w:type="pct"/>
            <w:vAlign w:val="center"/>
          </w:tcPr>
          <w:p>
            <w:pPr>
              <w:pStyle w:val="3232"/>
              <w:rPr>
                <w:rFonts w:cs="Times New Roman"/>
                <w:sz w:val="21"/>
                <w:szCs w:val="21"/>
              </w:rPr>
            </w:pPr>
            <w:r>
              <w:rPr>
                <w:rFonts w:eastAsia="宋体" w:cs="Times New Roman"/>
                <w:sz w:val="21"/>
                <w:szCs w:val="21"/>
              </w:rPr>
              <w:t>安置房小区</w:t>
            </w:r>
          </w:p>
        </w:tc>
        <w:tc>
          <w:tcPr>
            <w:tcW w:w="385" w:type="pct"/>
            <w:tcBorders>
              <w:right w:val="single" w:color="auto" w:sz="4" w:space="0"/>
            </w:tcBorders>
            <w:vAlign w:val="center"/>
          </w:tcPr>
          <w:p>
            <w:pPr>
              <w:spacing w:line="240" w:lineRule="auto"/>
              <w:ind w:firstLine="0" w:firstLineChars="0"/>
              <w:jc w:val="center"/>
              <w:rPr>
                <w:sz w:val="21"/>
                <w:szCs w:val="21"/>
              </w:rPr>
            </w:pPr>
            <w:r>
              <w:rPr>
                <w:sz w:val="21"/>
                <w:szCs w:val="21"/>
              </w:rPr>
              <w:t>677</w:t>
            </w:r>
          </w:p>
        </w:tc>
        <w:tc>
          <w:tcPr>
            <w:tcW w:w="398" w:type="pct"/>
            <w:tcBorders>
              <w:left w:val="single" w:color="auto" w:sz="4" w:space="0"/>
            </w:tcBorders>
            <w:vAlign w:val="center"/>
          </w:tcPr>
          <w:p>
            <w:pPr>
              <w:spacing w:line="240" w:lineRule="auto"/>
              <w:ind w:firstLine="0" w:firstLineChars="0"/>
              <w:jc w:val="center"/>
              <w:rPr>
                <w:sz w:val="21"/>
                <w:szCs w:val="21"/>
              </w:rPr>
            </w:pPr>
            <w:r>
              <w:rPr>
                <w:sz w:val="21"/>
                <w:szCs w:val="21"/>
              </w:rPr>
              <w:t>-185</w:t>
            </w:r>
          </w:p>
        </w:tc>
        <w:tc>
          <w:tcPr>
            <w:tcW w:w="500" w:type="pct"/>
            <w:vAlign w:val="center"/>
          </w:tcPr>
          <w:p>
            <w:pPr>
              <w:pStyle w:val="3232"/>
              <w:rPr>
                <w:rFonts w:cs="Times New Roman"/>
                <w:sz w:val="21"/>
                <w:szCs w:val="21"/>
              </w:rPr>
            </w:pPr>
            <w:r>
              <w:rPr>
                <w:rFonts w:cs="Times New Roman"/>
                <w:sz w:val="21"/>
                <w:szCs w:val="21"/>
              </w:rPr>
              <w:t>E</w:t>
            </w:r>
          </w:p>
        </w:tc>
        <w:tc>
          <w:tcPr>
            <w:tcW w:w="442" w:type="pct"/>
            <w:vAlign w:val="center"/>
          </w:tcPr>
          <w:p>
            <w:pPr>
              <w:pStyle w:val="3232"/>
              <w:rPr>
                <w:rFonts w:cs="Times New Roman"/>
                <w:sz w:val="21"/>
                <w:szCs w:val="21"/>
              </w:rPr>
            </w:pPr>
            <w:r>
              <w:rPr>
                <w:rFonts w:cs="Times New Roman"/>
                <w:sz w:val="21"/>
                <w:szCs w:val="21"/>
              </w:rPr>
              <w:t>220</w:t>
            </w:r>
          </w:p>
        </w:tc>
        <w:tc>
          <w:tcPr>
            <w:tcW w:w="623" w:type="pct"/>
            <w:vAlign w:val="center"/>
          </w:tcPr>
          <w:p>
            <w:pPr>
              <w:pStyle w:val="3232"/>
              <w:rPr>
                <w:rFonts w:cs="Times New Roman"/>
                <w:sz w:val="21"/>
                <w:szCs w:val="21"/>
              </w:rPr>
            </w:pPr>
            <w:r>
              <w:rPr>
                <w:rFonts w:cs="Times New Roman"/>
                <w:sz w:val="21"/>
                <w:szCs w:val="21"/>
              </w:rPr>
              <w:t>540</w:t>
            </w:r>
          </w:p>
        </w:tc>
        <w:tc>
          <w:tcPr>
            <w:tcW w:w="939" w:type="pct"/>
            <w:vAlign w:val="center"/>
          </w:tcPr>
          <w:p>
            <w:pPr>
              <w:pStyle w:val="3232"/>
              <w:rPr>
                <w:rFonts w:cs="Times New Roman"/>
                <w:sz w:val="21"/>
                <w:szCs w:val="21"/>
              </w:rPr>
            </w:pPr>
            <w:r>
              <w:rPr>
                <w:rFonts w:eastAsia="宋体" w:cs="Times New Roman"/>
                <w:sz w:val="21"/>
                <w:szCs w:val="21"/>
              </w:rPr>
              <w:t>约</w:t>
            </w:r>
            <w:r>
              <w:rPr>
                <w:rFonts w:cs="Times New Roman"/>
                <w:sz w:val="21"/>
                <w:szCs w:val="21"/>
              </w:rPr>
              <w:t>1500</w:t>
            </w:r>
            <w:r>
              <w:rPr>
                <w:rFonts w:eastAsia="宋体" w:cs="Times New Roman"/>
                <w:sz w:val="21"/>
                <w:szCs w:val="21"/>
              </w:rPr>
              <w:t>人</w:t>
            </w:r>
          </w:p>
        </w:tc>
        <w:tc>
          <w:tcPr>
            <w:tcW w:w="715" w:type="pct"/>
            <w:vAlign w:val="center"/>
          </w:tcPr>
          <w:p>
            <w:pPr>
              <w:pStyle w:val="3232"/>
              <w:rPr>
                <w:rFonts w:cs="Times New Roman"/>
                <w:sz w:val="21"/>
                <w:szCs w:val="21"/>
              </w:rPr>
            </w:pPr>
            <w:r>
              <w:rPr>
                <w:rFonts w:eastAsia="宋体" w:cs="Times New Roman"/>
                <w:sz w:val="21"/>
                <w:szCs w:val="21"/>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7" w:type="pct"/>
            <w:vAlign w:val="center"/>
          </w:tcPr>
          <w:p>
            <w:pPr>
              <w:pStyle w:val="3232"/>
              <w:rPr>
                <w:rFonts w:cs="Times New Roman" w:eastAsiaTheme="minorEastAsia"/>
                <w:sz w:val="21"/>
                <w:szCs w:val="21"/>
              </w:rPr>
            </w:pPr>
            <w:r>
              <w:rPr>
                <w:rFonts w:hint="eastAsia" w:cs="Times New Roman" w:eastAsiaTheme="minorEastAsia"/>
                <w:sz w:val="21"/>
                <w:szCs w:val="21"/>
              </w:rPr>
              <w:t>3</w:t>
            </w:r>
          </w:p>
        </w:tc>
        <w:tc>
          <w:tcPr>
            <w:tcW w:w="761" w:type="pct"/>
            <w:vAlign w:val="center"/>
          </w:tcPr>
          <w:p>
            <w:pPr>
              <w:pStyle w:val="3232"/>
              <w:rPr>
                <w:rFonts w:cs="Times New Roman"/>
                <w:sz w:val="21"/>
                <w:szCs w:val="21"/>
              </w:rPr>
            </w:pPr>
            <w:r>
              <w:rPr>
                <w:rFonts w:eastAsia="宋体" w:cs="Times New Roman"/>
                <w:sz w:val="21"/>
                <w:szCs w:val="21"/>
              </w:rPr>
              <w:t>国家粮库</w:t>
            </w:r>
          </w:p>
        </w:tc>
        <w:tc>
          <w:tcPr>
            <w:tcW w:w="385" w:type="pct"/>
            <w:tcBorders>
              <w:right w:val="single" w:color="auto" w:sz="4" w:space="0"/>
            </w:tcBorders>
            <w:vAlign w:val="center"/>
          </w:tcPr>
          <w:p>
            <w:pPr>
              <w:spacing w:line="240" w:lineRule="auto"/>
              <w:ind w:firstLine="0" w:firstLineChars="0"/>
              <w:jc w:val="center"/>
              <w:rPr>
                <w:sz w:val="21"/>
                <w:szCs w:val="21"/>
              </w:rPr>
            </w:pPr>
            <w:r>
              <w:rPr>
                <w:sz w:val="21"/>
                <w:szCs w:val="21"/>
              </w:rPr>
              <w:t>-217</w:t>
            </w:r>
          </w:p>
        </w:tc>
        <w:tc>
          <w:tcPr>
            <w:tcW w:w="398" w:type="pct"/>
            <w:tcBorders>
              <w:left w:val="single" w:color="auto" w:sz="4" w:space="0"/>
            </w:tcBorders>
            <w:vAlign w:val="center"/>
          </w:tcPr>
          <w:p>
            <w:pPr>
              <w:spacing w:line="240" w:lineRule="auto"/>
              <w:ind w:firstLine="0" w:firstLineChars="0"/>
              <w:jc w:val="center"/>
              <w:rPr>
                <w:sz w:val="21"/>
                <w:szCs w:val="21"/>
              </w:rPr>
            </w:pPr>
            <w:r>
              <w:rPr>
                <w:sz w:val="21"/>
                <w:szCs w:val="21"/>
              </w:rPr>
              <w:t>-872</w:t>
            </w:r>
          </w:p>
        </w:tc>
        <w:tc>
          <w:tcPr>
            <w:tcW w:w="500" w:type="pct"/>
            <w:vAlign w:val="center"/>
          </w:tcPr>
          <w:p>
            <w:pPr>
              <w:pStyle w:val="3232"/>
              <w:rPr>
                <w:rFonts w:cs="Times New Roman"/>
                <w:sz w:val="21"/>
                <w:szCs w:val="21"/>
              </w:rPr>
            </w:pPr>
            <w:r>
              <w:rPr>
                <w:rFonts w:cs="Times New Roman"/>
                <w:sz w:val="21"/>
                <w:szCs w:val="21"/>
              </w:rPr>
              <w:t>S</w:t>
            </w:r>
          </w:p>
        </w:tc>
        <w:tc>
          <w:tcPr>
            <w:tcW w:w="442" w:type="pct"/>
            <w:vAlign w:val="center"/>
          </w:tcPr>
          <w:p>
            <w:pPr>
              <w:pStyle w:val="3232"/>
              <w:rPr>
                <w:rFonts w:cs="Times New Roman"/>
                <w:sz w:val="21"/>
                <w:szCs w:val="21"/>
              </w:rPr>
            </w:pPr>
            <w:r>
              <w:rPr>
                <w:rFonts w:cs="Times New Roman"/>
                <w:sz w:val="21"/>
                <w:szCs w:val="21"/>
              </w:rPr>
              <w:t>400</w:t>
            </w:r>
          </w:p>
        </w:tc>
        <w:tc>
          <w:tcPr>
            <w:tcW w:w="623" w:type="pct"/>
            <w:vAlign w:val="center"/>
          </w:tcPr>
          <w:p>
            <w:pPr>
              <w:pStyle w:val="3232"/>
              <w:rPr>
                <w:rFonts w:cs="Times New Roman"/>
                <w:sz w:val="21"/>
                <w:szCs w:val="21"/>
              </w:rPr>
            </w:pPr>
            <w:r>
              <w:rPr>
                <w:rFonts w:cs="Times New Roman"/>
                <w:sz w:val="21"/>
                <w:szCs w:val="21"/>
              </w:rPr>
              <w:t>405</w:t>
            </w:r>
          </w:p>
        </w:tc>
        <w:tc>
          <w:tcPr>
            <w:tcW w:w="939" w:type="pct"/>
            <w:vAlign w:val="center"/>
          </w:tcPr>
          <w:p>
            <w:pPr>
              <w:pStyle w:val="3232"/>
              <w:jc w:val="left"/>
              <w:rPr>
                <w:rFonts w:cs="Times New Roman"/>
                <w:sz w:val="21"/>
                <w:szCs w:val="21"/>
              </w:rPr>
            </w:pPr>
            <w:r>
              <w:rPr>
                <w:rFonts w:eastAsia="宋体" w:cs="Times New Roman"/>
                <w:sz w:val="21"/>
                <w:szCs w:val="21"/>
              </w:rPr>
              <w:t>国家战备粮库，储粮</w:t>
            </w:r>
            <w:r>
              <w:rPr>
                <w:rFonts w:cs="Times New Roman"/>
                <w:sz w:val="21"/>
                <w:szCs w:val="21"/>
              </w:rPr>
              <w:t>10</w:t>
            </w:r>
            <w:r>
              <w:rPr>
                <w:rFonts w:eastAsia="宋体" w:cs="Times New Roman"/>
                <w:sz w:val="21"/>
                <w:szCs w:val="21"/>
              </w:rPr>
              <w:t>万</w:t>
            </w:r>
            <w:r>
              <w:rPr>
                <w:rFonts w:cs="Times New Roman"/>
                <w:sz w:val="21"/>
                <w:szCs w:val="21"/>
              </w:rPr>
              <w:t>t</w:t>
            </w:r>
          </w:p>
        </w:tc>
        <w:tc>
          <w:tcPr>
            <w:tcW w:w="715" w:type="pct"/>
            <w:vAlign w:val="center"/>
          </w:tcPr>
          <w:p>
            <w:pPr>
              <w:pStyle w:val="3232"/>
              <w:rPr>
                <w:rFonts w:cs="Times New Roman"/>
                <w:sz w:val="21"/>
                <w:szCs w:val="21"/>
              </w:rPr>
            </w:pPr>
            <w:r>
              <w:rPr>
                <w:rFonts w:eastAsia="宋体" w:cs="Times New Roman"/>
                <w:sz w:val="21"/>
                <w:szCs w:val="21"/>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7" w:type="pct"/>
            <w:vAlign w:val="center"/>
          </w:tcPr>
          <w:p>
            <w:pPr>
              <w:pStyle w:val="3232"/>
              <w:rPr>
                <w:rFonts w:cs="Times New Roman" w:eastAsiaTheme="minorEastAsia"/>
                <w:sz w:val="21"/>
                <w:szCs w:val="21"/>
              </w:rPr>
            </w:pPr>
            <w:r>
              <w:rPr>
                <w:rFonts w:hint="eastAsia" w:cs="Times New Roman" w:eastAsiaTheme="minorEastAsia"/>
                <w:sz w:val="21"/>
                <w:szCs w:val="21"/>
              </w:rPr>
              <w:t>4</w:t>
            </w:r>
          </w:p>
        </w:tc>
        <w:tc>
          <w:tcPr>
            <w:tcW w:w="761" w:type="pct"/>
            <w:vAlign w:val="center"/>
          </w:tcPr>
          <w:p>
            <w:pPr>
              <w:pStyle w:val="3232"/>
              <w:rPr>
                <w:rFonts w:cs="Times New Roman"/>
                <w:sz w:val="21"/>
                <w:szCs w:val="21"/>
              </w:rPr>
            </w:pPr>
            <w:r>
              <w:rPr>
                <w:rFonts w:eastAsia="宋体" w:cs="Times New Roman"/>
                <w:sz w:val="21"/>
                <w:szCs w:val="21"/>
              </w:rPr>
              <w:t>红林村</w:t>
            </w:r>
          </w:p>
        </w:tc>
        <w:tc>
          <w:tcPr>
            <w:tcW w:w="385" w:type="pct"/>
            <w:tcBorders>
              <w:right w:val="single" w:color="auto" w:sz="4" w:space="0"/>
            </w:tcBorders>
            <w:vAlign w:val="center"/>
          </w:tcPr>
          <w:p>
            <w:pPr>
              <w:spacing w:line="240" w:lineRule="auto"/>
              <w:ind w:firstLine="0" w:firstLineChars="0"/>
              <w:jc w:val="center"/>
              <w:rPr>
                <w:sz w:val="21"/>
                <w:szCs w:val="21"/>
              </w:rPr>
            </w:pPr>
            <w:r>
              <w:rPr>
                <w:sz w:val="21"/>
                <w:szCs w:val="21"/>
              </w:rPr>
              <w:t>844</w:t>
            </w:r>
          </w:p>
        </w:tc>
        <w:tc>
          <w:tcPr>
            <w:tcW w:w="398" w:type="pct"/>
            <w:tcBorders>
              <w:left w:val="single" w:color="auto" w:sz="4" w:space="0"/>
            </w:tcBorders>
            <w:vAlign w:val="center"/>
          </w:tcPr>
          <w:p>
            <w:pPr>
              <w:spacing w:line="240" w:lineRule="auto"/>
              <w:ind w:firstLine="0" w:firstLineChars="0"/>
              <w:jc w:val="center"/>
              <w:rPr>
                <w:sz w:val="21"/>
                <w:szCs w:val="21"/>
              </w:rPr>
            </w:pPr>
            <w:r>
              <w:rPr>
                <w:sz w:val="21"/>
                <w:szCs w:val="21"/>
              </w:rPr>
              <w:t>1080</w:t>
            </w:r>
          </w:p>
        </w:tc>
        <w:tc>
          <w:tcPr>
            <w:tcW w:w="500" w:type="pct"/>
            <w:vAlign w:val="center"/>
          </w:tcPr>
          <w:p>
            <w:pPr>
              <w:pStyle w:val="3232"/>
              <w:rPr>
                <w:rFonts w:cs="Times New Roman"/>
                <w:sz w:val="21"/>
                <w:szCs w:val="21"/>
              </w:rPr>
            </w:pPr>
            <w:r>
              <w:rPr>
                <w:rFonts w:cs="Times New Roman"/>
                <w:sz w:val="21"/>
                <w:szCs w:val="21"/>
              </w:rPr>
              <w:t>NE</w:t>
            </w:r>
          </w:p>
        </w:tc>
        <w:tc>
          <w:tcPr>
            <w:tcW w:w="442" w:type="pct"/>
            <w:vAlign w:val="center"/>
          </w:tcPr>
          <w:p>
            <w:pPr>
              <w:pStyle w:val="3232"/>
              <w:rPr>
                <w:rFonts w:cs="Times New Roman"/>
                <w:sz w:val="21"/>
                <w:szCs w:val="21"/>
              </w:rPr>
            </w:pPr>
            <w:r>
              <w:rPr>
                <w:rFonts w:cs="Times New Roman"/>
                <w:sz w:val="21"/>
                <w:szCs w:val="21"/>
              </w:rPr>
              <w:t>910</w:t>
            </w:r>
          </w:p>
        </w:tc>
        <w:tc>
          <w:tcPr>
            <w:tcW w:w="623" w:type="pct"/>
            <w:vAlign w:val="center"/>
          </w:tcPr>
          <w:p>
            <w:pPr>
              <w:pStyle w:val="3232"/>
              <w:rPr>
                <w:rFonts w:cs="Times New Roman"/>
                <w:sz w:val="21"/>
                <w:szCs w:val="21"/>
              </w:rPr>
            </w:pPr>
            <w:r>
              <w:rPr>
                <w:rFonts w:cs="Times New Roman"/>
                <w:sz w:val="21"/>
                <w:szCs w:val="21"/>
              </w:rPr>
              <w:t>920</w:t>
            </w:r>
          </w:p>
        </w:tc>
        <w:tc>
          <w:tcPr>
            <w:tcW w:w="939" w:type="pct"/>
            <w:vAlign w:val="center"/>
          </w:tcPr>
          <w:p>
            <w:pPr>
              <w:pStyle w:val="3232"/>
              <w:rPr>
                <w:rFonts w:cs="Times New Roman"/>
                <w:sz w:val="21"/>
                <w:szCs w:val="21"/>
              </w:rPr>
            </w:pPr>
            <w:r>
              <w:rPr>
                <w:rFonts w:eastAsia="宋体" w:cs="Times New Roman"/>
                <w:sz w:val="21"/>
                <w:szCs w:val="21"/>
              </w:rPr>
              <w:t>约</w:t>
            </w:r>
            <w:r>
              <w:rPr>
                <w:rFonts w:cs="Times New Roman"/>
                <w:sz w:val="21"/>
                <w:szCs w:val="21"/>
              </w:rPr>
              <w:t>1000</w:t>
            </w:r>
            <w:r>
              <w:rPr>
                <w:rFonts w:eastAsia="宋体" w:cs="Times New Roman"/>
                <w:sz w:val="21"/>
                <w:szCs w:val="21"/>
              </w:rPr>
              <w:t>人</w:t>
            </w:r>
          </w:p>
        </w:tc>
        <w:tc>
          <w:tcPr>
            <w:tcW w:w="715" w:type="pct"/>
            <w:vAlign w:val="center"/>
          </w:tcPr>
          <w:p>
            <w:pPr>
              <w:pStyle w:val="3232"/>
              <w:rPr>
                <w:rFonts w:cs="Times New Roman"/>
                <w:sz w:val="21"/>
                <w:szCs w:val="21"/>
              </w:rPr>
            </w:pPr>
            <w:r>
              <w:rPr>
                <w:rFonts w:eastAsia="宋体" w:cs="Times New Roman"/>
                <w:sz w:val="21"/>
                <w:szCs w:val="21"/>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7" w:type="pct"/>
            <w:vAlign w:val="center"/>
          </w:tcPr>
          <w:p>
            <w:pPr>
              <w:pStyle w:val="3232"/>
              <w:rPr>
                <w:rFonts w:cs="Times New Roman" w:eastAsiaTheme="minorEastAsia"/>
                <w:sz w:val="21"/>
                <w:szCs w:val="21"/>
              </w:rPr>
            </w:pPr>
            <w:r>
              <w:rPr>
                <w:rFonts w:hint="eastAsia" w:cs="Times New Roman" w:eastAsiaTheme="minorEastAsia"/>
                <w:sz w:val="21"/>
                <w:szCs w:val="21"/>
              </w:rPr>
              <w:t>5</w:t>
            </w:r>
          </w:p>
        </w:tc>
        <w:tc>
          <w:tcPr>
            <w:tcW w:w="761" w:type="pct"/>
            <w:vAlign w:val="center"/>
          </w:tcPr>
          <w:p>
            <w:pPr>
              <w:pStyle w:val="3232"/>
              <w:rPr>
                <w:rFonts w:cs="Times New Roman"/>
                <w:sz w:val="21"/>
                <w:szCs w:val="21"/>
              </w:rPr>
            </w:pPr>
            <w:r>
              <w:rPr>
                <w:rFonts w:eastAsia="宋体" w:cs="Times New Roman"/>
                <w:sz w:val="21"/>
                <w:szCs w:val="21"/>
              </w:rPr>
              <w:t>石盘村</w:t>
            </w:r>
          </w:p>
        </w:tc>
        <w:tc>
          <w:tcPr>
            <w:tcW w:w="385" w:type="pct"/>
            <w:tcBorders>
              <w:right w:val="single" w:color="auto" w:sz="4" w:space="0"/>
            </w:tcBorders>
            <w:vAlign w:val="center"/>
          </w:tcPr>
          <w:p>
            <w:pPr>
              <w:spacing w:line="240" w:lineRule="auto"/>
              <w:ind w:firstLine="0" w:firstLineChars="0"/>
              <w:jc w:val="center"/>
              <w:rPr>
                <w:sz w:val="21"/>
                <w:szCs w:val="21"/>
              </w:rPr>
            </w:pPr>
            <w:r>
              <w:rPr>
                <w:sz w:val="21"/>
                <w:szCs w:val="21"/>
              </w:rPr>
              <w:t>-1010</w:t>
            </w:r>
          </w:p>
        </w:tc>
        <w:tc>
          <w:tcPr>
            <w:tcW w:w="398" w:type="pct"/>
            <w:tcBorders>
              <w:left w:val="single" w:color="auto" w:sz="4" w:space="0"/>
            </w:tcBorders>
            <w:vAlign w:val="center"/>
          </w:tcPr>
          <w:p>
            <w:pPr>
              <w:spacing w:line="240" w:lineRule="auto"/>
              <w:ind w:firstLine="0" w:firstLineChars="0"/>
              <w:jc w:val="center"/>
              <w:rPr>
                <w:sz w:val="21"/>
                <w:szCs w:val="21"/>
              </w:rPr>
            </w:pPr>
            <w:r>
              <w:rPr>
                <w:sz w:val="21"/>
                <w:szCs w:val="21"/>
              </w:rPr>
              <w:t>-517</w:t>
            </w:r>
          </w:p>
        </w:tc>
        <w:tc>
          <w:tcPr>
            <w:tcW w:w="500" w:type="pct"/>
            <w:vAlign w:val="center"/>
          </w:tcPr>
          <w:p>
            <w:pPr>
              <w:pStyle w:val="3232"/>
              <w:rPr>
                <w:rFonts w:cs="Times New Roman"/>
                <w:sz w:val="21"/>
                <w:szCs w:val="21"/>
              </w:rPr>
            </w:pPr>
            <w:r>
              <w:rPr>
                <w:rFonts w:cs="Times New Roman"/>
                <w:sz w:val="21"/>
                <w:szCs w:val="21"/>
              </w:rPr>
              <w:t>W</w:t>
            </w:r>
          </w:p>
        </w:tc>
        <w:tc>
          <w:tcPr>
            <w:tcW w:w="442" w:type="pct"/>
            <w:vAlign w:val="center"/>
          </w:tcPr>
          <w:p>
            <w:pPr>
              <w:pStyle w:val="3232"/>
              <w:rPr>
                <w:rFonts w:cs="Times New Roman"/>
                <w:sz w:val="21"/>
                <w:szCs w:val="21"/>
              </w:rPr>
            </w:pPr>
            <w:r>
              <w:rPr>
                <w:rFonts w:cs="Times New Roman"/>
                <w:sz w:val="21"/>
                <w:szCs w:val="21"/>
              </w:rPr>
              <w:t>390</w:t>
            </w:r>
          </w:p>
        </w:tc>
        <w:tc>
          <w:tcPr>
            <w:tcW w:w="623" w:type="pct"/>
            <w:vAlign w:val="center"/>
          </w:tcPr>
          <w:p>
            <w:pPr>
              <w:pStyle w:val="3232"/>
              <w:rPr>
                <w:rFonts w:cs="Times New Roman"/>
                <w:sz w:val="21"/>
                <w:szCs w:val="21"/>
              </w:rPr>
            </w:pPr>
            <w:r>
              <w:rPr>
                <w:rFonts w:cs="Times New Roman"/>
                <w:sz w:val="21"/>
                <w:szCs w:val="21"/>
              </w:rPr>
              <w:t>390</w:t>
            </w:r>
          </w:p>
        </w:tc>
        <w:tc>
          <w:tcPr>
            <w:tcW w:w="939" w:type="pct"/>
            <w:vAlign w:val="center"/>
          </w:tcPr>
          <w:p>
            <w:pPr>
              <w:pStyle w:val="3232"/>
              <w:rPr>
                <w:rFonts w:cs="Times New Roman"/>
                <w:sz w:val="21"/>
                <w:szCs w:val="21"/>
              </w:rPr>
            </w:pPr>
            <w:r>
              <w:rPr>
                <w:rFonts w:eastAsia="宋体" w:cs="Times New Roman"/>
                <w:sz w:val="21"/>
                <w:szCs w:val="21"/>
              </w:rPr>
              <w:t>约</w:t>
            </w:r>
            <w:r>
              <w:rPr>
                <w:rFonts w:cs="Times New Roman"/>
                <w:sz w:val="21"/>
                <w:szCs w:val="21"/>
              </w:rPr>
              <w:t>800</w:t>
            </w:r>
            <w:r>
              <w:rPr>
                <w:rFonts w:eastAsia="宋体" w:cs="Times New Roman"/>
                <w:sz w:val="21"/>
                <w:szCs w:val="21"/>
              </w:rPr>
              <w:t>人</w:t>
            </w:r>
          </w:p>
        </w:tc>
        <w:tc>
          <w:tcPr>
            <w:tcW w:w="715" w:type="pct"/>
            <w:vAlign w:val="center"/>
          </w:tcPr>
          <w:p>
            <w:pPr>
              <w:pStyle w:val="3232"/>
              <w:rPr>
                <w:rFonts w:cs="Times New Roman"/>
                <w:sz w:val="21"/>
                <w:szCs w:val="21"/>
              </w:rPr>
            </w:pPr>
            <w:r>
              <w:rPr>
                <w:rFonts w:eastAsia="宋体" w:cs="Times New Roman"/>
                <w:sz w:val="21"/>
                <w:szCs w:val="21"/>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7" w:type="pct"/>
            <w:vAlign w:val="center"/>
          </w:tcPr>
          <w:p>
            <w:pPr>
              <w:pStyle w:val="3232"/>
              <w:rPr>
                <w:rFonts w:cs="Times New Roman" w:eastAsiaTheme="minorEastAsia"/>
                <w:sz w:val="21"/>
                <w:szCs w:val="21"/>
              </w:rPr>
            </w:pPr>
            <w:r>
              <w:rPr>
                <w:rFonts w:hint="eastAsia" w:cs="Times New Roman" w:eastAsiaTheme="minorEastAsia"/>
                <w:sz w:val="21"/>
                <w:szCs w:val="21"/>
              </w:rPr>
              <w:t>6</w:t>
            </w:r>
          </w:p>
        </w:tc>
        <w:tc>
          <w:tcPr>
            <w:tcW w:w="761" w:type="pct"/>
            <w:tcBorders>
              <w:bottom w:val="single" w:color="auto" w:sz="4" w:space="0"/>
            </w:tcBorders>
            <w:vAlign w:val="center"/>
          </w:tcPr>
          <w:p>
            <w:pPr>
              <w:pStyle w:val="3232"/>
              <w:rPr>
                <w:rFonts w:cs="Times New Roman"/>
                <w:sz w:val="21"/>
                <w:szCs w:val="21"/>
              </w:rPr>
            </w:pPr>
            <w:r>
              <w:rPr>
                <w:rFonts w:eastAsia="宋体" w:cs="Times New Roman"/>
                <w:sz w:val="21"/>
                <w:szCs w:val="21"/>
              </w:rPr>
              <w:t>邮亭新镇区</w:t>
            </w:r>
          </w:p>
        </w:tc>
        <w:tc>
          <w:tcPr>
            <w:tcW w:w="385" w:type="pct"/>
            <w:tcBorders>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-317</w:t>
            </w:r>
          </w:p>
        </w:tc>
        <w:tc>
          <w:tcPr>
            <w:tcW w:w="398" w:type="pct"/>
            <w:tcBorders>
              <w:left w:val="single" w:color="auto" w:sz="4" w:space="0"/>
              <w:bottom w:val="single" w:color="auto" w:sz="4" w:space="0"/>
            </w:tcBorders>
            <w:vAlign w:val="center"/>
          </w:tcPr>
          <w:p>
            <w:pPr>
              <w:spacing w:line="240" w:lineRule="auto"/>
              <w:ind w:firstLine="0" w:firstLineChars="0"/>
              <w:jc w:val="center"/>
              <w:rPr>
                <w:sz w:val="21"/>
                <w:szCs w:val="21"/>
              </w:rPr>
            </w:pPr>
            <w:r>
              <w:rPr>
                <w:sz w:val="21"/>
                <w:szCs w:val="21"/>
              </w:rPr>
              <w:t>-1377</w:t>
            </w:r>
          </w:p>
        </w:tc>
        <w:tc>
          <w:tcPr>
            <w:tcW w:w="500" w:type="pct"/>
            <w:vAlign w:val="center"/>
          </w:tcPr>
          <w:p>
            <w:pPr>
              <w:pStyle w:val="3232"/>
              <w:rPr>
                <w:rFonts w:cs="Times New Roman"/>
                <w:sz w:val="21"/>
                <w:szCs w:val="21"/>
              </w:rPr>
            </w:pPr>
            <w:r>
              <w:rPr>
                <w:rFonts w:cs="Times New Roman"/>
                <w:sz w:val="21"/>
                <w:szCs w:val="21"/>
              </w:rPr>
              <w:t>S</w:t>
            </w:r>
          </w:p>
        </w:tc>
        <w:tc>
          <w:tcPr>
            <w:tcW w:w="442" w:type="pct"/>
            <w:vAlign w:val="center"/>
          </w:tcPr>
          <w:p>
            <w:pPr>
              <w:pStyle w:val="3232"/>
              <w:rPr>
                <w:rFonts w:cs="Times New Roman"/>
                <w:sz w:val="21"/>
                <w:szCs w:val="21"/>
              </w:rPr>
            </w:pPr>
            <w:r>
              <w:rPr>
                <w:rFonts w:cs="Times New Roman"/>
                <w:sz w:val="21"/>
                <w:szCs w:val="21"/>
              </w:rPr>
              <w:t>780</w:t>
            </w:r>
          </w:p>
        </w:tc>
        <w:tc>
          <w:tcPr>
            <w:tcW w:w="623" w:type="pct"/>
            <w:vAlign w:val="center"/>
          </w:tcPr>
          <w:p>
            <w:pPr>
              <w:pStyle w:val="3232"/>
              <w:rPr>
                <w:rFonts w:cs="Times New Roman" w:eastAsiaTheme="minorEastAsia"/>
                <w:sz w:val="21"/>
                <w:szCs w:val="21"/>
              </w:rPr>
            </w:pPr>
            <w:r>
              <w:rPr>
                <w:rFonts w:cs="Times New Roman"/>
                <w:sz w:val="21"/>
                <w:szCs w:val="21"/>
              </w:rPr>
              <w:t>780</w:t>
            </w:r>
          </w:p>
        </w:tc>
        <w:tc>
          <w:tcPr>
            <w:tcW w:w="939" w:type="pct"/>
            <w:vMerge w:val="restart"/>
            <w:vAlign w:val="center"/>
          </w:tcPr>
          <w:p>
            <w:pPr>
              <w:pStyle w:val="3232"/>
              <w:rPr>
                <w:rFonts w:cs="Times New Roman"/>
                <w:sz w:val="21"/>
                <w:szCs w:val="21"/>
              </w:rPr>
            </w:pPr>
            <w:r>
              <w:rPr>
                <w:rFonts w:eastAsia="宋体" w:cs="Times New Roman"/>
                <w:sz w:val="21"/>
                <w:szCs w:val="21"/>
              </w:rPr>
              <w:t>邮亭镇人口密集区，约</w:t>
            </w:r>
            <w:r>
              <w:rPr>
                <w:rFonts w:cs="Times New Roman"/>
                <w:sz w:val="21"/>
                <w:szCs w:val="21"/>
              </w:rPr>
              <w:t>20000</w:t>
            </w:r>
            <w:r>
              <w:rPr>
                <w:rFonts w:eastAsia="宋体" w:cs="Times New Roman"/>
                <w:sz w:val="21"/>
                <w:szCs w:val="21"/>
              </w:rPr>
              <w:t>人</w:t>
            </w:r>
          </w:p>
        </w:tc>
        <w:tc>
          <w:tcPr>
            <w:tcW w:w="715" w:type="pct"/>
            <w:vAlign w:val="center"/>
          </w:tcPr>
          <w:p>
            <w:pPr>
              <w:pStyle w:val="3232"/>
              <w:rPr>
                <w:rFonts w:cs="Times New Roman"/>
                <w:sz w:val="21"/>
                <w:szCs w:val="21"/>
              </w:rPr>
            </w:pPr>
            <w:r>
              <w:rPr>
                <w:rFonts w:eastAsia="宋体" w:cs="Times New Roman"/>
                <w:sz w:val="21"/>
                <w:szCs w:val="21"/>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7" w:type="pct"/>
            <w:vAlign w:val="center"/>
          </w:tcPr>
          <w:p>
            <w:pPr>
              <w:pStyle w:val="3232"/>
              <w:rPr>
                <w:rFonts w:cs="Times New Roman" w:eastAsiaTheme="minorEastAsia"/>
                <w:sz w:val="21"/>
                <w:szCs w:val="21"/>
              </w:rPr>
            </w:pPr>
            <w:r>
              <w:rPr>
                <w:rFonts w:hint="eastAsia" w:cs="Times New Roman" w:eastAsiaTheme="minorEastAsia"/>
                <w:sz w:val="21"/>
                <w:szCs w:val="21"/>
              </w:rPr>
              <w:t>7</w:t>
            </w:r>
          </w:p>
        </w:tc>
        <w:tc>
          <w:tcPr>
            <w:tcW w:w="761" w:type="pct"/>
            <w:tcBorders>
              <w:top w:val="single" w:color="auto" w:sz="4" w:space="0"/>
            </w:tcBorders>
            <w:vAlign w:val="center"/>
          </w:tcPr>
          <w:p>
            <w:pPr>
              <w:pStyle w:val="3232"/>
              <w:rPr>
                <w:rFonts w:cs="Times New Roman"/>
                <w:sz w:val="21"/>
                <w:szCs w:val="21"/>
              </w:rPr>
            </w:pPr>
            <w:r>
              <w:rPr>
                <w:rFonts w:eastAsia="宋体" w:cs="Times New Roman"/>
                <w:sz w:val="21"/>
                <w:szCs w:val="21"/>
              </w:rPr>
              <w:t>邮亭镇老街</w:t>
            </w:r>
          </w:p>
        </w:tc>
        <w:tc>
          <w:tcPr>
            <w:tcW w:w="385" w:type="pct"/>
            <w:tcBorders>
              <w:top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861</w:t>
            </w:r>
          </w:p>
        </w:tc>
        <w:tc>
          <w:tcPr>
            <w:tcW w:w="398" w:type="pct"/>
            <w:tcBorders>
              <w:top w:val="single" w:color="auto" w:sz="4" w:space="0"/>
              <w:left w:val="single" w:color="auto" w:sz="4" w:space="0"/>
            </w:tcBorders>
            <w:vAlign w:val="center"/>
          </w:tcPr>
          <w:p>
            <w:pPr>
              <w:spacing w:line="240" w:lineRule="auto"/>
              <w:ind w:firstLine="0" w:firstLineChars="0"/>
              <w:jc w:val="center"/>
              <w:rPr>
                <w:sz w:val="21"/>
                <w:szCs w:val="21"/>
              </w:rPr>
            </w:pPr>
            <w:r>
              <w:rPr>
                <w:sz w:val="21"/>
                <w:szCs w:val="21"/>
              </w:rPr>
              <w:t>-937</w:t>
            </w:r>
          </w:p>
        </w:tc>
        <w:tc>
          <w:tcPr>
            <w:tcW w:w="500" w:type="pct"/>
            <w:vAlign w:val="center"/>
          </w:tcPr>
          <w:p>
            <w:pPr>
              <w:pStyle w:val="3232"/>
              <w:rPr>
                <w:rFonts w:cs="Times New Roman"/>
                <w:sz w:val="21"/>
                <w:szCs w:val="21"/>
              </w:rPr>
            </w:pPr>
            <w:r>
              <w:rPr>
                <w:rFonts w:cs="Times New Roman"/>
                <w:sz w:val="21"/>
                <w:szCs w:val="21"/>
              </w:rPr>
              <w:t>S</w:t>
            </w:r>
          </w:p>
        </w:tc>
        <w:tc>
          <w:tcPr>
            <w:tcW w:w="442" w:type="pct"/>
            <w:vAlign w:val="center"/>
          </w:tcPr>
          <w:p>
            <w:pPr>
              <w:pStyle w:val="3232"/>
              <w:rPr>
                <w:rFonts w:cs="Times New Roman" w:eastAsiaTheme="minorEastAsia"/>
                <w:sz w:val="21"/>
                <w:szCs w:val="21"/>
              </w:rPr>
            </w:pPr>
            <w:r>
              <w:rPr>
                <w:rFonts w:cs="Times New Roman"/>
                <w:sz w:val="21"/>
                <w:szCs w:val="21"/>
              </w:rPr>
              <w:t>910</w:t>
            </w:r>
          </w:p>
        </w:tc>
        <w:tc>
          <w:tcPr>
            <w:tcW w:w="623" w:type="pct"/>
            <w:vAlign w:val="center"/>
          </w:tcPr>
          <w:p>
            <w:pPr>
              <w:pStyle w:val="3232"/>
              <w:rPr>
                <w:rFonts w:cs="Times New Roman" w:eastAsiaTheme="minorEastAsia"/>
                <w:sz w:val="21"/>
                <w:szCs w:val="21"/>
              </w:rPr>
            </w:pPr>
            <w:r>
              <w:rPr>
                <w:rFonts w:cs="Times New Roman"/>
                <w:sz w:val="21"/>
                <w:szCs w:val="21"/>
              </w:rPr>
              <w:t>910</w:t>
            </w:r>
          </w:p>
        </w:tc>
        <w:tc>
          <w:tcPr>
            <w:tcW w:w="939" w:type="pct"/>
            <w:vMerge w:val="continue"/>
            <w:vAlign w:val="center"/>
          </w:tcPr>
          <w:p>
            <w:pPr>
              <w:pStyle w:val="3232"/>
              <w:rPr>
                <w:rFonts w:cs="Times New Roman"/>
                <w:sz w:val="21"/>
                <w:szCs w:val="21"/>
              </w:rPr>
            </w:pPr>
          </w:p>
        </w:tc>
        <w:tc>
          <w:tcPr>
            <w:tcW w:w="715" w:type="pct"/>
            <w:vAlign w:val="center"/>
          </w:tcPr>
          <w:p>
            <w:pPr>
              <w:pStyle w:val="3232"/>
              <w:rPr>
                <w:rFonts w:cs="Times New Roman"/>
                <w:sz w:val="21"/>
                <w:szCs w:val="21"/>
              </w:rPr>
            </w:pPr>
            <w:r>
              <w:rPr>
                <w:rFonts w:eastAsia="宋体" w:cs="Times New Roman"/>
                <w:sz w:val="21"/>
                <w:szCs w:val="21"/>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7" w:type="pct"/>
            <w:vAlign w:val="center"/>
          </w:tcPr>
          <w:p>
            <w:pPr>
              <w:pStyle w:val="3232"/>
              <w:rPr>
                <w:rFonts w:cs="Times New Roman" w:eastAsiaTheme="minorEastAsia"/>
                <w:sz w:val="21"/>
                <w:szCs w:val="21"/>
              </w:rPr>
            </w:pPr>
            <w:r>
              <w:rPr>
                <w:rFonts w:hint="eastAsia" w:cs="Times New Roman" w:eastAsiaTheme="minorEastAsia"/>
                <w:sz w:val="21"/>
                <w:szCs w:val="21"/>
              </w:rPr>
              <w:t>8</w:t>
            </w:r>
          </w:p>
        </w:tc>
        <w:tc>
          <w:tcPr>
            <w:tcW w:w="761" w:type="pct"/>
            <w:vAlign w:val="center"/>
          </w:tcPr>
          <w:p>
            <w:pPr>
              <w:pStyle w:val="3232"/>
              <w:rPr>
                <w:rFonts w:cs="Times New Roman"/>
                <w:sz w:val="21"/>
                <w:szCs w:val="21"/>
              </w:rPr>
            </w:pPr>
            <w:r>
              <w:rPr>
                <w:rFonts w:eastAsia="宋体" w:cs="Times New Roman"/>
                <w:sz w:val="21"/>
                <w:szCs w:val="21"/>
              </w:rPr>
              <w:t>邮亭中心校</w:t>
            </w:r>
          </w:p>
        </w:tc>
        <w:tc>
          <w:tcPr>
            <w:tcW w:w="385" w:type="pct"/>
            <w:tcBorders>
              <w:right w:val="single" w:color="auto" w:sz="4" w:space="0"/>
            </w:tcBorders>
            <w:vAlign w:val="center"/>
          </w:tcPr>
          <w:p>
            <w:pPr>
              <w:spacing w:line="240" w:lineRule="auto"/>
              <w:ind w:firstLine="0" w:firstLineChars="0"/>
              <w:jc w:val="center"/>
              <w:rPr>
                <w:sz w:val="21"/>
                <w:szCs w:val="21"/>
              </w:rPr>
            </w:pPr>
            <w:r>
              <w:rPr>
                <w:sz w:val="21"/>
                <w:szCs w:val="21"/>
              </w:rPr>
              <w:t>-692</w:t>
            </w:r>
          </w:p>
        </w:tc>
        <w:tc>
          <w:tcPr>
            <w:tcW w:w="398" w:type="pct"/>
            <w:tcBorders>
              <w:left w:val="single" w:color="auto" w:sz="4" w:space="0"/>
            </w:tcBorders>
            <w:vAlign w:val="center"/>
          </w:tcPr>
          <w:p>
            <w:pPr>
              <w:spacing w:line="240" w:lineRule="auto"/>
              <w:ind w:firstLine="0" w:firstLineChars="0"/>
              <w:jc w:val="center"/>
              <w:rPr>
                <w:sz w:val="21"/>
                <w:szCs w:val="21"/>
              </w:rPr>
            </w:pPr>
            <w:r>
              <w:rPr>
                <w:sz w:val="21"/>
                <w:szCs w:val="21"/>
              </w:rPr>
              <w:t>-1624</w:t>
            </w:r>
          </w:p>
        </w:tc>
        <w:tc>
          <w:tcPr>
            <w:tcW w:w="500" w:type="pct"/>
            <w:vAlign w:val="center"/>
          </w:tcPr>
          <w:p>
            <w:pPr>
              <w:pStyle w:val="3232"/>
              <w:rPr>
                <w:rFonts w:cs="Times New Roman"/>
                <w:sz w:val="21"/>
                <w:szCs w:val="21"/>
              </w:rPr>
            </w:pPr>
            <w:r>
              <w:rPr>
                <w:rFonts w:cs="Times New Roman"/>
                <w:sz w:val="21"/>
                <w:szCs w:val="21"/>
              </w:rPr>
              <w:t>S</w:t>
            </w:r>
          </w:p>
        </w:tc>
        <w:tc>
          <w:tcPr>
            <w:tcW w:w="442" w:type="pct"/>
            <w:vAlign w:val="center"/>
          </w:tcPr>
          <w:p>
            <w:pPr>
              <w:pStyle w:val="3232"/>
              <w:rPr>
                <w:rFonts w:cs="Times New Roman"/>
                <w:sz w:val="21"/>
                <w:szCs w:val="21"/>
              </w:rPr>
            </w:pPr>
            <w:r>
              <w:rPr>
                <w:rFonts w:cs="Times New Roman"/>
                <w:sz w:val="21"/>
                <w:szCs w:val="21"/>
              </w:rPr>
              <w:t>1450</w:t>
            </w:r>
          </w:p>
        </w:tc>
        <w:tc>
          <w:tcPr>
            <w:tcW w:w="623" w:type="pct"/>
            <w:vAlign w:val="center"/>
          </w:tcPr>
          <w:p>
            <w:pPr>
              <w:pStyle w:val="3232"/>
              <w:rPr>
                <w:rFonts w:cs="Times New Roman"/>
                <w:sz w:val="21"/>
                <w:szCs w:val="21"/>
              </w:rPr>
            </w:pPr>
            <w:r>
              <w:rPr>
                <w:rFonts w:cs="Times New Roman"/>
                <w:sz w:val="21"/>
                <w:szCs w:val="21"/>
              </w:rPr>
              <w:t>1450</w:t>
            </w:r>
          </w:p>
        </w:tc>
        <w:tc>
          <w:tcPr>
            <w:tcW w:w="939" w:type="pct"/>
            <w:vAlign w:val="center"/>
          </w:tcPr>
          <w:p>
            <w:pPr>
              <w:pStyle w:val="3232"/>
              <w:rPr>
                <w:rFonts w:cs="Times New Roman"/>
                <w:sz w:val="21"/>
                <w:szCs w:val="21"/>
              </w:rPr>
            </w:pPr>
            <w:r>
              <w:rPr>
                <w:rFonts w:eastAsia="宋体" w:cs="Times New Roman"/>
                <w:sz w:val="21"/>
                <w:szCs w:val="21"/>
              </w:rPr>
              <w:t>师生约</w:t>
            </w:r>
            <w:r>
              <w:rPr>
                <w:rFonts w:cs="Times New Roman"/>
                <w:sz w:val="21"/>
                <w:szCs w:val="21"/>
              </w:rPr>
              <w:t>1500</w:t>
            </w:r>
            <w:r>
              <w:rPr>
                <w:rFonts w:eastAsia="宋体" w:cs="Times New Roman"/>
                <w:sz w:val="21"/>
                <w:szCs w:val="21"/>
              </w:rPr>
              <w:t>人</w:t>
            </w:r>
          </w:p>
        </w:tc>
        <w:tc>
          <w:tcPr>
            <w:tcW w:w="715" w:type="pct"/>
            <w:vAlign w:val="center"/>
          </w:tcPr>
          <w:p>
            <w:pPr>
              <w:pStyle w:val="3232"/>
              <w:rPr>
                <w:rFonts w:cs="Times New Roman"/>
                <w:sz w:val="21"/>
                <w:szCs w:val="21"/>
              </w:rPr>
            </w:pPr>
            <w:r>
              <w:rPr>
                <w:rFonts w:eastAsia="宋体" w:cs="Times New Roman"/>
                <w:sz w:val="21"/>
                <w:szCs w:val="21"/>
              </w:rPr>
              <w:t>大气二类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blHeader/>
          <w:jc w:val="center"/>
        </w:trPr>
        <w:tc>
          <w:tcPr>
            <w:tcW w:w="237" w:type="pct"/>
            <w:vAlign w:val="center"/>
          </w:tcPr>
          <w:p>
            <w:pPr>
              <w:pStyle w:val="3232"/>
              <w:rPr>
                <w:rFonts w:cs="Times New Roman" w:eastAsiaTheme="minorEastAsia"/>
                <w:sz w:val="21"/>
                <w:szCs w:val="21"/>
              </w:rPr>
            </w:pPr>
            <w:r>
              <w:rPr>
                <w:rFonts w:hint="eastAsia" w:cs="Times New Roman" w:eastAsiaTheme="minorEastAsia"/>
                <w:sz w:val="21"/>
                <w:szCs w:val="21"/>
              </w:rPr>
              <w:t>9</w:t>
            </w:r>
          </w:p>
        </w:tc>
        <w:tc>
          <w:tcPr>
            <w:tcW w:w="761" w:type="pct"/>
            <w:vAlign w:val="center"/>
          </w:tcPr>
          <w:p>
            <w:pPr>
              <w:pStyle w:val="3232"/>
              <w:rPr>
                <w:rFonts w:cs="Times New Roman"/>
                <w:sz w:val="21"/>
                <w:szCs w:val="21"/>
              </w:rPr>
            </w:pPr>
            <w:r>
              <w:rPr>
                <w:rFonts w:eastAsia="宋体" w:cs="Times New Roman"/>
                <w:sz w:val="21"/>
                <w:szCs w:val="21"/>
              </w:rPr>
              <w:t>邮亭中心小学</w:t>
            </w:r>
          </w:p>
        </w:tc>
        <w:tc>
          <w:tcPr>
            <w:tcW w:w="385" w:type="pct"/>
            <w:tcBorders>
              <w:right w:val="single" w:color="auto" w:sz="4" w:space="0"/>
            </w:tcBorders>
            <w:vAlign w:val="center"/>
          </w:tcPr>
          <w:p>
            <w:pPr>
              <w:spacing w:line="240" w:lineRule="auto"/>
              <w:ind w:firstLine="0" w:firstLineChars="0"/>
              <w:jc w:val="center"/>
              <w:rPr>
                <w:sz w:val="21"/>
                <w:szCs w:val="21"/>
              </w:rPr>
            </w:pPr>
            <w:r>
              <w:rPr>
                <w:sz w:val="21"/>
                <w:szCs w:val="21"/>
              </w:rPr>
              <w:t>-273</w:t>
            </w:r>
          </w:p>
        </w:tc>
        <w:tc>
          <w:tcPr>
            <w:tcW w:w="398" w:type="pct"/>
            <w:tcBorders>
              <w:left w:val="single" w:color="auto" w:sz="4" w:space="0"/>
            </w:tcBorders>
            <w:vAlign w:val="center"/>
          </w:tcPr>
          <w:p>
            <w:pPr>
              <w:spacing w:line="240" w:lineRule="auto"/>
              <w:ind w:firstLine="0" w:firstLineChars="0"/>
              <w:jc w:val="center"/>
              <w:rPr>
                <w:sz w:val="21"/>
                <w:szCs w:val="21"/>
              </w:rPr>
            </w:pPr>
            <w:r>
              <w:rPr>
                <w:sz w:val="21"/>
                <w:szCs w:val="21"/>
              </w:rPr>
              <w:t>-1692</w:t>
            </w:r>
          </w:p>
        </w:tc>
        <w:tc>
          <w:tcPr>
            <w:tcW w:w="500" w:type="pct"/>
            <w:vAlign w:val="center"/>
          </w:tcPr>
          <w:p>
            <w:pPr>
              <w:pStyle w:val="3232"/>
              <w:rPr>
                <w:rFonts w:cs="Times New Roman"/>
                <w:sz w:val="21"/>
                <w:szCs w:val="21"/>
              </w:rPr>
            </w:pPr>
            <w:r>
              <w:rPr>
                <w:rFonts w:cs="Times New Roman"/>
                <w:sz w:val="21"/>
                <w:szCs w:val="21"/>
              </w:rPr>
              <w:t>S</w:t>
            </w:r>
          </w:p>
        </w:tc>
        <w:tc>
          <w:tcPr>
            <w:tcW w:w="442" w:type="pct"/>
            <w:vAlign w:val="center"/>
          </w:tcPr>
          <w:p>
            <w:pPr>
              <w:pStyle w:val="3232"/>
              <w:rPr>
                <w:rFonts w:cs="Times New Roman"/>
                <w:sz w:val="21"/>
                <w:szCs w:val="21"/>
              </w:rPr>
            </w:pPr>
            <w:r>
              <w:rPr>
                <w:rFonts w:cs="Times New Roman"/>
                <w:sz w:val="21"/>
                <w:szCs w:val="21"/>
              </w:rPr>
              <w:t>1350</w:t>
            </w:r>
          </w:p>
        </w:tc>
        <w:tc>
          <w:tcPr>
            <w:tcW w:w="623" w:type="pct"/>
            <w:vAlign w:val="center"/>
          </w:tcPr>
          <w:p>
            <w:pPr>
              <w:pStyle w:val="3232"/>
              <w:rPr>
                <w:rFonts w:cs="Times New Roman"/>
                <w:sz w:val="21"/>
                <w:szCs w:val="21"/>
              </w:rPr>
            </w:pPr>
            <w:r>
              <w:rPr>
                <w:rFonts w:cs="Times New Roman"/>
                <w:sz w:val="21"/>
                <w:szCs w:val="21"/>
              </w:rPr>
              <w:t>1350</w:t>
            </w:r>
          </w:p>
        </w:tc>
        <w:tc>
          <w:tcPr>
            <w:tcW w:w="939" w:type="pct"/>
            <w:vAlign w:val="center"/>
          </w:tcPr>
          <w:p>
            <w:pPr>
              <w:pStyle w:val="3232"/>
              <w:rPr>
                <w:rFonts w:cs="Times New Roman"/>
                <w:sz w:val="21"/>
                <w:szCs w:val="21"/>
              </w:rPr>
            </w:pPr>
            <w:r>
              <w:rPr>
                <w:rFonts w:eastAsia="宋体" w:cs="Times New Roman"/>
                <w:sz w:val="21"/>
                <w:szCs w:val="21"/>
              </w:rPr>
              <w:t>师生约</w:t>
            </w:r>
            <w:r>
              <w:rPr>
                <w:rFonts w:cs="Times New Roman"/>
                <w:sz w:val="21"/>
                <w:szCs w:val="21"/>
              </w:rPr>
              <w:t>1200</w:t>
            </w:r>
            <w:r>
              <w:rPr>
                <w:rFonts w:eastAsia="宋体" w:cs="Times New Roman"/>
                <w:sz w:val="21"/>
                <w:szCs w:val="21"/>
              </w:rPr>
              <w:t>人</w:t>
            </w:r>
          </w:p>
        </w:tc>
        <w:tc>
          <w:tcPr>
            <w:tcW w:w="715" w:type="pct"/>
            <w:vAlign w:val="center"/>
          </w:tcPr>
          <w:p>
            <w:pPr>
              <w:pStyle w:val="3232"/>
              <w:rPr>
                <w:rFonts w:cs="Times New Roman"/>
                <w:sz w:val="21"/>
                <w:szCs w:val="21"/>
              </w:rPr>
            </w:pPr>
            <w:r>
              <w:rPr>
                <w:rFonts w:eastAsia="宋体" w:cs="Times New Roman"/>
                <w:sz w:val="21"/>
                <w:szCs w:val="21"/>
              </w:rPr>
              <w:t>大气二类</w:t>
            </w:r>
          </w:p>
        </w:tc>
      </w:tr>
    </w:tbl>
    <w:p/>
    <w:p/>
    <w:p/>
    <w:p/>
    <w:p/>
    <w:p/>
    <w:p/>
    <w:p/>
    <w:p>
      <w:pPr>
        <w:spacing w:line="480" w:lineRule="auto"/>
        <w:ind w:firstLine="643"/>
        <w:jc w:val="center"/>
        <w:rPr>
          <w:b/>
          <w:sz w:val="32"/>
          <w:szCs w:val="32"/>
        </w:rPr>
      </w:pPr>
      <w:r>
        <w:rPr>
          <w:rFonts w:hint="eastAsia"/>
          <w:b/>
          <w:sz w:val="32"/>
          <w:szCs w:val="32"/>
        </w:rPr>
        <w:t>2  大气环境质量现状调查与评价</w:t>
      </w:r>
    </w:p>
    <w:p>
      <w:pPr>
        <w:ind w:firstLine="0" w:firstLineChars="0"/>
        <w:rPr>
          <w:b/>
          <w:sz w:val="28"/>
          <w:szCs w:val="28"/>
        </w:rPr>
      </w:pPr>
      <w:r>
        <w:rPr>
          <w:rFonts w:hint="eastAsia"/>
          <w:b/>
          <w:sz w:val="28"/>
          <w:szCs w:val="28"/>
        </w:rPr>
        <w:t>2.1项目所在区域空气质量达标情况</w:t>
      </w:r>
    </w:p>
    <w:p>
      <w:r>
        <w:rPr>
          <w:rFonts w:hint="eastAsia"/>
        </w:rPr>
        <w:t>本项目所在区域空气质量现状数据引用重庆市生态环境局公布的</w:t>
      </w:r>
      <w:r>
        <w:t>20</w:t>
      </w:r>
      <w:r>
        <w:rPr>
          <w:rFonts w:hint="eastAsia"/>
        </w:rPr>
        <w:t>22年重庆市生态环境状况公报中大足区环境空气质量现状数据，区域空气质量现状评价见专项表2.1-1。</w:t>
      </w:r>
    </w:p>
    <w:p>
      <w:pPr>
        <w:pStyle w:val="178"/>
        <w:ind w:firstLine="420"/>
        <w:rPr>
          <w:rFonts w:eastAsia="宋体"/>
          <w:color w:val="auto"/>
          <w:szCs w:val="21"/>
        </w:rPr>
      </w:pPr>
      <w:r>
        <w:rPr>
          <w:rFonts w:hint="eastAsia" w:eastAsia="宋体"/>
          <w:color w:val="auto"/>
          <w:szCs w:val="21"/>
        </w:rPr>
        <w:t>专项</w:t>
      </w:r>
      <w:r>
        <w:rPr>
          <w:rFonts w:eastAsia="宋体"/>
          <w:color w:val="auto"/>
          <w:szCs w:val="21"/>
        </w:rPr>
        <w:t>表</w:t>
      </w:r>
      <w:r>
        <w:rPr>
          <w:rFonts w:hint="eastAsia" w:eastAsia="宋体"/>
          <w:color w:val="auto"/>
          <w:szCs w:val="21"/>
        </w:rPr>
        <w:t xml:space="preserve">2.1-1  </w:t>
      </w:r>
      <w:r>
        <w:rPr>
          <w:rFonts w:eastAsia="宋体"/>
          <w:color w:val="auto"/>
          <w:szCs w:val="21"/>
        </w:rPr>
        <w:t>区域空气质量现状评价表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30"/>
        <w:gridCol w:w="2592"/>
        <w:gridCol w:w="1418"/>
        <w:gridCol w:w="1282"/>
        <w:gridCol w:w="1162"/>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exact"/>
          <w:jc w:val="center"/>
        </w:trPr>
        <w:tc>
          <w:tcPr>
            <w:tcW w:w="751" w:type="pct"/>
            <w:vAlign w:val="center"/>
          </w:tcPr>
          <w:p>
            <w:pPr>
              <w:pStyle w:val="169"/>
            </w:pPr>
            <w:r>
              <w:rPr>
                <w:rFonts w:hint="eastAsia"/>
              </w:rPr>
              <w:t>监测项目</w:t>
            </w:r>
          </w:p>
        </w:tc>
        <w:tc>
          <w:tcPr>
            <w:tcW w:w="1464" w:type="pct"/>
            <w:vAlign w:val="center"/>
          </w:tcPr>
          <w:p>
            <w:pPr>
              <w:pStyle w:val="169"/>
            </w:pPr>
            <w:r>
              <w:rPr>
                <w:rFonts w:hint="eastAsia"/>
              </w:rPr>
              <w:t>年评价指标</w:t>
            </w:r>
          </w:p>
        </w:tc>
        <w:tc>
          <w:tcPr>
            <w:tcW w:w="801" w:type="pct"/>
            <w:vAlign w:val="center"/>
          </w:tcPr>
          <w:p>
            <w:pPr>
              <w:pStyle w:val="169"/>
            </w:pPr>
            <w:r>
              <w:rPr>
                <w:rFonts w:hint="eastAsia"/>
              </w:rPr>
              <w:t>现状浓度</w:t>
            </w:r>
          </w:p>
          <w:p>
            <w:pPr>
              <w:pStyle w:val="169"/>
            </w:pPr>
            <w:r>
              <w:rPr>
                <w:rFonts w:hint="eastAsia"/>
              </w:rPr>
              <w:t>（</w:t>
            </w:r>
            <w:r>
              <w:t>μg/m</w:t>
            </w:r>
            <w:r>
              <w:rPr>
                <w:vertAlign w:val="superscript"/>
              </w:rPr>
              <w:t>3</w:t>
            </w:r>
            <w:r>
              <w:rPr>
                <w:rFonts w:hint="eastAsia"/>
              </w:rPr>
              <w:t>）</w:t>
            </w:r>
          </w:p>
        </w:tc>
        <w:tc>
          <w:tcPr>
            <w:tcW w:w="724" w:type="pct"/>
            <w:vAlign w:val="center"/>
          </w:tcPr>
          <w:p>
            <w:pPr>
              <w:pStyle w:val="169"/>
            </w:pPr>
            <w:r>
              <w:rPr>
                <w:rFonts w:hint="eastAsia"/>
              </w:rPr>
              <w:t>标准值</w:t>
            </w:r>
          </w:p>
          <w:p>
            <w:pPr>
              <w:pStyle w:val="169"/>
            </w:pPr>
            <w:r>
              <w:rPr>
                <w:rFonts w:hint="eastAsia"/>
              </w:rPr>
              <w:t>（</w:t>
            </w:r>
            <w:r>
              <w:t>μg/m</w:t>
            </w:r>
            <w:r>
              <w:rPr>
                <w:vertAlign w:val="superscript"/>
              </w:rPr>
              <w:t>3</w:t>
            </w:r>
            <w:r>
              <w:rPr>
                <w:rFonts w:hint="eastAsia"/>
              </w:rPr>
              <w:t>）</w:t>
            </w:r>
          </w:p>
          <w:p>
            <w:pPr>
              <w:pStyle w:val="169"/>
            </w:pPr>
          </w:p>
        </w:tc>
        <w:tc>
          <w:tcPr>
            <w:tcW w:w="656" w:type="pct"/>
            <w:vAlign w:val="center"/>
          </w:tcPr>
          <w:p>
            <w:pPr>
              <w:pStyle w:val="169"/>
            </w:pPr>
            <w:r>
              <w:rPr>
                <w:rFonts w:hint="eastAsia"/>
              </w:rPr>
              <w:t>最大浓度</w:t>
            </w:r>
          </w:p>
          <w:p>
            <w:pPr>
              <w:pStyle w:val="169"/>
            </w:pPr>
            <w:r>
              <w:rPr>
                <w:rFonts w:hint="eastAsia"/>
              </w:rPr>
              <w:t>占标率</w:t>
            </w:r>
            <w:r>
              <w:t>%</w:t>
            </w:r>
          </w:p>
        </w:tc>
        <w:tc>
          <w:tcPr>
            <w:tcW w:w="604" w:type="pct"/>
            <w:vAlign w:val="center"/>
          </w:tcPr>
          <w:p>
            <w:pPr>
              <w:pStyle w:val="169"/>
            </w:pPr>
            <w:r>
              <w:rPr>
                <w:rFonts w:hint="eastAsia"/>
              </w:rPr>
              <w:t>达标</w:t>
            </w:r>
          </w:p>
          <w:p>
            <w:pPr>
              <w:pStyle w:val="169"/>
            </w:pPr>
            <w:r>
              <w:rPr>
                <w:rFonts w:hint="eastAsi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51" w:type="pct"/>
            <w:vAlign w:val="center"/>
          </w:tcPr>
          <w:p>
            <w:pPr>
              <w:pStyle w:val="169"/>
            </w:pPr>
            <w:r>
              <w:t>SO</w:t>
            </w:r>
            <w:r>
              <w:rPr>
                <w:vertAlign w:val="subscript"/>
              </w:rPr>
              <w:t>2</w:t>
            </w:r>
          </w:p>
        </w:tc>
        <w:tc>
          <w:tcPr>
            <w:tcW w:w="1464" w:type="pct"/>
            <w:vMerge w:val="restart"/>
            <w:vAlign w:val="center"/>
          </w:tcPr>
          <w:p>
            <w:pPr>
              <w:pStyle w:val="169"/>
            </w:pPr>
            <w:r>
              <w:rPr>
                <w:rFonts w:hint="eastAsia"/>
              </w:rPr>
              <w:t>年平均质量浓度</w:t>
            </w:r>
          </w:p>
        </w:tc>
        <w:tc>
          <w:tcPr>
            <w:tcW w:w="801" w:type="pct"/>
            <w:vAlign w:val="center"/>
          </w:tcPr>
          <w:p>
            <w:pPr>
              <w:pStyle w:val="169"/>
            </w:pPr>
            <w:r>
              <w:rPr>
                <w:rFonts w:hint="eastAsia"/>
              </w:rPr>
              <w:t>12</w:t>
            </w:r>
          </w:p>
        </w:tc>
        <w:tc>
          <w:tcPr>
            <w:tcW w:w="724" w:type="pct"/>
            <w:vAlign w:val="center"/>
          </w:tcPr>
          <w:p>
            <w:pPr>
              <w:pStyle w:val="169"/>
            </w:pPr>
            <w:r>
              <w:t>60</w:t>
            </w:r>
          </w:p>
        </w:tc>
        <w:tc>
          <w:tcPr>
            <w:tcW w:w="656" w:type="pct"/>
            <w:vAlign w:val="center"/>
          </w:tcPr>
          <w:p>
            <w:pPr>
              <w:pStyle w:val="169"/>
            </w:pPr>
            <w:r>
              <w:rPr>
                <w:rFonts w:hint="eastAsia"/>
              </w:rPr>
              <w:t>20.00</w:t>
            </w:r>
          </w:p>
        </w:tc>
        <w:tc>
          <w:tcPr>
            <w:tcW w:w="604" w:type="pct"/>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51" w:type="pct"/>
            <w:vAlign w:val="center"/>
          </w:tcPr>
          <w:p>
            <w:pPr>
              <w:pStyle w:val="169"/>
            </w:pPr>
            <w:r>
              <w:t>NO</w:t>
            </w:r>
            <w:r>
              <w:rPr>
                <w:vertAlign w:val="subscript"/>
              </w:rPr>
              <w:t>2</w:t>
            </w:r>
          </w:p>
        </w:tc>
        <w:tc>
          <w:tcPr>
            <w:tcW w:w="1464" w:type="pct"/>
            <w:vMerge w:val="continue"/>
            <w:vAlign w:val="center"/>
          </w:tcPr>
          <w:p>
            <w:pPr>
              <w:pStyle w:val="169"/>
            </w:pPr>
          </w:p>
        </w:tc>
        <w:tc>
          <w:tcPr>
            <w:tcW w:w="801" w:type="pct"/>
            <w:vAlign w:val="center"/>
          </w:tcPr>
          <w:p>
            <w:pPr>
              <w:pStyle w:val="169"/>
            </w:pPr>
            <w:r>
              <w:rPr>
                <w:rFonts w:hint="eastAsia"/>
              </w:rPr>
              <w:t>15</w:t>
            </w:r>
          </w:p>
        </w:tc>
        <w:tc>
          <w:tcPr>
            <w:tcW w:w="724" w:type="pct"/>
            <w:vAlign w:val="center"/>
          </w:tcPr>
          <w:p>
            <w:pPr>
              <w:pStyle w:val="169"/>
            </w:pPr>
            <w:r>
              <w:t>40</w:t>
            </w:r>
          </w:p>
        </w:tc>
        <w:tc>
          <w:tcPr>
            <w:tcW w:w="656" w:type="pct"/>
            <w:vAlign w:val="center"/>
          </w:tcPr>
          <w:p>
            <w:pPr>
              <w:pStyle w:val="169"/>
            </w:pPr>
            <w:r>
              <w:rPr>
                <w:rFonts w:hint="eastAsia"/>
              </w:rPr>
              <w:t>37.50</w:t>
            </w:r>
          </w:p>
        </w:tc>
        <w:tc>
          <w:tcPr>
            <w:tcW w:w="604" w:type="pct"/>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751" w:type="pct"/>
            <w:vAlign w:val="center"/>
          </w:tcPr>
          <w:p>
            <w:pPr>
              <w:pStyle w:val="169"/>
            </w:pPr>
            <w:r>
              <w:t>PM</w:t>
            </w:r>
            <w:r>
              <w:rPr>
                <w:vertAlign w:val="subscript"/>
              </w:rPr>
              <w:t>10</w:t>
            </w:r>
          </w:p>
        </w:tc>
        <w:tc>
          <w:tcPr>
            <w:tcW w:w="1464" w:type="pct"/>
            <w:vMerge w:val="continue"/>
            <w:vAlign w:val="center"/>
          </w:tcPr>
          <w:p>
            <w:pPr>
              <w:pStyle w:val="169"/>
            </w:pPr>
          </w:p>
        </w:tc>
        <w:tc>
          <w:tcPr>
            <w:tcW w:w="801" w:type="pct"/>
            <w:vAlign w:val="center"/>
          </w:tcPr>
          <w:p>
            <w:pPr>
              <w:pStyle w:val="169"/>
            </w:pPr>
            <w:r>
              <w:rPr>
                <w:rFonts w:hint="eastAsia"/>
              </w:rPr>
              <w:t>47</w:t>
            </w:r>
          </w:p>
        </w:tc>
        <w:tc>
          <w:tcPr>
            <w:tcW w:w="724" w:type="pct"/>
            <w:vAlign w:val="center"/>
          </w:tcPr>
          <w:p>
            <w:pPr>
              <w:pStyle w:val="169"/>
            </w:pPr>
            <w:r>
              <w:t>70</w:t>
            </w:r>
          </w:p>
        </w:tc>
        <w:tc>
          <w:tcPr>
            <w:tcW w:w="656" w:type="pct"/>
            <w:vAlign w:val="center"/>
          </w:tcPr>
          <w:p>
            <w:pPr>
              <w:pStyle w:val="169"/>
            </w:pPr>
            <w:r>
              <w:rPr>
                <w:rFonts w:hint="eastAsia"/>
              </w:rPr>
              <w:t>67.14</w:t>
            </w:r>
          </w:p>
        </w:tc>
        <w:tc>
          <w:tcPr>
            <w:tcW w:w="604" w:type="pct"/>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exact"/>
          <w:jc w:val="center"/>
        </w:trPr>
        <w:tc>
          <w:tcPr>
            <w:tcW w:w="751" w:type="pct"/>
            <w:vAlign w:val="center"/>
          </w:tcPr>
          <w:p>
            <w:pPr>
              <w:pStyle w:val="169"/>
            </w:pPr>
            <w:r>
              <w:t>PM</w:t>
            </w:r>
            <w:r>
              <w:rPr>
                <w:vertAlign w:val="subscript"/>
              </w:rPr>
              <w:t>2.5</w:t>
            </w:r>
          </w:p>
        </w:tc>
        <w:tc>
          <w:tcPr>
            <w:tcW w:w="1464" w:type="pct"/>
            <w:vMerge w:val="continue"/>
            <w:vAlign w:val="center"/>
          </w:tcPr>
          <w:p>
            <w:pPr>
              <w:pStyle w:val="169"/>
            </w:pPr>
          </w:p>
        </w:tc>
        <w:tc>
          <w:tcPr>
            <w:tcW w:w="801" w:type="pct"/>
            <w:vAlign w:val="center"/>
          </w:tcPr>
          <w:p>
            <w:pPr>
              <w:pStyle w:val="169"/>
            </w:pPr>
            <w:r>
              <w:rPr>
                <w:rFonts w:hint="eastAsia"/>
              </w:rPr>
              <w:t>34</w:t>
            </w:r>
          </w:p>
        </w:tc>
        <w:tc>
          <w:tcPr>
            <w:tcW w:w="724" w:type="pct"/>
            <w:vAlign w:val="center"/>
          </w:tcPr>
          <w:p>
            <w:pPr>
              <w:pStyle w:val="169"/>
            </w:pPr>
            <w:r>
              <w:t>35</w:t>
            </w:r>
          </w:p>
        </w:tc>
        <w:tc>
          <w:tcPr>
            <w:tcW w:w="656" w:type="pct"/>
            <w:vAlign w:val="center"/>
          </w:tcPr>
          <w:p>
            <w:pPr>
              <w:pStyle w:val="169"/>
            </w:pPr>
            <w:r>
              <w:rPr>
                <w:rFonts w:hint="eastAsia"/>
              </w:rPr>
              <w:t>97.14</w:t>
            </w:r>
          </w:p>
        </w:tc>
        <w:tc>
          <w:tcPr>
            <w:tcW w:w="604" w:type="pct"/>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exact"/>
          <w:jc w:val="center"/>
        </w:trPr>
        <w:tc>
          <w:tcPr>
            <w:tcW w:w="751" w:type="pct"/>
            <w:vAlign w:val="center"/>
          </w:tcPr>
          <w:p>
            <w:pPr>
              <w:pStyle w:val="169"/>
            </w:pPr>
            <w:r>
              <w:t>CO</w:t>
            </w:r>
            <w:r>
              <w:rPr>
                <w:rFonts w:hint="eastAsia"/>
              </w:rPr>
              <w:t>（</w:t>
            </w:r>
            <w:r>
              <w:t>mg/m</w:t>
            </w:r>
            <w:r>
              <w:rPr>
                <w:vertAlign w:val="superscript"/>
              </w:rPr>
              <w:t>3</w:t>
            </w:r>
            <w:r>
              <w:rPr>
                <w:rFonts w:hint="eastAsia"/>
              </w:rPr>
              <w:t>）</w:t>
            </w:r>
          </w:p>
        </w:tc>
        <w:tc>
          <w:tcPr>
            <w:tcW w:w="1464" w:type="pct"/>
            <w:vAlign w:val="center"/>
          </w:tcPr>
          <w:p>
            <w:pPr>
              <w:pStyle w:val="169"/>
            </w:pPr>
            <w:r>
              <w:rPr>
                <w:rFonts w:hint="eastAsia"/>
              </w:rPr>
              <w:t>日均浓度的第</w:t>
            </w:r>
            <w:r>
              <w:t>95</w:t>
            </w:r>
            <w:r>
              <w:rPr>
                <w:rFonts w:hint="eastAsia"/>
              </w:rPr>
              <w:t>百分位数</w:t>
            </w:r>
          </w:p>
        </w:tc>
        <w:tc>
          <w:tcPr>
            <w:tcW w:w="801" w:type="pct"/>
            <w:vAlign w:val="center"/>
          </w:tcPr>
          <w:p>
            <w:pPr>
              <w:pStyle w:val="169"/>
            </w:pPr>
            <w:r>
              <w:rPr>
                <w:rFonts w:hint="eastAsia"/>
              </w:rPr>
              <w:t>0.8</w:t>
            </w:r>
          </w:p>
        </w:tc>
        <w:tc>
          <w:tcPr>
            <w:tcW w:w="724" w:type="pct"/>
            <w:vAlign w:val="center"/>
          </w:tcPr>
          <w:p>
            <w:pPr>
              <w:pStyle w:val="169"/>
            </w:pPr>
            <w:r>
              <w:rPr>
                <w:rFonts w:hint="eastAsia"/>
              </w:rPr>
              <w:t>4.0</w:t>
            </w:r>
          </w:p>
        </w:tc>
        <w:tc>
          <w:tcPr>
            <w:tcW w:w="656" w:type="pct"/>
            <w:vAlign w:val="center"/>
          </w:tcPr>
          <w:p>
            <w:pPr>
              <w:pStyle w:val="169"/>
            </w:pPr>
            <w:r>
              <w:rPr>
                <w:rFonts w:hint="eastAsia"/>
              </w:rPr>
              <w:t>20.00</w:t>
            </w:r>
          </w:p>
        </w:tc>
        <w:tc>
          <w:tcPr>
            <w:tcW w:w="604" w:type="pct"/>
            <w:vAlign w:val="center"/>
          </w:tcPr>
          <w:p>
            <w:pPr>
              <w:pStyle w:val="169"/>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exact"/>
          <w:jc w:val="center"/>
        </w:trPr>
        <w:tc>
          <w:tcPr>
            <w:tcW w:w="751" w:type="pct"/>
            <w:vAlign w:val="center"/>
          </w:tcPr>
          <w:p>
            <w:pPr>
              <w:pStyle w:val="169"/>
            </w:pPr>
            <w:r>
              <w:t>O</w:t>
            </w:r>
            <w:r>
              <w:rPr>
                <w:vertAlign w:val="subscript"/>
              </w:rPr>
              <w:t>3</w:t>
            </w:r>
          </w:p>
        </w:tc>
        <w:tc>
          <w:tcPr>
            <w:tcW w:w="1464" w:type="pct"/>
            <w:vAlign w:val="center"/>
          </w:tcPr>
          <w:p>
            <w:pPr>
              <w:pStyle w:val="169"/>
            </w:pPr>
            <w:r>
              <w:rPr>
                <w:rFonts w:hint="eastAsia"/>
              </w:rPr>
              <w:t>日最大</w:t>
            </w:r>
            <w:r>
              <w:t>8h</w:t>
            </w:r>
            <w:r>
              <w:rPr>
                <w:rFonts w:hint="eastAsia"/>
              </w:rPr>
              <w:t>平均浓度的第</w:t>
            </w:r>
            <w:r>
              <w:t>90</w:t>
            </w:r>
            <w:r>
              <w:rPr>
                <w:rFonts w:hint="eastAsia"/>
              </w:rPr>
              <w:t>百分位数</w:t>
            </w:r>
          </w:p>
        </w:tc>
        <w:tc>
          <w:tcPr>
            <w:tcW w:w="801" w:type="pct"/>
            <w:vAlign w:val="center"/>
          </w:tcPr>
          <w:p>
            <w:pPr>
              <w:pStyle w:val="169"/>
            </w:pPr>
            <w:r>
              <w:rPr>
                <w:rFonts w:hint="eastAsia"/>
              </w:rPr>
              <w:t>150</w:t>
            </w:r>
          </w:p>
        </w:tc>
        <w:tc>
          <w:tcPr>
            <w:tcW w:w="724" w:type="pct"/>
            <w:vAlign w:val="center"/>
          </w:tcPr>
          <w:p>
            <w:pPr>
              <w:pStyle w:val="169"/>
            </w:pPr>
            <w:r>
              <w:t>160</w:t>
            </w:r>
          </w:p>
        </w:tc>
        <w:tc>
          <w:tcPr>
            <w:tcW w:w="656" w:type="pct"/>
            <w:vAlign w:val="center"/>
          </w:tcPr>
          <w:p>
            <w:pPr>
              <w:pStyle w:val="169"/>
            </w:pPr>
            <w:r>
              <w:rPr>
                <w:rFonts w:hint="eastAsia"/>
              </w:rPr>
              <w:t>93.75</w:t>
            </w:r>
          </w:p>
        </w:tc>
        <w:tc>
          <w:tcPr>
            <w:tcW w:w="604" w:type="pct"/>
            <w:vAlign w:val="center"/>
          </w:tcPr>
          <w:p>
            <w:pPr>
              <w:pStyle w:val="169"/>
            </w:pPr>
            <w:r>
              <w:rPr>
                <w:rFonts w:hint="eastAsia"/>
              </w:rPr>
              <w:t>达标</w:t>
            </w:r>
          </w:p>
        </w:tc>
      </w:tr>
    </w:tbl>
    <w:p>
      <w:pPr>
        <w:pStyle w:val="169"/>
      </w:pPr>
    </w:p>
    <w:p>
      <w:r>
        <w:rPr>
          <w:rFonts w:hint="eastAsia"/>
        </w:rPr>
        <w:t>根据区域空气质量现状数据分析，区域SO</w:t>
      </w:r>
      <w:r>
        <w:rPr>
          <w:rFonts w:hint="eastAsia"/>
          <w:vertAlign w:val="subscript"/>
        </w:rPr>
        <w:t>2</w:t>
      </w:r>
      <w:r>
        <w:rPr>
          <w:rFonts w:hint="eastAsia"/>
        </w:rPr>
        <w:t>、NO</w:t>
      </w:r>
      <w:r>
        <w:rPr>
          <w:rFonts w:hint="eastAsia"/>
          <w:vertAlign w:val="subscript"/>
        </w:rPr>
        <w:t>2</w:t>
      </w:r>
      <w:r>
        <w:rPr>
          <w:rFonts w:hint="eastAsia"/>
        </w:rPr>
        <w:t>、PM</w:t>
      </w:r>
      <w:r>
        <w:rPr>
          <w:rFonts w:hint="eastAsia"/>
          <w:vertAlign w:val="subscript"/>
        </w:rPr>
        <w:t>10</w:t>
      </w:r>
      <w:r>
        <w:rPr>
          <w:rFonts w:hint="eastAsia"/>
        </w:rPr>
        <w:t>、PM</w:t>
      </w:r>
      <w:r>
        <w:rPr>
          <w:rFonts w:hint="eastAsia"/>
          <w:vertAlign w:val="subscript"/>
        </w:rPr>
        <w:t>2.5</w:t>
      </w:r>
      <w:r>
        <w:rPr>
          <w:rFonts w:hint="eastAsia"/>
        </w:rPr>
        <w:t>、O</w:t>
      </w:r>
      <w:r>
        <w:rPr>
          <w:rFonts w:hint="eastAsia"/>
          <w:vertAlign w:val="subscript"/>
        </w:rPr>
        <w:t>3</w:t>
      </w:r>
      <w:r>
        <w:rPr>
          <w:rFonts w:hint="eastAsia"/>
        </w:rPr>
        <w:t>、CO满足《环境空气质量标准》（GB3095-2012）二级标准，因此判定项目所在区域为空气质量达标区。</w:t>
      </w:r>
    </w:p>
    <w:p>
      <w:pPr>
        <w:ind w:firstLine="0" w:firstLineChars="0"/>
        <w:rPr>
          <w:b/>
          <w:sz w:val="28"/>
          <w:szCs w:val="28"/>
        </w:rPr>
      </w:pPr>
      <w:r>
        <w:rPr>
          <w:rFonts w:hint="eastAsia"/>
          <w:b/>
          <w:sz w:val="28"/>
          <w:szCs w:val="28"/>
        </w:rPr>
        <w:t>2.2项目所在区域污染物环境质量现状</w:t>
      </w:r>
    </w:p>
    <w:p>
      <w:pPr>
        <w:ind w:firstLineChars="0"/>
      </w:pPr>
      <w:r>
        <w:rPr>
          <w:rFonts w:hint="eastAsia"/>
        </w:rPr>
        <w:t>本项目特征因子铅、铬和镉引用《</w:t>
      </w:r>
      <w:r>
        <w:rPr>
          <w:rFonts w:hint="eastAsia"/>
          <w:bCs/>
        </w:rPr>
        <w:t>大足高新区邮亭组团</w:t>
      </w:r>
      <w:r>
        <w:rPr>
          <w:rFonts w:hint="eastAsia"/>
        </w:rPr>
        <w:t>规划环境影响报告书》中的现状监测数据，监测时间为2021年6月18日~6月24日、2021年6月25日~7月5日，监测点位于项目南侧约1.5km的邮亭镇，监测时间在3年有效期范围内，引用数据合理可行，具有一定的代表性。</w:t>
      </w:r>
    </w:p>
    <w:p>
      <w:r>
        <w:rPr>
          <w:rFonts w:hint="eastAsia"/>
        </w:rPr>
        <w:t xml:space="preserve"> （1）监测点位</w:t>
      </w:r>
    </w:p>
    <w:p>
      <w:pPr>
        <w:ind w:firstLineChars="0"/>
      </w:pPr>
      <w:r>
        <w:rPr>
          <w:rFonts w:hint="eastAsia"/>
        </w:rPr>
        <w:t>位于项目南侧约1.5km的邮亭镇。</w:t>
      </w:r>
    </w:p>
    <w:p>
      <w:pPr>
        <w:ind w:firstLineChars="0"/>
      </w:pPr>
      <w:r>
        <w:rPr>
          <w:rFonts w:hint="eastAsia"/>
        </w:rPr>
        <w:t>（2）监测因子</w:t>
      </w:r>
    </w:p>
    <w:p>
      <w:r>
        <w:rPr>
          <w:rFonts w:hint="eastAsia"/>
        </w:rPr>
        <w:t>铅、铬和镉</w:t>
      </w:r>
    </w:p>
    <w:p>
      <w:r>
        <w:rPr>
          <w:rFonts w:hint="eastAsia"/>
        </w:rPr>
        <w:t>（3）监测时间</w:t>
      </w:r>
    </w:p>
    <w:p>
      <w:r>
        <w:rPr>
          <w:rFonts w:hint="eastAsia"/>
        </w:rPr>
        <w:t>2021年6月18日~6月24日、2021年6月25日~7月5日</w:t>
      </w:r>
    </w:p>
    <w:p>
      <w:r>
        <w:rPr>
          <w:rFonts w:hint="eastAsia"/>
        </w:rPr>
        <w:t>（4）</w:t>
      </w:r>
      <w:r>
        <w:t>监测频率及周期</w:t>
      </w:r>
    </w:p>
    <w:p>
      <w:r>
        <w:t>连续监测7天，测1小时浓度，每天4次。</w:t>
      </w:r>
    </w:p>
    <w:p>
      <w:r>
        <w:rPr>
          <w:rFonts w:hint="eastAsia"/>
        </w:rPr>
        <w:t>（5）</w:t>
      </w:r>
      <w:r>
        <w:t>评价方法</w:t>
      </w:r>
    </w:p>
    <w:p>
      <w:r>
        <w:t>采用占标率和超标率，并评价达标情况。评价方法如下：</w:t>
      </w:r>
    </w:p>
    <w:p>
      <w:r>
        <w:t>P</w:t>
      </w:r>
      <w:r>
        <w:rPr>
          <w:vertAlign w:val="subscript"/>
        </w:rPr>
        <w:t>i</w:t>
      </w:r>
      <w:r>
        <w:t>=C</w:t>
      </w:r>
      <w:r>
        <w:rPr>
          <w:vertAlign w:val="subscript"/>
        </w:rPr>
        <w:t>ij</w:t>
      </w:r>
      <w:r>
        <w:t>/C</w:t>
      </w:r>
      <w:r>
        <w:rPr>
          <w:vertAlign w:val="subscript"/>
        </w:rPr>
        <w:t>0j</w:t>
      </w:r>
      <w:r>
        <w:t>×100%</w:t>
      </w:r>
    </w:p>
    <w:p>
      <w:r>
        <w:t>式中：</w:t>
      </w:r>
    </w:p>
    <w:p>
      <w:r>
        <w:t>P</w:t>
      </w:r>
      <w:r>
        <w:rPr>
          <w:vertAlign w:val="subscript"/>
        </w:rPr>
        <w:t>i</w:t>
      </w:r>
      <w:r>
        <w:t>——第i现状监测点污染因子j的最大实测值占标准限值的百分比——占标率，其值在0～100%之间为满足标准，大于100%则为超标；</w:t>
      </w:r>
    </w:p>
    <w:p>
      <w:r>
        <w:t>C</w:t>
      </w:r>
      <w:r>
        <w:rPr>
          <w:vertAlign w:val="subscript"/>
        </w:rPr>
        <w:t>ij</w:t>
      </w:r>
      <w:r>
        <w:t>——第i现状监测点第j污染因子的实测浓度（mg/m</w:t>
      </w:r>
      <w:r>
        <w:rPr>
          <w:vertAlign w:val="superscript"/>
        </w:rPr>
        <w:t>3</w:t>
      </w:r>
      <w:r>
        <w:t>）；</w:t>
      </w:r>
    </w:p>
    <w:p>
      <w:r>
        <w:t>C</w:t>
      </w:r>
      <w:r>
        <w:rPr>
          <w:vertAlign w:val="subscript"/>
        </w:rPr>
        <w:t>0j</w:t>
      </w:r>
      <w:r>
        <w:t>——污染因子j的环境质量标准（mg/m</w:t>
      </w:r>
      <w:r>
        <w:rPr>
          <w:vertAlign w:val="superscript"/>
        </w:rPr>
        <w:t>3</w:t>
      </w:r>
      <w:r>
        <w:t>）。</w:t>
      </w:r>
    </w:p>
    <w:p>
      <w:r>
        <w:rPr>
          <w:rFonts w:hint="eastAsia"/>
        </w:rPr>
        <w:t>（6）</w:t>
      </w:r>
      <w:r>
        <w:t>评价标准</w:t>
      </w:r>
    </w:p>
    <w:p>
      <w:r>
        <w:t>铅</w:t>
      </w:r>
      <w:r>
        <w:rPr>
          <w:rFonts w:hint="eastAsia"/>
        </w:rPr>
        <w:t>、铬和镉</w:t>
      </w:r>
      <w:r>
        <w:t>执行《环境空气质量标准》(GB3095-2012</w:t>
      </w:r>
      <w:r>
        <w:rPr>
          <w:rFonts w:hint="eastAsia"/>
          <w:lang w:eastAsia="zh-CN"/>
        </w:rPr>
        <w:t>）</w:t>
      </w:r>
      <w:r>
        <w:rPr>
          <w:rFonts w:hint="eastAsia"/>
        </w:rPr>
        <w:t>二类</w:t>
      </w:r>
      <w:r>
        <w:t>标准</w:t>
      </w:r>
      <w:r>
        <w:rPr>
          <w:rFonts w:hint="eastAsia"/>
        </w:rPr>
        <w:t>。</w:t>
      </w:r>
    </w:p>
    <w:p>
      <w:r>
        <w:rPr>
          <w:rFonts w:hint="eastAsia"/>
        </w:rPr>
        <w:t>（7）</w:t>
      </w:r>
      <w:r>
        <w:t>监测结果及评价分析</w:t>
      </w:r>
    </w:p>
    <w:p>
      <w:r>
        <w:rPr>
          <w:rFonts w:hint="eastAsia"/>
        </w:rPr>
        <w:t>大气</w:t>
      </w:r>
      <w:r>
        <w:t>监测结果统计详见</w:t>
      </w:r>
      <w:r>
        <w:rPr>
          <w:rFonts w:hint="eastAsia"/>
        </w:rPr>
        <w:t>专项</w:t>
      </w:r>
      <w:r>
        <w:t>表</w:t>
      </w:r>
      <w:r>
        <w:rPr>
          <w:rFonts w:hint="eastAsia"/>
        </w:rPr>
        <w:t>2.2-1</w:t>
      </w:r>
      <w:r>
        <w:t>。</w:t>
      </w:r>
    </w:p>
    <w:p>
      <w:pPr>
        <w:pStyle w:val="178"/>
        <w:ind w:firstLine="420"/>
        <w:rPr>
          <w:rFonts w:eastAsia="宋体"/>
          <w:color w:val="auto"/>
          <w:szCs w:val="21"/>
        </w:rPr>
      </w:pPr>
      <w:r>
        <w:rPr>
          <w:rFonts w:hint="eastAsia" w:eastAsia="宋体"/>
          <w:color w:val="auto"/>
          <w:szCs w:val="21"/>
        </w:rPr>
        <w:t>专项表2.2-1  环境空气质量监测数据及评价结果表</w:t>
      </w:r>
    </w:p>
    <w:tbl>
      <w:tblPr>
        <w:tblStyle w:val="88"/>
        <w:tblpPr w:leftFromText="180" w:rightFromText="180" w:vertAnchor="text" w:horzAnchor="margin" w:tblpXSpec="center" w:tblpY="26"/>
        <w:tblOverlap w:val="never"/>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256"/>
        <w:gridCol w:w="1481"/>
        <w:gridCol w:w="1807"/>
        <w:gridCol w:w="1138"/>
        <w:gridCol w:w="1738"/>
        <w:gridCol w:w="16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693" w:type="pct"/>
            <w:vAlign w:val="center"/>
          </w:tcPr>
          <w:p>
            <w:pPr>
              <w:adjustRightInd w:val="0"/>
              <w:spacing w:line="240" w:lineRule="atLeast"/>
              <w:ind w:firstLine="105" w:firstLineChars="50"/>
              <w:jc w:val="center"/>
              <w:rPr>
                <w:sz w:val="21"/>
                <w:szCs w:val="21"/>
              </w:rPr>
            </w:pPr>
            <w:r>
              <w:rPr>
                <w:rFonts w:hint="eastAsia"/>
                <w:sz w:val="21"/>
                <w:szCs w:val="21"/>
              </w:rPr>
              <w:t>监测</w:t>
            </w:r>
            <w:r>
              <w:rPr>
                <w:sz w:val="21"/>
                <w:szCs w:val="21"/>
              </w:rPr>
              <w:t>因子</w:t>
            </w:r>
          </w:p>
        </w:tc>
        <w:tc>
          <w:tcPr>
            <w:tcW w:w="817" w:type="pct"/>
            <w:vAlign w:val="center"/>
          </w:tcPr>
          <w:p>
            <w:pPr>
              <w:adjustRightInd w:val="0"/>
              <w:spacing w:line="240" w:lineRule="atLeast"/>
              <w:ind w:firstLine="0" w:firstLineChars="0"/>
              <w:jc w:val="center"/>
              <w:rPr>
                <w:sz w:val="21"/>
                <w:szCs w:val="21"/>
              </w:rPr>
            </w:pPr>
            <w:r>
              <w:rPr>
                <w:rFonts w:hint="eastAsia"/>
                <w:sz w:val="21"/>
                <w:szCs w:val="21"/>
              </w:rPr>
              <w:t>采样天数</w:t>
            </w:r>
          </w:p>
        </w:tc>
        <w:tc>
          <w:tcPr>
            <w:tcW w:w="997" w:type="pct"/>
            <w:vAlign w:val="center"/>
          </w:tcPr>
          <w:p>
            <w:pPr>
              <w:adjustRightInd w:val="0"/>
              <w:spacing w:line="240" w:lineRule="atLeast"/>
              <w:ind w:firstLine="0" w:firstLineChars="0"/>
              <w:jc w:val="center"/>
              <w:rPr>
                <w:sz w:val="21"/>
                <w:szCs w:val="21"/>
              </w:rPr>
            </w:pPr>
            <w:r>
              <w:rPr>
                <w:sz w:val="21"/>
                <w:szCs w:val="21"/>
              </w:rPr>
              <w:t>监测结果（</w:t>
            </w:r>
            <w:r>
              <w:rPr>
                <w:rFonts w:hint="eastAsia"/>
                <w:sz w:val="21"/>
                <w:szCs w:val="21"/>
              </w:rPr>
              <w:t>m</w:t>
            </w:r>
            <w:r>
              <w:rPr>
                <w:sz w:val="21"/>
                <w:szCs w:val="21"/>
              </w:rPr>
              <w:t>g/m</w:t>
            </w:r>
            <w:r>
              <w:rPr>
                <w:sz w:val="21"/>
                <w:szCs w:val="21"/>
                <w:vertAlign w:val="superscript"/>
              </w:rPr>
              <w:t>3</w:t>
            </w:r>
            <w:r>
              <w:rPr>
                <w:sz w:val="21"/>
                <w:szCs w:val="21"/>
              </w:rPr>
              <w:t>）</w:t>
            </w:r>
          </w:p>
        </w:tc>
        <w:tc>
          <w:tcPr>
            <w:tcW w:w="628" w:type="pct"/>
            <w:vAlign w:val="center"/>
          </w:tcPr>
          <w:p>
            <w:pPr>
              <w:adjustRightInd w:val="0"/>
              <w:spacing w:line="240" w:lineRule="atLeast"/>
              <w:ind w:firstLine="0" w:firstLineChars="0"/>
              <w:jc w:val="center"/>
              <w:rPr>
                <w:sz w:val="21"/>
                <w:szCs w:val="21"/>
              </w:rPr>
            </w:pPr>
            <w:r>
              <w:rPr>
                <w:sz w:val="21"/>
                <w:szCs w:val="21"/>
              </w:rPr>
              <w:t>超标率（%）</w:t>
            </w:r>
          </w:p>
        </w:tc>
        <w:tc>
          <w:tcPr>
            <w:tcW w:w="959" w:type="pct"/>
            <w:vAlign w:val="center"/>
          </w:tcPr>
          <w:p>
            <w:pPr>
              <w:adjustRightInd w:val="0"/>
              <w:spacing w:line="240" w:lineRule="atLeast"/>
              <w:ind w:firstLine="0" w:firstLineChars="0"/>
              <w:jc w:val="center"/>
              <w:rPr>
                <w:sz w:val="21"/>
                <w:szCs w:val="21"/>
              </w:rPr>
            </w:pPr>
            <w:r>
              <w:rPr>
                <w:sz w:val="21"/>
                <w:szCs w:val="21"/>
              </w:rPr>
              <w:t>最大值占标率（%）</w:t>
            </w:r>
          </w:p>
        </w:tc>
        <w:tc>
          <w:tcPr>
            <w:tcW w:w="905" w:type="pct"/>
            <w:vAlign w:val="center"/>
          </w:tcPr>
          <w:p>
            <w:pPr>
              <w:adjustRightInd w:val="0"/>
              <w:spacing w:line="240" w:lineRule="atLeast"/>
              <w:ind w:firstLine="105" w:firstLineChars="50"/>
              <w:jc w:val="center"/>
              <w:rPr>
                <w:sz w:val="21"/>
                <w:szCs w:val="21"/>
              </w:rPr>
            </w:pPr>
            <w:r>
              <w:rPr>
                <w:sz w:val="21"/>
                <w:szCs w:val="21"/>
              </w:rPr>
              <w:t>标准值（</w:t>
            </w:r>
            <w:r>
              <w:rPr>
                <w:rFonts w:hint="eastAsia"/>
                <w:sz w:val="21"/>
                <w:szCs w:val="21"/>
              </w:rPr>
              <w:t>m</w:t>
            </w:r>
            <w:r>
              <w:rPr>
                <w:sz w:val="21"/>
                <w:szCs w:val="21"/>
              </w:rPr>
              <w:t>g/m</w:t>
            </w:r>
            <w:r>
              <w:rPr>
                <w:sz w:val="21"/>
                <w:szCs w:val="21"/>
                <w:vertAlign w:val="superscript"/>
              </w:rPr>
              <w:t>3</w:t>
            </w:r>
            <w:r>
              <w:rPr>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693" w:type="pct"/>
            <w:vAlign w:val="center"/>
          </w:tcPr>
          <w:p>
            <w:pPr>
              <w:adjustRightInd w:val="0"/>
              <w:spacing w:line="240" w:lineRule="atLeast"/>
              <w:ind w:firstLine="0" w:firstLineChars="0"/>
              <w:jc w:val="center"/>
              <w:rPr>
                <w:sz w:val="21"/>
                <w:szCs w:val="21"/>
              </w:rPr>
            </w:pPr>
            <w:r>
              <w:rPr>
                <w:rFonts w:hint="eastAsia"/>
                <w:sz w:val="21"/>
                <w:szCs w:val="21"/>
              </w:rPr>
              <w:t>铅</w:t>
            </w:r>
          </w:p>
        </w:tc>
        <w:tc>
          <w:tcPr>
            <w:tcW w:w="817" w:type="pct"/>
            <w:vAlign w:val="center"/>
          </w:tcPr>
          <w:p>
            <w:pPr>
              <w:spacing w:line="240" w:lineRule="atLeast"/>
              <w:ind w:right="-120" w:rightChars="-50" w:firstLine="420"/>
              <w:textAlignment w:val="center"/>
              <w:rPr>
                <w:sz w:val="21"/>
                <w:szCs w:val="21"/>
              </w:rPr>
            </w:pPr>
            <w:r>
              <w:rPr>
                <w:rFonts w:hint="eastAsia"/>
                <w:sz w:val="21"/>
                <w:szCs w:val="21"/>
              </w:rPr>
              <w:t>7天</w:t>
            </w:r>
          </w:p>
        </w:tc>
        <w:tc>
          <w:tcPr>
            <w:tcW w:w="997" w:type="pct"/>
            <w:vAlign w:val="center"/>
          </w:tcPr>
          <w:p>
            <w:pPr>
              <w:spacing w:line="240" w:lineRule="atLeast"/>
              <w:ind w:left="-120" w:leftChars="-50" w:right="-120" w:rightChars="-50" w:firstLine="525" w:firstLineChars="250"/>
              <w:textAlignment w:val="center"/>
              <w:rPr>
                <w:sz w:val="21"/>
                <w:szCs w:val="21"/>
                <w:highlight w:val="yellow"/>
              </w:rPr>
            </w:pPr>
            <w:r>
              <w:rPr>
                <w:sz w:val="21"/>
                <w:szCs w:val="21"/>
              </w:rPr>
              <w:t>7×10</w:t>
            </w:r>
            <w:r>
              <w:rPr>
                <w:sz w:val="21"/>
                <w:szCs w:val="21"/>
                <w:vertAlign w:val="superscript"/>
              </w:rPr>
              <w:t>-7</w:t>
            </w:r>
            <w:r>
              <w:rPr>
                <w:sz w:val="21"/>
                <w:szCs w:val="21"/>
              </w:rPr>
              <w:t>L</w:t>
            </w:r>
          </w:p>
        </w:tc>
        <w:tc>
          <w:tcPr>
            <w:tcW w:w="628" w:type="pct"/>
            <w:vAlign w:val="center"/>
          </w:tcPr>
          <w:p>
            <w:pPr>
              <w:spacing w:line="240" w:lineRule="atLeast"/>
              <w:ind w:firstLine="420"/>
              <w:textAlignment w:val="center"/>
              <w:rPr>
                <w:sz w:val="21"/>
                <w:szCs w:val="21"/>
              </w:rPr>
            </w:pPr>
            <w:r>
              <w:rPr>
                <w:rFonts w:hint="eastAsia"/>
                <w:sz w:val="21"/>
                <w:szCs w:val="21"/>
              </w:rPr>
              <w:t>/</w:t>
            </w:r>
          </w:p>
        </w:tc>
        <w:tc>
          <w:tcPr>
            <w:tcW w:w="959" w:type="pct"/>
            <w:vAlign w:val="center"/>
          </w:tcPr>
          <w:p>
            <w:pPr>
              <w:spacing w:line="240" w:lineRule="atLeast"/>
              <w:ind w:firstLine="735" w:firstLineChars="350"/>
              <w:textAlignment w:val="center"/>
              <w:rPr>
                <w:sz w:val="21"/>
                <w:szCs w:val="21"/>
              </w:rPr>
            </w:pPr>
            <w:r>
              <w:rPr>
                <w:rFonts w:hint="eastAsia"/>
                <w:sz w:val="21"/>
                <w:szCs w:val="21"/>
              </w:rPr>
              <w:t>/</w:t>
            </w:r>
          </w:p>
        </w:tc>
        <w:tc>
          <w:tcPr>
            <w:tcW w:w="905" w:type="pct"/>
            <w:vAlign w:val="center"/>
          </w:tcPr>
          <w:p>
            <w:pPr>
              <w:adjustRightInd w:val="0"/>
              <w:spacing w:line="240" w:lineRule="atLeast"/>
              <w:ind w:firstLine="583" w:firstLineChars="278"/>
              <w:rPr>
                <w:sz w:val="21"/>
                <w:szCs w:val="21"/>
              </w:rPr>
            </w:pP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693" w:type="pct"/>
            <w:vAlign w:val="center"/>
          </w:tcPr>
          <w:p>
            <w:pPr>
              <w:adjustRightInd w:val="0"/>
              <w:spacing w:line="240" w:lineRule="atLeast"/>
              <w:ind w:firstLine="0" w:firstLineChars="0"/>
              <w:jc w:val="center"/>
              <w:rPr>
                <w:sz w:val="21"/>
                <w:szCs w:val="21"/>
              </w:rPr>
            </w:pPr>
            <w:r>
              <w:rPr>
                <w:rFonts w:hint="eastAsia"/>
                <w:sz w:val="21"/>
                <w:szCs w:val="21"/>
              </w:rPr>
              <w:t>铬</w:t>
            </w:r>
          </w:p>
        </w:tc>
        <w:tc>
          <w:tcPr>
            <w:tcW w:w="817" w:type="pct"/>
            <w:vAlign w:val="center"/>
          </w:tcPr>
          <w:p>
            <w:pPr>
              <w:spacing w:line="240" w:lineRule="atLeast"/>
              <w:ind w:right="-120" w:rightChars="-50" w:firstLine="420"/>
              <w:textAlignment w:val="center"/>
              <w:rPr>
                <w:sz w:val="21"/>
                <w:szCs w:val="21"/>
              </w:rPr>
            </w:pPr>
            <w:r>
              <w:rPr>
                <w:rFonts w:hint="eastAsia"/>
                <w:sz w:val="21"/>
                <w:szCs w:val="21"/>
              </w:rPr>
              <w:t>7天</w:t>
            </w:r>
          </w:p>
        </w:tc>
        <w:tc>
          <w:tcPr>
            <w:tcW w:w="997" w:type="pct"/>
            <w:vAlign w:val="center"/>
          </w:tcPr>
          <w:p>
            <w:pPr>
              <w:spacing w:line="240" w:lineRule="atLeast"/>
              <w:ind w:right="-120" w:rightChars="-50" w:firstLine="420"/>
              <w:textAlignment w:val="center"/>
              <w:rPr>
                <w:sz w:val="21"/>
                <w:szCs w:val="21"/>
              </w:rPr>
            </w:pPr>
            <w:r>
              <w:rPr>
                <w:rFonts w:hint="eastAsia"/>
                <w:sz w:val="21"/>
                <w:szCs w:val="21"/>
              </w:rPr>
              <w:t>2</w:t>
            </w:r>
            <w:r>
              <w:rPr>
                <w:sz w:val="21"/>
                <w:szCs w:val="21"/>
              </w:rPr>
              <w:t>×10</w:t>
            </w:r>
            <w:r>
              <w:rPr>
                <w:sz w:val="21"/>
                <w:szCs w:val="21"/>
                <w:vertAlign w:val="superscript"/>
              </w:rPr>
              <w:t>-</w:t>
            </w:r>
            <w:r>
              <w:rPr>
                <w:rFonts w:hint="eastAsia"/>
                <w:sz w:val="21"/>
                <w:szCs w:val="21"/>
                <w:vertAlign w:val="superscript"/>
              </w:rPr>
              <w:t>6</w:t>
            </w:r>
            <w:r>
              <w:rPr>
                <w:sz w:val="21"/>
                <w:szCs w:val="21"/>
              </w:rPr>
              <w:t>L</w:t>
            </w:r>
          </w:p>
        </w:tc>
        <w:tc>
          <w:tcPr>
            <w:tcW w:w="628" w:type="pct"/>
            <w:vAlign w:val="center"/>
          </w:tcPr>
          <w:p>
            <w:pPr>
              <w:spacing w:line="240" w:lineRule="atLeast"/>
              <w:ind w:firstLine="420"/>
              <w:textAlignment w:val="center"/>
              <w:rPr>
                <w:sz w:val="21"/>
                <w:szCs w:val="21"/>
              </w:rPr>
            </w:pPr>
            <w:r>
              <w:rPr>
                <w:rFonts w:hint="eastAsia"/>
                <w:sz w:val="21"/>
                <w:szCs w:val="21"/>
              </w:rPr>
              <w:t>/</w:t>
            </w:r>
          </w:p>
        </w:tc>
        <w:tc>
          <w:tcPr>
            <w:tcW w:w="959" w:type="pct"/>
            <w:vAlign w:val="center"/>
          </w:tcPr>
          <w:p>
            <w:pPr>
              <w:spacing w:line="240" w:lineRule="atLeast"/>
              <w:ind w:firstLine="630" w:firstLineChars="300"/>
              <w:textAlignment w:val="center"/>
              <w:rPr>
                <w:sz w:val="21"/>
                <w:szCs w:val="21"/>
              </w:rPr>
            </w:pPr>
            <w:r>
              <w:rPr>
                <w:rFonts w:hint="eastAsia"/>
                <w:sz w:val="21"/>
                <w:szCs w:val="21"/>
              </w:rPr>
              <w:t>/</w:t>
            </w:r>
          </w:p>
        </w:tc>
        <w:tc>
          <w:tcPr>
            <w:tcW w:w="905" w:type="pct"/>
            <w:vAlign w:val="center"/>
          </w:tcPr>
          <w:p>
            <w:pPr>
              <w:adjustRightInd w:val="0"/>
              <w:spacing w:line="240" w:lineRule="atLeast"/>
              <w:ind w:firstLine="583" w:firstLineChars="278"/>
              <w:rPr>
                <w:sz w:val="21"/>
                <w:szCs w:val="21"/>
              </w:rPr>
            </w:pP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693" w:type="pct"/>
            <w:vAlign w:val="center"/>
          </w:tcPr>
          <w:p>
            <w:pPr>
              <w:adjustRightInd w:val="0"/>
              <w:spacing w:line="240" w:lineRule="atLeast"/>
              <w:ind w:firstLine="0" w:firstLineChars="0"/>
              <w:jc w:val="center"/>
              <w:rPr>
                <w:sz w:val="21"/>
                <w:szCs w:val="21"/>
              </w:rPr>
            </w:pPr>
            <w:r>
              <w:rPr>
                <w:rFonts w:hint="eastAsia"/>
                <w:sz w:val="21"/>
                <w:szCs w:val="21"/>
              </w:rPr>
              <w:t>镉</w:t>
            </w:r>
          </w:p>
        </w:tc>
        <w:tc>
          <w:tcPr>
            <w:tcW w:w="817" w:type="pct"/>
            <w:vAlign w:val="center"/>
          </w:tcPr>
          <w:p>
            <w:pPr>
              <w:spacing w:line="240" w:lineRule="atLeast"/>
              <w:ind w:right="-120" w:rightChars="-50" w:firstLine="420"/>
              <w:textAlignment w:val="center"/>
              <w:rPr>
                <w:sz w:val="21"/>
                <w:szCs w:val="21"/>
              </w:rPr>
            </w:pPr>
            <w:r>
              <w:rPr>
                <w:rFonts w:hint="eastAsia"/>
                <w:sz w:val="21"/>
                <w:szCs w:val="21"/>
              </w:rPr>
              <w:t>7天</w:t>
            </w:r>
          </w:p>
        </w:tc>
        <w:tc>
          <w:tcPr>
            <w:tcW w:w="997" w:type="pct"/>
            <w:vAlign w:val="center"/>
          </w:tcPr>
          <w:p>
            <w:pPr>
              <w:spacing w:line="240" w:lineRule="atLeast"/>
              <w:ind w:right="-120" w:rightChars="-50" w:firstLine="420"/>
              <w:textAlignment w:val="center"/>
              <w:rPr>
                <w:sz w:val="21"/>
                <w:szCs w:val="21"/>
              </w:rPr>
            </w:pPr>
            <w:r>
              <w:rPr>
                <w:rFonts w:hint="eastAsia"/>
                <w:sz w:val="21"/>
                <w:szCs w:val="21"/>
              </w:rPr>
              <w:t>4</w:t>
            </w:r>
            <w:r>
              <w:rPr>
                <w:sz w:val="21"/>
                <w:szCs w:val="21"/>
              </w:rPr>
              <w:t>×10</w:t>
            </w:r>
            <w:r>
              <w:rPr>
                <w:sz w:val="21"/>
                <w:szCs w:val="21"/>
                <w:vertAlign w:val="superscript"/>
              </w:rPr>
              <w:t>-</w:t>
            </w:r>
            <w:r>
              <w:rPr>
                <w:rFonts w:hint="eastAsia"/>
                <w:sz w:val="21"/>
                <w:szCs w:val="21"/>
                <w:vertAlign w:val="superscript"/>
              </w:rPr>
              <w:t>8</w:t>
            </w:r>
            <w:r>
              <w:rPr>
                <w:sz w:val="21"/>
                <w:szCs w:val="21"/>
              </w:rPr>
              <w:t>L</w:t>
            </w:r>
          </w:p>
        </w:tc>
        <w:tc>
          <w:tcPr>
            <w:tcW w:w="628" w:type="pct"/>
            <w:vAlign w:val="center"/>
          </w:tcPr>
          <w:p>
            <w:pPr>
              <w:spacing w:line="240" w:lineRule="atLeast"/>
              <w:ind w:firstLine="420"/>
              <w:textAlignment w:val="center"/>
              <w:rPr>
                <w:sz w:val="21"/>
                <w:szCs w:val="21"/>
              </w:rPr>
            </w:pPr>
            <w:r>
              <w:rPr>
                <w:rFonts w:hint="eastAsia"/>
                <w:sz w:val="21"/>
                <w:szCs w:val="21"/>
              </w:rPr>
              <w:t>/</w:t>
            </w:r>
          </w:p>
        </w:tc>
        <w:tc>
          <w:tcPr>
            <w:tcW w:w="959" w:type="pct"/>
            <w:vAlign w:val="center"/>
          </w:tcPr>
          <w:p>
            <w:pPr>
              <w:spacing w:line="240" w:lineRule="atLeast"/>
              <w:ind w:firstLine="630" w:firstLineChars="300"/>
              <w:textAlignment w:val="center"/>
              <w:rPr>
                <w:sz w:val="21"/>
                <w:szCs w:val="21"/>
              </w:rPr>
            </w:pPr>
            <w:r>
              <w:rPr>
                <w:rFonts w:hint="eastAsia"/>
                <w:sz w:val="21"/>
                <w:szCs w:val="21"/>
              </w:rPr>
              <w:t>/</w:t>
            </w:r>
          </w:p>
        </w:tc>
        <w:tc>
          <w:tcPr>
            <w:tcW w:w="905" w:type="pct"/>
            <w:vAlign w:val="center"/>
          </w:tcPr>
          <w:p>
            <w:pPr>
              <w:adjustRightInd w:val="0"/>
              <w:spacing w:line="240" w:lineRule="atLeast"/>
              <w:ind w:firstLine="583" w:firstLineChars="278"/>
              <w:rPr>
                <w:sz w:val="21"/>
                <w:szCs w:val="21"/>
              </w:rPr>
            </w:pPr>
            <w:r>
              <w:rPr>
                <w:rFonts w:hint="eastAsia"/>
                <w:sz w:val="21"/>
                <w:szCs w:val="21"/>
              </w:rPr>
              <w:t>/</w:t>
            </w:r>
          </w:p>
        </w:tc>
      </w:tr>
    </w:tbl>
    <w:p>
      <w:pPr>
        <w:pStyle w:val="169"/>
        <w:spacing w:line="360" w:lineRule="auto"/>
        <w:jc w:val="left"/>
        <w:rPr>
          <w:szCs w:val="21"/>
        </w:rPr>
      </w:pPr>
      <w:r>
        <w:rPr>
          <w:szCs w:val="21"/>
        </w:rPr>
        <w:t>注：带L的数据表示未检出，结果为该项目的方法检出限</w:t>
      </w:r>
    </w:p>
    <w:p>
      <w:pPr>
        <w:pStyle w:val="169"/>
        <w:spacing w:line="360" w:lineRule="auto"/>
        <w:ind w:firstLine="352" w:firstLineChars="147"/>
        <w:jc w:val="left"/>
        <w:rPr>
          <w:sz w:val="24"/>
          <w:szCs w:val="24"/>
        </w:rPr>
      </w:pPr>
    </w:p>
    <w:p>
      <w:pPr>
        <w:pStyle w:val="169"/>
        <w:spacing w:line="360" w:lineRule="auto"/>
        <w:ind w:firstLine="352" w:firstLineChars="147"/>
        <w:jc w:val="left"/>
        <w:rPr>
          <w:b/>
          <w:sz w:val="24"/>
          <w:szCs w:val="24"/>
        </w:rPr>
      </w:pPr>
      <w:r>
        <w:rPr>
          <w:rFonts w:hint="eastAsia"/>
          <w:sz w:val="24"/>
          <w:szCs w:val="24"/>
        </w:rPr>
        <w:t>根据专项表2.2-1，监测点铅日平均浓度未检出，监测结果为</w:t>
      </w:r>
      <w:r>
        <w:rPr>
          <w:sz w:val="24"/>
          <w:szCs w:val="24"/>
        </w:rPr>
        <w:t>7×10</w:t>
      </w:r>
      <w:r>
        <w:rPr>
          <w:sz w:val="24"/>
          <w:szCs w:val="24"/>
          <w:vertAlign w:val="superscript"/>
        </w:rPr>
        <w:t>-7</w:t>
      </w:r>
      <w:r>
        <w:rPr>
          <w:sz w:val="24"/>
          <w:szCs w:val="24"/>
        </w:rPr>
        <w:t>L</w:t>
      </w:r>
      <w:r>
        <w:rPr>
          <w:rFonts w:hint="eastAsia"/>
          <w:sz w:val="24"/>
          <w:szCs w:val="24"/>
        </w:rPr>
        <w:t xml:space="preserve"> m</w:t>
      </w:r>
      <w:r>
        <w:rPr>
          <w:sz w:val="24"/>
          <w:szCs w:val="24"/>
        </w:rPr>
        <w:t>g/m</w:t>
      </w:r>
      <w:r>
        <w:rPr>
          <w:sz w:val="24"/>
          <w:szCs w:val="24"/>
          <w:vertAlign w:val="superscript"/>
        </w:rPr>
        <w:t>3</w:t>
      </w:r>
      <w:r>
        <w:rPr>
          <w:rFonts w:hint="eastAsia"/>
          <w:sz w:val="24"/>
          <w:szCs w:val="24"/>
        </w:rPr>
        <w:t>，铬日平均浓度未检出，监测结果为2</w:t>
      </w:r>
      <w:r>
        <w:rPr>
          <w:sz w:val="24"/>
          <w:szCs w:val="24"/>
        </w:rPr>
        <w:t>×10</w:t>
      </w:r>
      <w:r>
        <w:rPr>
          <w:sz w:val="24"/>
          <w:szCs w:val="24"/>
          <w:vertAlign w:val="superscript"/>
        </w:rPr>
        <w:t>-</w:t>
      </w:r>
      <w:r>
        <w:rPr>
          <w:rFonts w:hint="eastAsia"/>
          <w:sz w:val="24"/>
          <w:szCs w:val="24"/>
          <w:vertAlign w:val="superscript"/>
        </w:rPr>
        <w:t>6</w:t>
      </w:r>
      <w:r>
        <w:rPr>
          <w:sz w:val="24"/>
          <w:szCs w:val="24"/>
        </w:rPr>
        <w:t>L</w:t>
      </w:r>
      <w:r>
        <w:rPr>
          <w:rFonts w:hint="eastAsia"/>
          <w:sz w:val="24"/>
          <w:szCs w:val="24"/>
        </w:rPr>
        <w:t xml:space="preserve"> m</w:t>
      </w:r>
      <w:r>
        <w:rPr>
          <w:sz w:val="24"/>
          <w:szCs w:val="24"/>
        </w:rPr>
        <w:t>g/m</w:t>
      </w:r>
      <w:r>
        <w:rPr>
          <w:sz w:val="24"/>
          <w:szCs w:val="24"/>
          <w:vertAlign w:val="superscript"/>
        </w:rPr>
        <w:t>3</w:t>
      </w:r>
      <w:r>
        <w:rPr>
          <w:rFonts w:hint="eastAsia"/>
          <w:sz w:val="24"/>
          <w:szCs w:val="24"/>
        </w:rPr>
        <w:t>，镉日平均浓度未检出，监测结果为4</w:t>
      </w:r>
      <w:r>
        <w:rPr>
          <w:sz w:val="24"/>
          <w:szCs w:val="24"/>
        </w:rPr>
        <w:t>×10</w:t>
      </w:r>
      <w:r>
        <w:rPr>
          <w:sz w:val="24"/>
          <w:szCs w:val="24"/>
          <w:vertAlign w:val="superscript"/>
        </w:rPr>
        <w:t>-</w:t>
      </w:r>
      <w:r>
        <w:rPr>
          <w:rFonts w:hint="eastAsia"/>
          <w:sz w:val="24"/>
          <w:szCs w:val="24"/>
          <w:vertAlign w:val="superscript"/>
        </w:rPr>
        <w:t>8</w:t>
      </w:r>
      <w:r>
        <w:rPr>
          <w:sz w:val="24"/>
          <w:szCs w:val="24"/>
        </w:rPr>
        <w:t>L</w:t>
      </w:r>
      <w:r>
        <w:rPr>
          <w:rFonts w:hint="eastAsia"/>
          <w:sz w:val="24"/>
          <w:szCs w:val="24"/>
        </w:rPr>
        <w:t xml:space="preserve"> m</w:t>
      </w:r>
      <w:r>
        <w:rPr>
          <w:sz w:val="24"/>
          <w:szCs w:val="24"/>
        </w:rPr>
        <w:t>g/m</w:t>
      </w:r>
      <w:r>
        <w:rPr>
          <w:sz w:val="24"/>
          <w:szCs w:val="24"/>
          <w:vertAlign w:val="superscript"/>
        </w:rPr>
        <w:t>3</w:t>
      </w:r>
      <w:r>
        <w:rPr>
          <w:rFonts w:hint="eastAsia"/>
          <w:sz w:val="24"/>
          <w:szCs w:val="24"/>
        </w:rPr>
        <w:t>。</w:t>
      </w:r>
    </w:p>
    <w:p/>
    <w:p/>
    <w:p/>
    <w:p/>
    <w:p/>
    <w:p/>
    <w:p/>
    <w:p/>
    <w:p/>
    <w:p>
      <w:pPr>
        <w:spacing w:line="480" w:lineRule="auto"/>
        <w:ind w:firstLine="643"/>
        <w:jc w:val="center"/>
        <w:rPr>
          <w:b/>
          <w:sz w:val="32"/>
          <w:szCs w:val="32"/>
        </w:rPr>
      </w:pPr>
      <w:r>
        <w:rPr>
          <w:rFonts w:hint="eastAsia"/>
          <w:b/>
          <w:sz w:val="32"/>
          <w:szCs w:val="32"/>
        </w:rPr>
        <w:t>3   项目污染源调查</w:t>
      </w:r>
    </w:p>
    <w:p>
      <w:pPr>
        <w:ind w:firstLine="0" w:firstLineChars="0"/>
        <w:rPr>
          <w:b/>
          <w:sz w:val="28"/>
          <w:szCs w:val="28"/>
        </w:rPr>
      </w:pPr>
      <w:r>
        <w:rPr>
          <w:rFonts w:hint="eastAsia"/>
          <w:b/>
          <w:sz w:val="28"/>
          <w:szCs w:val="28"/>
        </w:rPr>
        <w:t>3.1破袋粉尘</w:t>
      </w:r>
    </w:p>
    <w:p>
      <w:r>
        <w:rPr>
          <w:rFonts w:hint="eastAsia"/>
        </w:rPr>
        <w:t>破袋机为密闭装置，上方设有活动盖板，装有除尘灰的吨袋进入破袋机后上方盖板密闭，破袋机下方通过管道连接喷粉罐，进入喷粉罐的除尘灰通过气动装置喷入电炉，因此破袋过程中基本无粉尘产生。</w:t>
      </w:r>
    </w:p>
    <w:p>
      <w:pPr>
        <w:ind w:firstLine="0" w:firstLineChars="0"/>
        <w:rPr>
          <w:b/>
          <w:sz w:val="28"/>
          <w:szCs w:val="28"/>
        </w:rPr>
      </w:pPr>
      <w:r>
        <w:rPr>
          <w:rFonts w:hint="eastAsia"/>
          <w:b/>
          <w:sz w:val="28"/>
          <w:szCs w:val="28"/>
        </w:rPr>
        <w:t>3.2电炉冶炼烟气</w:t>
      </w:r>
    </w:p>
    <w:p>
      <w:r>
        <w:t>电炉</w:t>
      </w:r>
      <w:r>
        <w:rPr>
          <w:rFonts w:hint="eastAsia"/>
        </w:rPr>
        <w:t>炼钢在吹氧</w:t>
      </w:r>
      <w:r>
        <w:t>冶炼</w:t>
      </w:r>
      <w:r>
        <w:rPr>
          <w:rFonts w:hint="eastAsia"/>
        </w:rPr>
        <w:t>、料篮加料及出钢</w:t>
      </w:r>
      <w:r>
        <w:t>过程</w:t>
      </w:r>
      <w:r>
        <w:rPr>
          <w:rFonts w:hint="eastAsia"/>
        </w:rPr>
        <w:t>会</w:t>
      </w:r>
      <w:r>
        <w:t>产生含</w:t>
      </w:r>
      <w:r>
        <w:rPr>
          <w:rFonts w:hint="eastAsia"/>
        </w:rPr>
        <w:t>颗粒物</w:t>
      </w:r>
      <w:r>
        <w:t>、SO</w:t>
      </w:r>
      <w:r>
        <w:rPr>
          <w:vertAlign w:val="subscript"/>
        </w:rPr>
        <w:t>2</w:t>
      </w:r>
      <w:r>
        <w:rPr>
          <w:rFonts w:hint="eastAsia"/>
        </w:rPr>
        <w:t>、NOx</w:t>
      </w:r>
      <w:r>
        <w:t>和</w:t>
      </w:r>
      <w:r>
        <w:rPr>
          <w:rFonts w:hint="eastAsia"/>
        </w:rPr>
        <w:t>少量二噁英的高温</w:t>
      </w:r>
      <w:r>
        <w:t>烟气。</w:t>
      </w:r>
    </w:p>
    <w:p>
      <w:r>
        <w:rPr>
          <w:rFonts w:hint="eastAsia"/>
        </w:rPr>
        <w:t>根据《重庆足航钢铁有限公司年产101万吨合金钢、普钢产能置换项目环境</w:t>
      </w:r>
      <w:r>
        <w:t>影响报告书》中源强核算，电炉炼钢颗粒物</w:t>
      </w:r>
      <w:r>
        <w:rPr>
          <w:rFonts w:hint="eastAsia"/>
        </w:rPr>
        <w:t>产生</w:t>
      </w:r>
      <w:r>
        <w:t>系数为12.3kg/t钢水、SO</w:t>
      </w:r>
      <w:r>
        <w:rPr>
          <w:vertAlign w:val="subscript"/>
        </w:rPr>
        <w:t>2</w:t>
      </w:r>
      <w:r>
        <w:t>产生量约0.1~0.43 kg/t钢水、NOx排污系数取200g/t 钢水、二噁英排污系数取10.1μg-TEQ/t 钢水，由于本次除尘灰回收利用后原有炼钢工艺和</w:t>
      </w:r>
      <w:r>
        <w:rPr>
          <w:rFonts w:hint="eastAsia"/>
        </w:rPr>
        <w:t>产品</w:t>
      </w:r>
      <w:r>
        <w:t>生产规模不变，</w:t>
      </w:r>
      <w:r>
        <w:rPr>
          <w:rFonts w:hint="eastAsia"/>
        </w:rPr>
        <w:t>钢水量保持不变，</w:t>
      </w:r>
      <w:r>
        <w:t>因此电炉冶炼烟气中</w:t>
      </w:r>
      <w:r>
        <w:rPr>
          <w:rFonts w:hint="eastAsia"/>
        </w:rPr>
        <w:t>颗粒物</w:t>
      </w:r>
      <w:r>
        <w:t>、SO</w:t>
      </w:r>
      <w:r>
        <w:rPr>
          <w:vertAlign w:val="subscript"/>
        </w:rPr>
        <w:t>2</w:t>
      </w:r>
      <w:r>
        <w:rPr>
          <w:rFonts w:hint="eastAsia"/>
        </w:rPr>
        <w:t>、NOx及二噁英</w:t>
      </w:r>
      <w:r>
        <w:t>产生</w:t>
      </w:r>
      <w:r>
        <w:rPr>
          <w:rFonts w:hint="eastAsia"/>
        </w:rPr>
        <w:t>及排放</w:t>
      </w:r>
      <w:r>
        <w:t>量不变。</w:t>
      </w:r>
    </w:p>
    <w:p>
      <w:pPr>
        <w:ind w:firstLine="0" w:firstLineChars="0"/>
        <w:rPr>
          <w:b/>
          <w:sz w:val="28"/>
          <w:szCs w:val="28"/>
        </w:rPr>
      </w:pPr>
      <w:r>
        <w:rPr>
          <w:rFonts w:hint="eastAsia"/>
          <w:b/>
          <w:sz w:val="28"/>
          <w:szCs w:val="28"/>
        </w:rPr>
        <w:t>3.3除尘灰回炉利用废气</w:t>
      </w:r>
    </w:p>
    <w:p>
      <w:r>
        <w:rPr>
          <w:rFonts w:hint="eastAsia"/>
        </w:rPr>
        <w:t>项目除尘灰中含有微量的铅、铬和镉，在回炉利用过程中会产生少量的铅、铬和镉及其化合物。</w:t>
      </w:r>
    </w:p>
    <w:p>
      <w:r>
        <w:rPr>
          <w:rFonts w:hint="eastAsia"/>
        </w:rPr>
        <w:t>本项目电炉内烟气温度约1550℃，水泥窑协同处置危险废物时窑内气体温度可达1450℃，电炉和水泥窑内烟气温度相差不大，重金属存在形态、炉（窑）内气氛相似，</w:t>
      </w:r>
    </w:p>
    <w:p>
      <w:pPr>
        <w:ind w:firstLine="0" w:firstLineChars="0"/>
      </w:pPr>
      <w:r>
        <w:rPr>
          <w:rFonts w:hint="eastAsia"/>
        </w:rPr>
        <w:t>因此铅、铬和镉在电炉内的挥发情况可参考水泥窑。</w:t>
      </w:r>
    </w:p>
    <w:p>
      <w:r>
        <w:rPr>
          <w:rFonts w:hint="eastAsia"/>
        </w:rPr>
        <w:t>《水泥窑协同处置危险废物污染控制标准》编制说明（征求意见稿）中根据重金属及其盐类的挥发特性将常见重金属元素划分为</w:t>
      </w:r>
      <w:r>
        <w:t>4</w:t>
      </w:r>
      <w:r>
        <w:rPr>
          <w:rFonts w:hint="eastAsia"/>
        </w:rPr>
        <w:t>类，分别为不挥发、半挥发、易挥发和高挥发类，详见专项表3.3-1。</w:t>
      </w:r>
    </w:p>
    <w:p>
      <w:pPr>
        <w:pStyle w:val="178"/>
        <w:ind w:firstLine="420"/>
        <w:rPr>
          <w:rFonts w:eastAsia="宋体"/>
          <w:color w:val="auto"/>
          <w:szCs w:val="21"/>
        </w:rPr>
      </w:pPr>
      <w:r>
        <w:rPr>
          <w:rFonts w:hint="eastAsia" w:eastAsia="宋体"/>
          <w:color w:val="auto"/>
          <w:szCs w:val="21"/>
        </w:rPr>
        <w:t xml:space="preserve">专项表3.3-1  </w:t>
      </w:r>
      <w:r>
        <w:rPr>
          <w:rFonts w:hint="eastAsia" w:eastAsia="宋体"/>
          <w:bCs/>
          <w:color w:val="auto"/>
          <w:szCs w:val="21"/>
        </w:rPr>
        <w:t>微量元素在水泥窑内的挥发性分级</w:t>
      </w:r>
    </w:p>
    <w:p>
      <w:r>
        <w:drawing>
          <wp:anchor distT="0" distB="0" distL="114300" distR="114300" simplePos="0" relativeHeight="251664384" behindDoc="0" locked="0" layoutInCell="1" allowOverlap="1">
            <wp:simplePos x="0" y="0"/>
            <wp:positionH relativeFrom="column">
              <wp:posOffset>142240</wp:posOffset>
            </wp:positionH>
            <wp:positionV relativeFrom="paragraph">
              <wp:posOffset>56515</wp:posOffset>
            </wp:positionV>
            <wp:extent cx="5306060" cy="1011555"/>
            <wp:effectExtent l="0" t="0" r="889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306060" cy="1011555"/>
                    </a:xfrm>
                    <a:prstGeom prst="rect">
                      <a:avLst/>
                    </a:prstGeom>
                  </pic:spPr>
                </pic:pic>
              </a:graphicData>
            </a:graphic>
          </wp:anchor>
        </w:drawing>
      </w:r>
    </w:p>
    <w:p/>
    <w:p/>
    <w:p/>
    <w:p/>
    <w:p>
      <w:r>
        <w:rPr>
          <w:rFonts w:hint="eastAsia"/>
        </w:rPr>
        <w:t xml:space="preserve">不挥发类 </w:t>
      </w:r>
      <w:r>
        <w:t>Cu</w:t>
      </w:r>
      <w:r>
        <w:rPr>
          <w:rFonts w:hint="eastAsia"/>
        </w:rPr>
        <w:t>、</w:t>
      </w:r>
      <w:r>
        <w:t>Cr</w:t>
      </w:r>
      <w:r>
        <w:rPr>
          <w:rFonts w:hint="eastAsia"/>
        </w:rPr>
        <w:t>、</w:t>
      </w:r>
      <w:r>
        <w:t>Ni</w:t>
      </w:r>
      <w:r>
        <w:rPr>
          <w:rFonts w:hint="eastAsia"/>
        </w:rPr>
        <w:t>、</w:t>
      </w:r>
      <w:r>
        <w:t>Mn</w:t>
      </w:r>
      <w:r>
        <w:rPr>
          <w:rFonts w:hint="eastAsia"/>
        </w:rPr>
        <w:t>、</w:t>
      </w:r>
      <w:r>
        <w:t>Be</w:t>
      </w:r>
      <w:r>
        <w:rPr>
          <w:rFonts w:hint="eastAsia"/>
        </w:rPr>
        <w:t>、</w:t>
      </w:r>
      <w:r>
        <w:t xml:space="preserve">V </w:t>
      </w:r>
      <w:r>
        <w:rPr>
          <w:rFonts w:hint="eastAsia"/>
        </w:rPr>
        <w:t>等元素与熟料中的主要元素钙、硅、铝及铁和镁相似，这类元素</w:t>
      </w:r>
      <w:r>
        <w:t>99.9%</w:t>
      </w:r>
      <w:r>
        <w:rPr>
          <w:rFonts w:hint="eastAsia"/>
        </w:rPr>
        <w:t>以上直接进入熟料。半挥发类</w:t>
      </w:r>
      <w:r>
        <w:t>As</w:t>
      </w:r>
      <w:r>
        <w:rPr>
          <w:rFonts w:hint="eastAsia"/>
        </w:rPr>
        <w:t>、</w:t>
      </w:r>
      <w:r>
        <w:t>Sb</w:t>
      </w:r>
      <w:r>
        <w:rPr>
          <w:rFonts w:hint="eastAsia"/>
        </w:rPr>
        <w:t>、</w:t>
      </w:r>
      <w:r>
        <w:t>Cd</w:t>
      </w:r>
      <w:r>
        <w:rPr>
          <w:rFonts w:hint="eastAsia"/>
        </w:rPr>
        <w:t>、</w:t>
      </w:r>
      <w:r>
        <w:t>Pb</w:t>
      </w:r>
      <w:r>
        <w:rPr>
          <w:rFonts w:hint="eastAsia"/>
        </w:rPr>
        <w:t>、</w:t>
      </w:r>
      <w:r>
        <w:t>Se</w:t>
      </w:r>
      <w:r>
        <w:rPr>
          <w:rFonts w:hint="eastAsia"/>
        </w:rPr>
        <w:t>、</w:t>
      </w:r>
      <w:r>
        <w:t>Zn</w:t>
      </w:r>
      <w:r>
        <w:rPr>
          <w:rFonts w:hint="eastAsia"/>
        </w:rPr>
        <w:t>、</w:t>
      </w:r>
      <w:r>
        <w:t>K</w:t>
      </w:r>
      <w:r>
        <w:rPr>
          <w:rFonts w:hint="eastAsia"/>
        </w:rPr>
        <w:t>、</w:t>
      </w:r>
      <w:r>
        <w:t xml:space="preserve">Na </w:t>
      </w:r>
      <w:r>
        <w:rPr>
          <w:rFonts w:hint="eastAsia"/>
        </w:rPr>
        <w:t>等元素在水泥熟料煅烧过程中，首先形成硫酸盐和氯化物。这类化合物在</w:t>
      </w:r>
      <w:r>
        <w:t>700~900</w:t>
      </w:r>
      <w:r>
        <w:rPr>
          <w:rFonts w:hint="eastAsia" w:ascii="宋体" w:hAnsi="宋体" w:cs="宋体"/>
        </w:rPr>
        <w:t>℃</w:t>
      </w:r>
      <w:r>
        <w:rPr>
          <w:rFonts w:hint="eastAsia"/>
        </w:rPr>
        <w:t>温度范围内冷凝，在窑和预热器系统内形成内循环，最终几乎全部进入熟料，随烟气带入带出窑系统外的量很少。</w:t>
      </w:r>
    </w:p>
    <w:p>
      <w:r>
        <w:rPr>
          <w:rFonts w:hint="eastAsia"/>
        </w:rPr>
        <w:t>重金属在水泥窑的高温条件下，部分进入烟气，部分进入熟料，分配系数取《水泥窑协同处置危险废物污染控制标准》编制说明（征求意见稿）表</w:t>
      </w:r>
      <w:r>
        <w:t>5</w:t>
      </w:r>
      <w:r>
        <w:rPr>
          <w:rFonts w:hint="eastAsia"/>
        </w:rPr>
        <w:t>相关排放系数中的最不利数据，详见专项表3.3-2。</w:t>
      </w:r>
    </w:p>
    <w:p>
      <w:pPr>
        <w:pStyle w:val="178"/>
        <w:ind w:firstLine="420"/>
        <w:rPr>
          <w:rFonts w:eastAsia="宋体"/>
          <w:color w:val="auto"/>
          <w:szCs w:val="21"/>
        </w:rPr>
      </w:pPr>
      <w:r>
        <w:rPr>
          <w:rFonts w:hint="eastAsia" w:eastAsia="宋体"/>
          <w:color w:val="auto"/>
          <w:szCs w:val="21"/>
        </w:rPr>
        <w:t>专项表3.3-2  重金属排放系数和转化系数</w:t>
      </w:r>
    </w:p>
    <w:p>
      <w:r>
        <w:drawing>
          <wp:inline distT="0" distB="0" distL="0" distR="0">
            <wp:extent cx="5324475" cy="23717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1"/>
                    <a:stretch>
                      <a:fillRect/>
                    </a:stretch>
                  </pic:blipFill>
                  <pic:spPr>
                    <a:xfrm>
                      <a:off x="0" y="0"/>
                      <a:ext cx="5324475" cy="2371725"/>
                    </a:xfrm>
                    <a:prstGeom prst="rect">
                      <a:avLst/>
                    </a:prstGeom>
                  </pic:spPr>
                </pic:pic>
              </a:graphicData>
            </a:graphic>
          </wp:inline>
        </w:drawing>
      </w:r>
    </w:p>
    <w:p>
      <w:pPr>
        <w:spacing w:line="240" w:lineRule="auto"/>
        <w:ind w:firstLine="420"/>
        <w:rPr>
          <w:sz w:val="21"/>
          <w:szCs w:val="21"/>
        </w:rPr>
      </w:pPr>
      <w:r>
        <w:rPr>
          <w:rFonts w:hint="eastAsia"/>
          <w:sz w:val="21"/>
          <w:szCs w:val="21"/>
        </w:rPr>
        <w:t>注：排放系数指燃料和原料中的重金属随烟气排入大气的比例，转化换系数仅指燃料中的重金属随烟气排入大气的比例。</w:t>
      </w:r>
    </w:p>
    <w:p/>
    <w:p>
      <w:r>
        <w:rPr>
          <w:rFonts w:hint="eastAsia"/>
        </w:rPr>
        <w:t>本项目电炉高温烟气集中收集后通入封闭上料段对废钢进行预热，部分粗颗粒得以沉降，出沉降室的烟气温度约650℃，经急冷器冷却至250℃以下，与屋顶罩捕集的烟气混合后温度降至110℃以下进入除尘系统。含有铅、镉及其化合物的高温烟气在对废钢进行预热过程中铅、镉及其化合物冷凝，在电炉和预热系统形成内循环，最终几乎全部进入炉渣，随烟气带出进入除尘系统的比例取最不利数据0.2%。铬及其化合物属于不挥发类元素，</w:t>
      </w:r>
      <w:r>
        <w:t>99.9%</w:t>
      </w:r>
      <w:r>
        <w:rPr>
          <w:rFonts w:hint="eastAsia"/>
        </w:rPr>
        <w:t>以上进入炉渣，本次评价考虑0.1%进入烟气，随烟气带出进入除尘系统的比例取最不利数据0.05%。</w:t>
      </w:r>
    </w:p>
    <w:p>
      <w:r>
        <w:rPr>
          <w:rFonts w:hint="eastAsia"/>
        </w:rPr>
        <w:t>项目污染物产生情况见专项表3.3-3。</w:t>
      </w:r>
    </w:p>
    <w:p/>
    <w:p/>
    <w:p>
      <w:pPr>
        <w:sectPr>
          <w:pgSz w:w="11906" w:h="16838"/>
          <w:pgMar w:top="1701" w:right="1531" w:bottom="1701" w:left="1531" w:header="851" w:footer="851" w:gutter="0"/>
          <w:cols w:space="720" w:num="1"/>
          <w:docGrid w:linePitch="312" w:charSpace="0"/>
        </w:sectPr>
      </w:pPr>
    </w:p>
    <w:p>
      <w:pPr>
        <w:pStyle w:val="178"/>
        <w:ind w:firstLine="420"/>
        <w:rPr>
          <w:rFonts w:eastAsia="宋体"/>
          <w:color w:val="auto"/>
          <w:szCs w:val="21"/>
        </w:rPr>
      </w:pPr>
      <w:r>
        <w:rPr>
          <w:rFonts w:hint="eastAsia" w:eastAsia="宋体"/>
          <w:color w:val="auto"/>
          <w:szCs w:val="21"/>
        </w:rPr>
        <w:t>专项表3.3-3      项目污染物产生情况一览表</w:t>
      </w:r>
    </w:p>
    <w:tbl>
      <w:tblPr>
        <w:tblStyle w:val="88"/>
        <w:tblW w:w="5000" w:type="pct"/>
        <w:tblInd w:w="0" w:type="dxa"/>
        <w:tblLayout w:type="autofit"/>
        <w:tblCellMar>
          <w:top w:w="0" w:type="dxa"/>
          <w:left w:w="108" w:type="dxa"/>
          <w:bottom w:w="0" w:type="dxa"/>
          <w:right w:w="108" w:type="dxa"/>
        </w:tblCellMar>
      </w:tblPr>
      <w:tblGrid>
        <w:gridCol w:w="908"/>
        <w:gridCol w:w="354"/>
        <w:gridCol w:w="493"/>
        <w:gridCol w:w="643"/>
        <w:gridCol w:w="505"/>
        <w:gridCol w:w="597"/>
        <w:gridCol w:w="597"/>
        <w:gridCol w:w="643"/>
        <w:gridCol w:w="505"/>
        <w:gridCol w:w="597"/>
        <w:gridCol w:w="597"/>
        <w:gridCol w:w="643"/>
        <w:gridCol w:w="574"/>
        <w:gridCol w:w="667"/>
        <w:gridCol w:w="737"/>
      </w:tblGrid>
      <w:tr>
        <w:tblPrEx>
          <w:tblCellMar>
            <w:top w:w="0" w:type="dxa"/>
            <w:left w:w="108" w:type="dxa"/>
            <w:bottom w:w="0" w:type="dxa"/>
            <w:right w:w="108" w:type="dxa"/>
          </w:tblCellMar>
        </w:tblPrEx>
        <w:trPr>
          <w:trHeight w:val="315"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物料</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生产环节</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工作时间</w:t>
            </w:r>
            <w:r>
              <w:rPr>
                <w:szCs w:val="21"/>
              </w:rPr>
              <w:t xml:space="preserve"> h/a</w:t>
            </w:r>
          </w:p>
        </w:tc>
        <w:tc>
          <w:tcPr>
            <w:tcW w:w="1302" w:type="pct"/>
            <w:gridSpan w:val="4"/>
            <w:tcBorders>
              <w:top w:val="single" w:color="000000" w:sz="4" w:space="0"/>
              <w:left w:val="single" w:color="000000" w:sz="4" w:space="0"/>
              <w:bottom w:val="single" w:color="000000" w:sz="4" w:space="0"/>
              <w:right w:val="single" w:color="000000" w:sz="4" w:space="0"/>
            </w:tcBorders>
          </w:tcPr>
          <w:p>
            <w:pPr>
              <w:pStyle w:val="169"/>
              <w:rPr>
                <w:szCs w:val="21"/>
              </w:rPr>
            </w:pPr>
            <w:r>
              <w:rPr>
                <w:rFonts w:hint="eastAsia"/>
                <w:szCs w:val="21"/>
              </w:rPr>
              <w:t>铅</w:t>
            </w:r>
          </w:p>
        </w:tc>
        <w:tc>
          <w:tcPr>
            <w:tcW w:w="1302" w:type="pct"/>
            <w:gridSpan w:val="4"/>
            <w:tcBorders>
              <w:top w:val="single" w:color="000000" w:sz="4" w:space="0"/>
              <w:left w:val="single" w:color="000000" w:sz="4" w:space="0"/>
              <w:bottom w:val="single" w:color="000000" w:sz="4" w:space="0"/>
              <w:right w:val="single" w:color="000000" w:sz="4" w:space="0"/>
            </w:tcBorders>
          </w:tcPr>
          <w:p>
            <w:pPr>
              <w:pStyle w:val="169"/>
              <w:rPr>
                <w:szCs w:val="21"/>
              </w:rPr>
            </w:pPr>
            <w:r>
              <w:rPr>
                <w:rFonts w:hint="eastAsia"/>
                <w:szCs w:val="21"/>
              </w:rPr>
              <w:t>镉</w:t>
            </w:r>
          </w:p>
        </w:tc>
        <w:tc>
          <w:tcPr>
            <w:tcW w:w="1418" w:type="pct"/>
            <w:gridSpan w:val="4"/>
            <w:tcBorders>
              <w:top w:val="single" w:color="000000" w:sz="4" w:space="0"/>
              <w:left w:val="single" w:color="000000" w:sz="4" w:space="0"/>
              <w:bottom w:val="single" w:color="000000" w:sz="4" w:space="0"/>
              <w:right w:val="single" w:color="000000" w:sz="4" w:space="0"/>
            </w:tcBorders>
          </w:tcPr>
          <w:p>
            <w:pPr>
              <w:pStyle w:val="169"/>
              <w:rPr>
                <w:szCs w:val="21"/>
              </w:rPr>
            </w:pPr>
            <w:r>
              <w:rPr>
                <w:rFonts w:hint="eastAsia"/>
                <w:szCs w:val="21"/>
              </w:rPr>
              <w:t>铬</w:t>
            </w:r>
          </w:p>
        </w:tc>
      </w:tr>
      <w:tr>
        <w:tblPrEx>
          <w:tblCellMar>
            <w:top w:w="0" w:type="dxa"/>
            <w:left w:w="108" w:type="dxa"/>
            <w:bottom w:w="0" w:type="dxa"/>
            <w:right w:w="108" w:type="dxa"/>
          </w:tblCellMar>
        </w:tblPrEx>
        <w:trPr>
          <w:trHeight w:val="315" w:hRule="atLeast"/>
        </w:trPr>
        <w:tc>
          <w:tcPr>
            <w:tcW w:w="507" w:type="pct"/>
            <w:vMerge w:val="continue"/>
            <w:tcBorders>
              <w:top w:val="single" w:color="000000" w:sz="4" w:space="0"/>
              <w:left w:val="single" w:color="000000" w:sz="4" w:space="0"/>
              <w:bottom w:val="single" w:color="000000" w:sz="4" w:space="0"/>
              <w:right w:val="single" w:color="000000" w:sz="4" w:space="0"/>
            </w:tcBorders>
            <w:vAlign w:val="center"/>
          </w:tcPr>
          <w:p>
            <w:pPr>
              <w:pStyle w:val="169"/>
              <w:rPr>
                <w:szCs w:val="21"/>
              </w:rPr>
            </w:pPr>
          </w:p>
        </w:tc>
        <w:tc>
          <w:tcPr>
            <w:tcW w:w="196" w:type="pct"/>
            <w:vMerge w:val="continue"/>
            <w:tcBorders>
              <w:top w:val="single" w:color="000000" w:sz="4" w:space="0"/>
              <w:left w:val="single" w:color="000000" w:sz="4" w:space="0"/>
              <w:bottom w:val="single" w:color="000000" w:sz="4" w:space="0"/>
              <w:right w:val="single" w:color="000000" w:sz="4" w:space="0"/>
            </w:tcBorders>
            <w:vAlign w:val="center"/>
          </w:tcPr>
          <w:p>
            <w:pPr>
              <w:pStyle w:val="169"/>
              <w:rPr>
                <w:szCs w:val="21"/>
              </w:rPr>
            </w:pPr>
          </w:p>
        </w:tc>
        <w:tc>
          <w:tcPr>
            <w:tcW w:w="274" w:type="pct"/>
            <w:vMerge w:val="continue"/>
            <w:tcBorders>
              <w:top w:val="single" w:color="000000" w:sz="4" w:space="0"/>
              <w:left w:val="single" w:color="000000" w:sz="4" w:space="0"/>
              <w:bottom w:val="single" w:color="000000" w:sz="4" w:space="0"/>
              <w:right w:val="single" w:color="000000" w:sz="4" w:space="0"/>
            </w:tcBorders>
            <w:vAlign w:val="center"/>
          </w:tcPr>
          <w:p>
            <w:pPr>
              <w:pStyle w:val="169"/>
              <w:rPr>
                <w:szCs w:val="21"/>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占比</w:t>
            </w:r>
          </w:p>
        </w:tc>
        <w:tc>
          <w:tcPr>
            <w:tcW w:w="280" w:type="pct"/>
            <w:tcBorders>
              <w:top w:val="single" w:color="000000" w:sz="4" w:space="0"/>
              <w:left w:val="single" w:color="000000" w:sz="4" w:space="0"/>
              <w:bottom w:val="single" w:color="000000" w:sz="4" w:space="0"/>
              <w:right w:val="single" w:color="000000" w:sz="4" w:space="0"/>
            </w:tcBorders>
          </w:tcPr>
          <w:p>
            <w:pPr>
              <w:pStyle w:val="169"/>
              <w:rPr>
                <w:szCs w:val="21"/>
              </w:rPr>
            </w:pPr>
            <w:r>
              <w:rPr>
                <w:rFonts w:hint="eastAsia"/>
                <w:szCs w:val="21"/>
              </w:rPr>
              <w:t>排放系数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产生量</w:t>
            </w:r>
            <w:r>
              <w:rPr>
                <w:szCs w:val="21"/>
              </w:rPr>
              <w:t xml:space="preserve"> t/a</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速率</w:t>
            </w:r>
            <w:r>
              <w:rPr>
                <w:szCs w:val="21"/>
              </w:rPr>
              <w:t xml:space="preserve"> kg/h</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占比</w:t>
            </w:r>
          </w:p>
        </w:tc>
        <w:tc>
          <w:tcPr>
            <w:tcW w:w="280" w:type="pct"/>
            <w:tcBorders>
              <w:top w:val="single" w:color="000000" w:sz="4" w:space="0"/>
              <w:left w:val="single" w:color="000000" w:sz="4" w:space="0"/>
              <w:bottom w:val="single" w:color="000000" w:sz="4" w:space="0"/>
              <w:right w:val="single" w:color="000000" w:sz="4" w:space="0"/>
            </w:tcBorders>
          </w:tcPr>
          <w:p>
            <w:pPr>
              <w:pStyle w:val="169"/>
              <w:rPr>
                <w:szCs w:val="21"/>
              </w:rPr>
            </w:pPr>
            <w:r>
              <w:rPr>
                <w:rFonts w:hint="eastAsia"/>
                <w:szCs w:val="21"/>
              </w:rPr>
              <w:t>排放系数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产生量</w:t>
            </w:r>
            <w:r>
              <w:rPr>
                <w:szCs w:val="21"/>
              </w:rPr>
              <w:t xml:space="preserve"> t/a</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速率</w:t>
            </w:r>
            <w:r>
              <w:rPr>
                <w:szCs w:val="21"/>
              </w:rPr>
              <w:t xml:space="preserve"> kg/h</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占比</w:t>
            </w:r>
          </w:p>
        </w:tc>
        <w:tc>
          <w:tcPr>
            <w:tcW w:w="319" w:type="pct"/>
            <w:tcBorders>
              <w:top w:val="single" w:color="000000" w:sz="4" w:space="0"/>
              <w:left w:val="single" w:color="000000" w:sz="4" w:space="0"/>
              <w:bottom w:val="single" w:color="000000" w:sz="4" w:space="0"/>
              <w:right w:val="single" w:color="000000" w:sz="4" w:space="0"/>
            </w:tcBorders>
          </w:tcPr>
          <w:p>
            <w:pPr>
              <w:pStyle w:val="169"/>
              <w:rPr>
                <w:szCs w:val="21"/>
              </w:rPr>
            </w:pPr>
            <w:r>
              <w:rPr>
                <w:rFonts w:hint="eastAsia"/>
                <w:szCs w:val="21"/>
              </w:rPr>
              <w:t>排放系数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产生量</w:t>
            </w:r>
            <w:r>
              <w:rPr>
                <w:szCs w:val="21"/>
              </w:rPr>
              <w:t xml:space="preserve"> t/a</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速率</w:t>
            </w:r>
            <w:r>
              <w:rPr>
                <w:szCs w:val="21"/>
              </w:rPr>
              <w:t xml:space="preserve"> kg/h</w:t>
            </w:r>
          </w:p>
        </w:tc>
      </w:tr>
      <w:tr>
        <w:tblPrEx>
          <w:tblCellMar>
            <w:top w:w="0" w:type="dxa"/>
            <w:left w:w="108" w:type="dxa"/>
            <w:bottom w:w="0" w:type="dxa"/>
            <w:right w:w="108" w:type="dxa"/>
          </w:tblCellMar>
        </w:tblPrEx>
        <w:trPr>
          <w:trHeight w:val="315"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电炉除尘灰（4980</w:t>
            </w:r>
            <w:r>
              <w:rPr>
                <w:szCs w:val="21"/>
              </w:rPr>
              <w:t>t/a）</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回炉利用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7992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0.628</w:t>
            </w:r>
            <w:r>
              <w:rPr>
                <w:szCs w:val="21"/>
              </w:rPr>
              <w:t>%</w:t>
            </w:r>
          </w:p>
        </w:tc>
        <w:tc>
          <w:tcPr>
            <w:tcW w:w="280" w:type="pct"/>
            <w:tcBorders>
              <w:top w:val="single" w:color="000000" w:sz="4" w:space="0"/>
              <w:left w:val="single" w:color="000000" w:sz="4" w:space="0"/>
              <w:bottom w:val="single" w:color="000000" w:sz="4" w:space="0"/>
              <w:right w:val="single" w:color="000000" w:sz="4" w:space="0"/>
            </w:tcBorders>
            <w:vAlign w:val="center"/>
          </w:tcPr>
          <w:p>
            <w:pPr>
              <w:pStyle w:val="169"/>
              <w:rPr>
                <w:szCs w:val="21"/>
              </w:rPr>
            </w:pPr>
            <w:r>
              <w:rPr>
                <w:rFonts w:hint="eastAsia"/>
                <w:szCs w:val="21"/>
              </w:rPr>
              <w:t>0.2%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0.0625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0.0078</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0.062%</w:t>
            </w:r>
          </w:p>
        </w:tc>
        <w:tc>
          <w:tcPr>
            <w:tcW w:w="280" w:type="pct"/>
            <w:tcBorders>
              <w:top w:val="single" w:color="000000" w:sz="4" w:space="0"/>
              <w:left w:val="single" w:color="000000" w:sz="4" w:space="0"/>
              <w:bottom w:val="single" w:color="000000" w:sz="4" w:space="0"/>
              <w:right w:val="single" w:color="000000" w:sz="4" w:space="0"/>
            </w:tcBorders>
            <w:vAlign w:val="center"/>
          </w:tcPr>
          <w:p>
            <w:pPr>
              <w:pStyle w:val="169"/>
              <w:rPr>
                <w:szCs w:val="21"/>
              </w:rPr>
            </w:pPr>
            <w:r>
              <w:rPr>
                <w:rFonts w:hint="eastAsia"/>
                <w:szCs w:val="21"/>
              </w:rPr>
              <w:t>0.2%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0.0062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0.0008</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0.444%</w:t>
            </w:r>
          </w:p>
        </w:tc>
        <w:tc>
          <w:tcPr>
            <w:tcW w:w="319" w:type="pct"/>
            <w:tcBorders>
              <w:top w:val="single" w:color="000000" w:sz="4" w:space="0"/>
              <w:left w:val="single" w:color="000000" w:sz="4" w:space="0"/>
              <w:bottom w:val="single" w:color="000000" w:sz="4" w:space="0"/>
              <w:right w:val="single" w:color="000000" w:sz="4" w:space="0"/>
            </w:tcBorders>
            <w:vAlign w:val="center"/>
          </w:tcPr>
          <w:p>
            <w:pPr>
              <w:pStyle w:val="169"/>
              <w:rPr>
                <w:szCs w:val="21"/>
              </w:rPr>
            </w:pPr>
            <w:r>
              <w:rPr>
                <w:rFonts w:hint="eastAsia"/>
                <w:szCs w:val="21"/>
              </w:rPr>
              <w:t>0.05%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0.00001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0.000001</w:t>
            </w:r>
          </w:p>
        </w:tc>
      </w:tr>
      <w:tr>
        <w:tblPrEx>
          <w:tblCellMar>
            <w:top w:w="0" w:type="dxa"/>
            <w:left w:w="108" w:type="dxa"/>
            <w:bottom w:w="0" w:type="dxa"/>
            <w:right w:w="108" w:type="dxa"/>
          </w:tblCellMar>
        </w:tblPrEx>
        <w:trPr>
          <w:trHeight w:val="315" w:hRule="atLeast"/>
        </w:trPr>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合计</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w:t>
            </w:r>
          </w:p>
        </w:tc>
        <w:tc>
          <w:tcPr>
            <w:tcW w:w="280" w:type="pct"/>
            <w:tcBorders>
              <w:top w:val="single" w:color="000000" w:sz="4" w:space="0"/>
              <w:left w:val="single" w:color="000000" w:sz="4" w:space="0"/>
              <w:bottom w:val="single" w:color="000000" w:sz="4" w:space="0"/>
              <w:right w:val="single" w:color="000000" w:sz="4" w:space="0"/>
            </w:tcBorders>
          </w:tcPr>
          <w:p>
            <w:pPr>
              <w:pStyle w:val="169"/>
              <w:rPr>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 xml:space="preserve">0.0625 </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0.0078</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szCs w:val="21"/>
              </w:rPr>
              <w:t>/</w:t>
            </w:r>
          </w:p>
        </w:tc>
        <w:tc>
          <w:tcPr>
            <w:tcW w:w="280" w:type="pct"/>
            <w:tcBorders>
              <w:top w:val="single" w:color="000000" w:sz="4" w:space="0"/>
              <w:left w:val="single" w:color="000000" w:sz="4" w:space="0"/>
              <w:bottom w:val="single" w:color="000000" w:sz="4" w:space="0"/>
              <w:right w:val="single" w:color="000000" w:sz="4" w:space="0"/>
            </w:tcBorders>
          </w:tcPr>
          <w:p>
            <w:pPr>
              <w:pStyle w:val="169"/>
              <w:rPr>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0.0062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0.0008</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p>
        </w:tc>
        <w:tc>
          <w:tcPr>
            <w:tcW w:w="319" w:type="pct"/>
            <w:tcBorders>
              <w:top w:val="single" w:color="000000" w:sz="4" w:space="0"/>
              <w:left w:val="single" w:color="000000" w:sz="4" w:space="0"/>
              <w:bottom w:val="single" w:color="000000" w:sz="4" w:space="0"/>
              <w:right w:val="single" w:color="000000" w:sz="4" w:space="0"/>
            </w:tcBorders>
          </w:tcPr>
          <w:p>
            <w:pPr>
              <w:pStyle w:val="169"/>
              <w:rPr>
                <w:szCs w:val="21"/>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1×10</w:t>
            </w:r>
            <w:r>
              <w:rPr>
                <w:rFonts w:hint="eastAsia"/>
                <w:szCs w:val="21"/>
                <w:vertAlign w:val="superscript"/>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9"/>
              <w:rPr>
                <w:szCs w:val="21"/>
              </w:rPr>
            </w:pPr>
            <w:r>
              <w:rPr>
                <w:rFonts w:hint="eastAsia"/>
                <w:szCs w:val="21"/>
              </w:rPr>
              <w:t>1×10</w:t>
            </w:r>
            <w:r>
              <w:rPr>
                <w:rFonts w:hint="eastAsia"/>
                <w:szCs w:val="21"/>
                <w:vertAlign w:val="superscript"/>
              </w:rPr>
              <w:t>-6</w:t>
            </w:r>
          </w:p>
        </w:tc>
      </w:tr>
    </w:tbl>
    <w:p/>
    <w:p>
      <w:r>
        <w:rPr>
          <w:rFonts w:hint="eastAsia"/>
        </w:rPr>
        <w:t>本项目废气污染物经现有“第四孔排烟+密闭罩+屋顶罩+袋式除尘器”处理，现有电炉烟气处理系统设置有3套脉冲袋式除尘器，单台处理风量为9</w:t>
      </w:r>
      <w:r>
        <w:t>00000m</w:t>
      </w:r>
      <w:r>
        <w:rPr>
          <w:vertAlign w:val="superscript"/>
        </w:rPr>
        <w:t>3</w:t>
      </w:r>
      <w:r>
        <w:t>/h</w:t>
      </w:r>
      <w:r>
        <w:rPr>
          <w:rFonts w:hint="eastAsia"/>
        </w:rPr>
        <w:t>。“第四孔排烟+上料隧道+屋顶罩”捕集率可达99%，布袋除尘器去除重金属效率取60%，则铅及其化合物有组织排放量为0.0248t/a（0.0030kg/h），镉及其化合物有组织排放量为0.0025t/a（0.0003kg/h），铬及其化合物有组织排放量为4×10</w:t>
      </w:r>
      <w:r>
        <w:rPr>
          <w:rFonts w:hint="eastAsia"/>
          <w:vertAlign w:val="superscript"/>
        </w:rPr>
        <w:t>-6</w:t>
      </w:r>
      <w:r>
        <w:rPr>
          <w:rFonts w:hint="eastAsia"/>
        </w:rPr>
        <w:t>t/a（4×10</w:t>
      </w:r>
      <w:r>
        <w:rPr>
          <w:rFonts w:hint="eastAsia"/>
          <w:vertAlign w:val="superscript"/>
        </w:rPr>
        <w:t>-7</w:t>
      </w:r>
      <w:r>
        <w:rPr>
          <w:rFonts w:hint="eastAsia"/>
        </w:rPr>
        <w:t>kg/h），</w:t>
      </w:r>
    </w:p>
    <w:p>
      <w:pPr>
        <w:ind w:firstLine="0" w:firstLineChars="0"/>
      </w:pPr>
      <w:r>
        <w:rPr>
          <w:rFonts w:hint="eastAsia"/>
        </w:rPr>
        <w:t>经3根排气筒（1#电炉除尘器排气筒高36m、2#电炉除尘器排气筒1高32m、2#电炉除尘器排气筒2高32m）高空排放。</w:t>
      </w:r>
    </w:p>
    <w:p>
      <w:r>
        <w:rPr>
          <w:rFonts w:hint="eastAsia"/>
        </w:rPr>
        <w:t>项目铅及其化合物无组织排放量为0.0006t/a，镉及其化合物无组织排放量为0.00006t/a，铬及其化合物无组织排放量为1×10</w:t>
      </w:r>
      <w:r>
        <w:rPr>
          <w:rFonts w:hint="eastAsia"/>
          <w:vertAlign w:val="superscript"/>
        </w:rPr>
        <w:t>-7</w:t>
      </w:r>
      <w:r>
        <w:rPr>
          <w:rFonts w:hint="eastAsia"/>
        </w:rPr>
        <w:t>t/a。</w:t>
      </w:r>
    </w:p>
    <w:p>
      <w:r>
        <w:rPr>
          <w:rFonts w:hint="eastAsia"/>
        </w:rPr>
        <w:t>除尘灰回炉利用废气产排情况详见专项表3.3-4。</w:t>
      </w:r>
    </w:p>
    <w:p/>
    <w:p/>
    <w:p>
      <w:pPr>
        <w:sectPr>
          <w:pgSz w:w="11906" w:h="16838"/>
          <w:pgMar w:top="1701" w:right="1531" w:bottom="1701" w:left="1531" w:header="851" w:footer="851" w:gutter="0"/>
          <w:cols w:space="720" w:num="1"/>
          <w:docGrid w:linePitch="312" w:charSpace="0"/>
        </w:sectPr>
      </w:pPr>
    </w:p>
    <w:p>
      <w:pPr>
        <w:pStyle w:val="178"/>
        <w:ind w:firstLine="420"/>
        <w:rPr>
          <w:rFonts w:eastAsia="宋体"/>
          <w:color w:val="auto"/>
          <w:szCs w:val="21"/>
        </w:rPr>
      </w:pPr>
      <w:r>
        <w:rPr>
          <w:rFonts w:hint="eastAsia" w:eastAsia="宋体"/>
          <w:color w:val="auto"/>
          <w:szCs w:val="21"/>
        </w:rPr>
        <w:t>专项</w:t>
      </w:r>
      <w:r>
        <w:rPr>
          <w:rFonts w:eastAsia="宋体"/>
          <w:color w:val="auto"/>
          <w:szCs w:val="21"/>
        </w:rPr>
        <w:t>表</w:t>
      </w:r>
      <w:r>
        <w:rPr>
          <w:rFonts w:hint="eastAsia" w:eastAsia="宋体"/>
          <w:color w:val="auto"/>
          <w:szCs w:val="21"/>
        </w:rPr>
        <w:t xml:space="preserve">3.3-4 </w:t>
      </w:r>
      <w:r>
        <w:rPr>
          <w:rFonts w:eastAsia="宋体"/>
          <w:color w:val="auto"/>
          <w:szCs w:val="21"/>
        </w:rPr>
        <w:t xml:space="preserve">   </w:t>
      </w:r>
      <w:r>
        <w:rPr>
          <w:rFonts w:hint="eastAsia" w:eastAsia="宋体"/>
          <w:color w:val="auto"/>
          <w:szCs w:val="21"/>
        </w:rPr>
        <w:t>除尘灰回炉利用</w:t>
      </w:r>
      <w:r>
        <w:rPr>
          <w:rFonts w:eastAsia="宋体"/>
          <w:color w:val="auto"/>
          <w:szCs w:val="21"/>
        </w:rPr>
        <w:t>废气产排及防治措施情况一览表</w:t>
      </w:r>
    </w:p>
    <w:tbl>
      <w:tblPr>
        <w:tblStyle w:val="8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10"/>
        <w:gridCol w:w="874"/>
        <w:gridCol w:w="1281"/>
        <w:gridCol w:w="1245"/>
        <w:gridCol w:w="1275"/>
        <w:gridCol w:w="1278"/>
        <w:gridCol w:w="1133"/>
        <w:gridCol w:w="1188"/>
        <w:gridCol w:w="1081"/>
        <w:gridCol w:w="860"/>
        <w:gridCol w:w="688"/>
        <w:gridCol w:w="9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63" w:type="pct"/>
            <w:vAlign w:val="center"/>
          </w:tcPr>
          <w:p>
            <w:pPr>
              <w:pStyle w:val="186"/>
            </w:pPr>
            <w:r>
              <w:t>污染</w:t>
            </w:r>
            <w:r>
              <w:rPr>
                <w:rFonts w:hint="eastAsia"/>
              </w:rPr>
              <w:t>物</w:t>
            </w:r>
            <w:r>
              <w:t>名称</w:t>
            </w:r>
          </w:p>
        </w:tc>
        <w:tc>
          <w:tcPr>
            <w:tcW w:w="320" w:type="pct"/>
            <w:vAlign w:val="center"/>
          </w:tcPr>
          <w:p>
            <w:pPr>
              <w:pStyle w:val="186"/>
            </w:pPr>
            <w:r>
              <w:t>烟气量</w:t>
            </w:r>
          </w:p>
          <w:p>
            <w:pPr>
              <w:pStyle w:val="186"/>
            </w:pPr>
            <w:r>
              <w:t>Nm</w:t>
            </w:r>
            <w:r>
              <w:rPr>
                <w:vertAlign w:val="superscript"/>
              </w:rPr>
              <w:t>3</w:t>
            </w:r>
            <w:r>
              <w:t>/h</w:t>
            </w:r>
          </w:p>
        </w:tc>
        <w:tc>
          <w:tcPr>
            <w:tcW w:w="469" w:type="pct"/>
            <w:vAlign w:val="center"/>
          </w:tcPr>
          <w:p>
            <w:pPr>
              <w:pStyle w:val="186"/>
            </w:pPr>
            <w:r>
              <w:t>产生量t/a</w:t>
            </w:r>
          </w:p>
        </w:tc>
        <w:tc>
          <w:tcPr>
            <w:tcW w:w="456" w:type="pct"/>
            <w:vAlign w:val="center"/>
          </w:tcPr>
          <w:p>
            <w:pPr>
              <w:pStyle w:val="186"/>
            </w:pPr>
            <w:r>
              <w:t>产生速率kg/h</w:t>
            </w:r>
          </w:p>
        </w:tc>
        <w:tc>
          <w:tcPr>
            <w:tcW w:w="467" w:type="pct"/>
            <w:vAlign w:val="center"/>
          </w:tcPr>
          <w:p>
            <w:pPr>
              <w:pStyle w:val="186"/>
            </w:pPr>
            <w:r>
              <w:t>产生浓度mg/m</w:t>
            </w:r>
            <w:r>
              <w:rPr>
                <w:vertAlign w:val="superscript"/>
              </w:rPr>
              <w:t>3</w:t>
            </w:r>
          </w:p>
        </w:tc>
        <w:tc>
          <w:tcPr>
            <w:tcW w:w="468" w:type="pct"/>
            <w:vAlign w:val="center"/>
          </w:tcPr>
          <w:p>
            <w:pPr>
              <w:pStyle w:val="186"/>
            </w:pPr>
            <w:r>
              <w:t>治理设施</w:t>
            </w:r>
          </w:p>
        </w:tc>
        <w:tc>
          <w:tcPr>
            <w:tcW w:w="415" w:type="pct"/>
            <w:vAlign w:val="center"/>
          </w:tcPr>
          <w:p>
            <w:pPr>
              <w:pStyle w:val="186"/>
            </w:pPr>
            <w:r>
              <w:t>排放量t/a</w:t>
            </w:r>
          </w:p>
        </w:tc>
        <w:tc>
          <w:tcPr>
            <w:tcW w:w="435" w:type="pct"/>
            <w:vAlign w:val="center"/>
          </w:tcPr>
          <w:p>
            <w:pPr>
              <w:pStyle w:val="186"/>
            </w:pPr>
            <w:r>
              <w:t>排放速率kg/h</w:t>
            </w:r>
          </w:p>
        </w:tc>
        <w:tc>
          <w:tcPr>
            <w:tcW w:w="396" w:type="pct"/>
            <w:vAlign w:val="center"/>
          </w:tcPr>
          <w:p>
            <w:pPr>
              <w:pStyle w:val="186"/>
            </w:pPr>
            <w:r>
              <w:t>排放浓度mg/m</w:t>
            </w:r>
            <w:r>
              <w:rPr>
                <w:vertAlign w:val="superscript"/>
              </w:rPr>
              <w:t>3</w:t>
            </w:r>
          </w:p>
        </w:tc>
        <w:tc>
          <w:tcPr>
            <w:tcW w:w="315" w:type="pct"/>
            <w:vAlign w:val="center"/>
          </w:tcPr>
          <w:p>
            <w:pPr>
              <w:pStyle w:val="186"/>
            </w:pPr>
            <w:r>
              <w:t>排气筒编号</w:t>
            </w:r>
          </w:p>
        </w:tc>
        <w:tc>
          <w:tcPr>
            <w:tcW w:w="252" w:type="pct"/>
            <w:vAlign w:val="center"/>
          </w:tcPr>
          <w:p>
            <w:pPr>
              <w:pStyle w:val="186"/>
            </w:pPr>
            <w:r>
              <w:t>排气筒高度m</w:t>
            </w:r>
          </w:p>
        </w:tc>
        <w:tc>
          <w:tcPr>
            <w:tcW w:w="344" w:type="pct"/>
            <w:vAlign w:val="center"/>
          </w:tcPr>
          <w:p>
            <w:pPr>
              <w:pStyle w:val="186"/>
            </w:pPr>
            <w:r>
              <w:t>排气筒内径m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663" w:type="pct"/>
            <w:vAlign w:val="center"/>
          </w:tcPr>
          <w:p>
            <w:pPr>
              <w:pStyle w:val="186"/>
            </w:pPr>
            <w:r>
              <w:rPr>
                <w:rFonts w:hint="eastAsia"/>
              </w:rPr>
              <w:t>铅及其化合物</w:t>
            </w:r>
          </w:p>
        </w:tc>
        <w:tc>
          <w:tcPr>
            <w:tcW w:w="320" w:type="pct"/>
            <w:vMerge w:val="restart"/>
            <w:vAlign w:val="center"/>
          </w:tcPr>
          <w:p>
            <w:pPr>
              <w:pStyle w:val="186"/>
            </w:pPr>
            <w:r>
              <w:rPr>
                <w:rFonts w:hint="eastAsia"/>
              </w:rPr>
              <w:t>900000</w:t>
            </w:r>
          </w:p>
        </w:tc>
        <w:tc>
          <w:tcPr>
            <w:tcW w:w="469" w:type="pct"/>
            <w:vAlign w:val="center"/>
          </w:tcPr>
          <w:p>
            <w:pPr>
              <w:pStyle w:val="186"/>
            </w:pPr>
            <w:r>
              <w:rPr>
                <w:rFonts w:hint="eastAsia"/>
              </w:rPr>
              <w:t>0.0310</w:t>
            </w:r>
          </w:p>
        </w:tc>
        <w:tc>
          <w:tcPr>
            <w:tcW w:w="456" w:type="pct"/>
            <w:vAlign w:val="center"/>
          </w:tcPr>
          <w:p>
            <w:pPr>
              <w:pStyle w:val="186"/>
            </w:pPr>
            <w:r>
              <w:rPr>
                <w:rFonts w:hint="eastAsia"/>
              </w:rPr>
              <w:t>0.0039</w:t>
            </w:r>
          </w:p>
        </w:tc>
        <w:tc>
          <w:tcPr>
            <w:tcW w:w="467" w:type="pct"/>
            <w:vAlign w:val="center"/>
          </w:tcPr>
          <w:p>
            <w:pPr>
              <w:pStyle w:val="186"/>
            </w:pPr>
            <w:r>
              <w:rPr>
                <w:rFonts w:hint="eastAsia"/>
              </w:rPr>
              <w:t>0.0043</w:t>
            </w:r>
          </w:p>
        </w:tc>
        <w:tc>
          <w:tcPr>
            <w:tcW w:w="468" w:type="pct"/>
            <w:vMerge w:val="restart"/>
            <w:vAlign w:val="center"/>
          </w:tcPr>
          <w:p>
            <w:pPr>
              <w:pStyle w:val="186"/>
            </w:pPr>
            <w:r>
              <w:rPr>
                <w:rFonts w:hint="eastAsia"/>
              </w:rPr>
              <w:t>布袋除尘器，去除效率60%</w:t>
            </w:r>
          </w:p>
        </w:tc>
        <w:tc>
          <w:tcPr>
            <w:tcW w:w="415" w:type="pct"/>
            <w:vAlign w:val="center"/>
          </w:tcPr>
          <w:p>
            <w:pPr>
              <w:pStyle w:val="186"/>
            </w:pPr>
            <w:r>
              <w:rPr>
                <w:rFonts w:hint="eastAsia"/>
              </w:rPr>
              <w:t>0.0124</w:t>
            </w:r>
          </w:p>
        </w:tc>
        <w:tc>
          <w:tcPr>
            <w:tcW w:w="435" w:type="pct"/>
            <w:vAlign w:val="center"/>
          </w:tcPr>
          <w:p>
            <w:pPr>
              <w:pStyle w:val="186"/>
            </w:pPr>
            <w:r>
              <w:rPr>
                <w:rFonts w:hint="eastAsia"/>
              </w:rPr>
              <w:t>0.0016</w:t>
            </w:r>
          </w:p>
        </w:tc>
        <w:tc>
          <w:tcPr>
            <w:tcW w:w="396" w:type="pct"/>
            <w:vAlign w:val="center"/>
          </w:tcPr>
          <w:p>
            <w:pPr>
              <w:pStyle w:val="186"/>
            </w:pPr>
            <w:r>
              <w:rPr>
                <w:rFonts w:hint="eastAsia"/>
              </w:rPr>
              <w:t>0.0017</w:t>
            </w:r>
          </w:p>
        </w:tc>
        <w:tc>
          <w:tcPr>
            <w:tcW w:w="315" w:type="pct"/>
            <w:vMerge w:val="restart"/>
            <w:vAlign w:val="center"/>
          </w:tcPr>
          <w:p>
            <w:pPr>
              <w:pStyle w:val="186"/>
            </w:pPr>
            <w:r>
              <w:rPr>
                <w:rFonts w:hint="eastAsia"/>
              </w:rPr>
              <w:t>1#电炉排气筒</w:t>
            </w:r>
          </w:p>
        </w:tc>
        <w:tc>
          <w:tcPr>
            <w:tcW w:w="252" w:type="pct"/>
            <w:vMerge w:val="restart"/>
            <w:vAlign w:val="center"/>
          </w:tcPr>
          <w:p>
            <w:pPr>
              <w:pStyle w:val="186"/>
            </w:pPr>
            <w:r>
              <w:rPr>
                <w:rFonts w:hint="eastAsia"/>
              </w:rPr>
              <w:t>36</w:t>
            </w:r>
          </w:p>
        </w:tc>
        <w:tc>
          <w:tcPr>
            <w:tcW w:w="344" w:type="pct"/>
            <w:vMerge w:val="restart"/>
            <w:vAlign w:val="center"/>
          </w:tcPr>
          <w:p>
            <w:pPr>
              <w:pStyle w:val="186"/>
            </w:pPr>
            <w:r>
              <w:rPr>
                <w:rFonts w:hint="eastAsia"/>
              </w:rPr>
              <w:t>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663" w:type="pct"/>
            <w:vAlign w:val="center"/>
          </w:tcPr>
          <w:p>
            <w:pPr>
              <w:pStyle w:val="186"/>
            </w:pPr>
            <w:r>
              <w:rPr>
                <w:rFonts w:hint="eastAsia"/>
              </w:rPr>
              <w:t>镉及其化合物</w:t>
            </w:r>
          </w:p>
        </w:tc>
        <w:tc>
          <w:tcPr>
            <w:tcW w:w="320" w:type="pct"/>
            <w:vMerge w:val="continue"/>
            <w:vAlign w:val="center"/>
          </w:tcPr>
          <w:p>
            <w:pPr>
              <w:pStyle w:val="186"/>
            </w:pPr>
          </w:p>
        </w:tc>
        <w:tc>
          <w:tcPr>
            <w:tcW w:w="469" w:type="pct"/>
            <w:vAlign w:val="center"/>
          </w:tcPr>
          <w:p>
            <w:pPr>
              <w:pStyle w:val="186"/>
            </w:pPr>
            <w:r>
              <w:rPr>
                <w:rFonts w:hint="eastAsia"/>
              </w:rPr>
              <w:t>0.0030</w:t>
            </w:r>
          </w:p>
        </w:tc>
        <w:tc>
          <w:tcPr>
            <w:tcW w:w="456" w:type="pct"/>
            <w:vAlign w:val="center"/>
          </w:tcPr>
          <w:p>
            <w:pPr>
              <w:pStyle w:val="186"/>
            </w:pPr>
            <w:r>
              <w:rPr>
                <w:rFonts w:hint="eastAsia"/>
              </w:rPr>
              <w:t>0.0004</w:t>
            </w:r>
          </w:p>
        </w:tc>
        <w:tc>
          <w:tcPr>
            <w:tcW w:w="467" w:type="pct"/>
            <w:vAlign w:val="center"/>
          </w:tcPr>
          <w:p>
            <w:pPr>
              <w:pStyle w:val="186"/>
            </w:pPr>
            <w:r>
              <w:rPr>
                <w:rFonts w:hint="eastAsia"/>
              </w:rPr>
              <w:t>0.0004</w:t>
            </w:r>
          </w:p>
        </w:tc>
        <w:tc>
          <w:tcPr>
            <w:tcW w:w="468" w:type="pct"/>
            <w:vMerge w:val="continue"/>
            <w:vAlign w:val="center"/>
          </w:tcPr>
          <w:p>
            <w:pPr>
              <w:pStyle w:val="186"/>
            </w:pPr>
          </w:p>
        </w:tc>
        <w:tc>
          <w:tcPr>
            <w:tcW w:w="415" w:type="pct"/>
            <w:vAlign w:val="center"/>
          </w:tcPr>
          <w:p>
            <w:pPr>
              <w:pStyle w:val="186"/>
            </w:pPr>
            <w:r>
              <w:rPr>
                <w:rFonts w:hint="eastAsia"/>
              </w:rPr>
              <w:t>0.0012</w:t>
            </w:r>
          </w:p>
        </w:tc>
        <w:tc>
          <w:tcPr>
            <w:tcW w:w="435" w:type="pct"/>
            <w:vAlign w:val="center"/>
          </w:tcPr>
          <w:p>
            <w:pPr>
              <w:pStyle w:val="186"/>
            </w:pPr>
            <w:r>
              <w:rPr>
                <w:rFonts w:hint="eastAsia"/>
              </w:rPr>
              <w:t>0.0002</w:t>
            </w:r>
          </w:p>
        </w:tc>
        <w:tc>
          <w:tcPr>
            <w:tcW w:w="396" w:type="pct"/>
            <w:vAlign w:val="center"/>
          </w:tcPr>
          <w:p>
            <w:pPr>
              <w:pStyle w:val="186"/>
            </w:pPr>
            <w:r>
              <w:rPr>
                <w:rFonts w:hint="eastAsia"/>
              </w:rPr>
              <w:t>0.0002</w:t>
            </w:r>
          </w:p>
        </w:tc>
        <w:tc>
          <w:tcPr>
            <w:tcW w:w="315" w:type="pct"/>
            <w:vMerge w:val="continue"/>
            <w:vAlign w:val="center"/>
          </w:tcPr>
          <w:p>
            <w:pPr>
              <w:pStyle w:val="186"/>
            </w:pPr>
          </w:p>
        </w:tc>
        <w:tc>
          <w:tcPr>
            <w:tcW w:w="252" w:type="pct"/>
            <w:vMerge w:val="continue"/>
            <w:vAlign w:val="center"/>
          </w:tcPr>
          <w:p>
            <w:pPr>
              <w:pStyle w:val="186"/>
            </w:pPr>
          </w:p>
        </w:tc>
        <w:tc>
          <w:tcPr>
            <w:tcW w:w="344" w:type="pct"/>
            <w:vMerge w:val="continue"/>
            <w:vAlign w:val="center"/>
          </w:tcPr>
          <w:p>
            <w:pPr>
              <w:pStyle w:val="18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663" w:type="pct"/>
            <w:vAlign w:val="center"/>
          </w:tcPr>
          <w:p>
            <w:pPr>
              <w:pStyle w:val="186"/>
            </w:pPr>
            <w:r>
              <w:rPr>
                <w:rFonts w:hint="eastAsia"/>
              </w:rPr>
              <w:t>铅+镉及其化合物</w:t>
            </w:r>
          </w:p>
        </w:tc>
        <w:tc>
          <w:tcPr>
            <w:tcW w:w="320" w:type="pct"/>
            <w:vMerge w:val="continue"/>
            <w:vAlign w:val="center"/>
          </w:tcPr>
          <w:p>
            <w:pPr>
              <w:pStyle w:val="186"/>
            </w:pPr>
          </w:p>
        </w:tc>
        <w:tc>
          <w:tcPr>
            <w:tcW w:w="469" w:type="pct"/>
            <w:vAlign w:val="center"/>
          </w:tcPr>
          <w:p>
            <w:pPr>
              <w:pStyle w:val="186"/>
            </w:pPr>
            <w:r>
              <w:rPr>
                <w:rFonts w:hint="eastAsia"/>
              </w:rPr>
              <w:t>0.0340</w:t>
            </w:r>
          </w:p>
        </w:tc>
        <w:tc>
          <w:tcPr>
            <w:tcW w:w="456" w:type="pct"/>
            <w:vAlign w:val="center"/>
          </w:tcPr>
          <w:p>
            <w:pPr>
              <w:pStyle w:val="186"/>
            </w:pPr>
            <w:r>
              <w:rPr>
                <w:rFonts w:hint="eastAsia"/>
              </w:rPr>
              <w:t>0.0043</w:t>
            </w:r>
          </w:p>
        </w:tc>
        <w:tc>
          <w:tcPr>
            <w:tcW w:w="467" w:type="pct"/>
            <w:vAlign w:val="center"/>
          </w:tcPr>
          <w:p>
            <w:pPr>
              <w:pStyle w:val="186"/>
            </w:pPr>
            <w:r>
              <w:rPr>
                <w:rFonts w:hint="eastAsia"/>
              </w:rPr>
              <w:t>0.0047</w:t>
            </w:r>
          </w:p>
        </w:tc>
        <w:tc>
          <w:tcPr>
            <w:tcW w:w="468" w:type="pct"/>
            <w:vMerge w:val="continue"/>
            <w:vAlign w:val="center"/>
          </w:tcPr>
          <w:p>
            <w:pPr>
              <w:pStyle w:val="186"/>
            </w:pPr>
          </w:p>
        </w:tc>
        <w:tc>
          <w:tcPr>
            <w:tcW w:w="415" w:type="pct"/>
            <w:vAlign w:val="center"/>
          </w:tcPr>
          <w:p>
            <w:pPr>
              <w:pStyle w:val="186"/>
            </w:pPr>
            <w:r>
              <w:rPr>
                <w:rFonts w:hint="eastAsia"/>
              </w:rPr>
              <w:t>0.0136</w:t>
            </w:r>
          </w:p>
        </w:tc>
        <w:tc>
          <w:tcPr>
            <w:tcW w:w="435" w:type="pct"/>
            <w:vAlign w:val="center"/>
          </w:tcPr>
          <w:p>
            <w:pPr>
              <w:pStyle w:val="186"/>
            </w:pPr>
            <w:r>
              <w:rPr>
                <w:rFonts w:hint="eastAsia"/>
              </w:rPr>
              <w:t>0.0018</w:t>
            </w:r>
          </w:p>
        </w:tc>
        <w:tc>
          <w:tcPr>
            <w:tcW w:w="396" w:type="pct"/>
            <w:vAlign w:val="center"/>
          </w:tcPr>
          <w:p>
            <w:pPr>
              <w:pStyle w:val="186"/>
            </w:pPr>
            <w:r>
              <w:rPr>
                <w:rFonts w:hint="eastAsia"/>
              </w:rPr>
              <w:t>0.0019</w:t>
            </w:r>
          </w:p>
        </w:tc>
        <w:tc>
          <w:tcPr>
            <w:tcW w:w="315" w:type="pct"/>
            <w:vMerge w:val="continue"/>
            <w:vAlign w:val="center"/>
          </w:tcPr>
          <w:p>
            <w:pPr>
              <w:pStyle w:val="186"/>
            </w:pPr>
          </w:p>
        </w:tc>
        <w:tc>
          <w:tcPr>
            <w:tcW w:w="252" w:type="pct"/>
            <w:vMerge w:val="continue"/>
            <w:vAlign w:val="center"/>
          </w:tcPr>
          <w:p>
            <w:pPr>
              <w:pStyle w:val="186"/>
            </w:pPr>
          </w:p>
        </w:tc>
        <w:tc>
          <w:tcPr>
            <w:tcW w:w="344" w:type="pct"/>
            <w:vMerge w:val="continue"/>
            <w:vAlign w:val="center"/>
          </w:tcPr>
          <w:p>
            <w:pPr>
              <w:pStyle w:val="18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 w:hRule="atLeast"/>
          <w:jc w:val="center"/>
        </w:trPr>
        <w:tc>
          <w:tcPr>
            <w:tcW w:w="663" w:type="pct"/>
            <w:vAlign w:val="center"/>
          </w:tcPr>
          <w:p>
            <w:pPr>
              <w:pStyle w:val="186"/>
            </w:pPr>
            <w:r>
              <w:rPr>
                <w:rFonts w:hint="eastAsia"/>
              </w:rPr>
              <w:t>铬及其化合物</w:t>
            </w:r>
          </w:p>
        </w:tc>
        <w:tc>
          <w:tcPr>
            <w:tcW w:w="320" w:type="pct"/>
            <w:vMerge w:val="continue"/>
            <w:vAlign w:val="center"/>
          </w:tcPr>
          <w:p>
            <w:pPr>
              <w:pStyle w:val="186"/>
            </w:pPr>
          </w:p>
        </w:tc>
        <w:tc>
          <w:tcPr>
            <w:tcW w:w="469" w:type="pct"/>
            <w:vAlign w:val="center"/>
          </w:tcPr>
          <w:p>
            <w:pPr>
              <w:pStyle w:val="186"/>
            </w:pPr>
            <w:r>
              <w:rPr>
                <w:rFonts w:hint="eastAsia"/>
              </w:rPr>
              <w:t>5×10</w:t>
            </w:r>
            <w:r>
              <w:rPr>
                <w:rFonts w:hint="eastAsia"/>
                <w:vertAlign w:val="superscript"/>
              </w:rPr>
              <w:t>-6</w:t>
            </w:r>
          </w:p>
        </w:tc>
        <w:tc>
          <w:tcPr>
            <w:tcW w:w="456" w:type="pct"/>
            <w:vAlign w:val="center"/>
          </w:tcPr>
          <w:p>
            <w:pPr>
              <w:pStyle w:val="186"/>
            </w:pPr>
            <w:r>
              <w:rPr>
                <w:rFonts w:hint="eastAsia"/>
              </w:rPr>
              <w:t>6.26×10</w:t>
            </w:r>
            <w:r>
              <w:rPr>
                <w:rFonts w:hint="eastAsia"/>
                <w:vertAlign w:val="superscript"/>
              </w:rPr>
              <w:t>-7</w:t>
            </w:r>
          </w:p>
        </w:tc>
        <w:tc>
          <w:tcPr>
            <w:tcW w:w="467" w:type="pct"/>
            <w:vAlign w:val="center"/>
          </w:tcPr>
          <w:p>
            <w:pPr>
              <w:pStyle w:val="186"/>
            </w:pPr>
            <w:r>
              <w:rPr>
                <w:rFonts w:hint="eastAsia"/>
              </w:rPr>
              <w:t>6.96×10</w:t>
            </w:r>
            <w:r>
              <w:rPr>
                <w:rFonts w:hint="eastAsia"/>
                <w:vertAlign w:val="superscript"/>
              </w:rPr>
              <w:t>-7</w:t>
            </w:r>
          </w:p>
        </w:tc>
        <w:tc>
          <w:tcPr>
            <w:tcW w:w="468" w:type="pct"/>
            <w:vMerge w:val="continue"/>
            <w:vAlign w:val="center"/>
          </w:tcPr>
          <w:p>
            <w:pPr>
              <w:pStyle w:val="186"/>
            </w:pPr>
          </w:p>
        </w:tc>
        <w:tc>
          <w:tcPr>
            <w:tcW w:w="415" w:type="pct"/>
            <w:vAlign w:val="center"/>
          </w:tcPr>
          <w:p>
            <w:pPr>
              <w:pStyle w:val="186"/>
            </w:pPr>
            <w:r>
              <w:rPr>
                <w:rFonts w:hint="eastAsia"/>
              </w:rPr>
              <w:t>2×10</w:t>
            </w:r>
            <w:r>
              <w:rPr>
                <w:rFonts w:hint="eastAsia"/>
                <w:vertAlign w:val="superscript"/>
              </w:rPr>
              <w:t>-6</w:t>
            </w:r>
          </w:p>
        </w:tc>
        <w:tc>
          <w:tcPr>
            <w:tcW w:w="435" w:type="pct"/>
            <w:vAlign w:val="center"/>
          </w:tcPr>
          <w:p>
            <w:pPr>
              <w:pStyle w:val="186"/>
            </w:pPr>
            <w:r>
              <w:rPr>
                <w:rFonts w:hint="eastAsia"/>
              </w:rPr>
              <w:t>2.5×10</w:t>
            </w:r>
            <w:r>
              <w:rPr>
                <w:rFonts w:hint="eastAsia"/>
                <w:vertAlign w:val="superscript"/>
              </w:rPr>
              <w:t>-7</w:t>
            </w:r>
          </w:p>
        </w:tc>
        <w:tc>
          <w:tcPr>
            <w:tcW w:w="396" w:type="pct"/>
            <w:vAlign w:val="center"/>
          </w:tcPr>
          <w:p>
            <w:pPr>
              <w:pStyle w:val="186"/>
            </w:pPr>
            <w:r>
              <w:rPr>
                <w:rFonts w:hint="eastAsia"/>
              </w:rPr>
              <w:t>2.8×10</w:t>
            </w:r>
            <w:r>
              <w:rPr>
                <w:rFonts w:hint="eastAsia"/>
                <w:vertAlign w:val="superscript"/>
              </w:rPr>
              <w:t>-7</w:t>
            </w:r>
          </w:p>
        </w:tc>
        <w:tc>
          <w:tcPr>
            <w:tcW w:w="315" w:type="pct"/>
            <w:vMerge w:val="continue"/>
            <w:vAlign w:val="center"/>
          </w:tcPr>
          <w:p>
            <w:pPr>
              <w:pStyle w:val="186"/>
            </w:pPr>
          </w:p>
        </w:tc>
        <w:tc>
          <w:tcPr>
            <w:tcW w:w="252" w:type="pct"/>
            <w:vMerge w:val="continue"/>
            <w:vAlign w:val="center"/>
          </w:tcPr>
          <w:p>
            <w:pPr>
              <w:pStyle w:val="186"/>
            </w:pPr>
          </w:p>
        </w:tc>
        <w:tc>
          <w:tcPr>
            <w:tcW w:w="344" w:type="pct"/>
            <w:vMerge w:val="continue"/>
            <w:vAlign w:val="center"/>
          </w:tcPr>
          <w:p>
            <w:pPr>
              <w:pStyle w:val="18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663" w:type="pct"/>
            <w:vAlign w:val="center"/>
          </w:tcPr>
          <w:p>
            <w:pPr>
              <w:pStyle w:val="186"/>
            </w:pPr>
            <w:r>
              <w:rPr>
                <w:rFonts w:hint="eastAsia"/>
              </w:rPr>
              <w:t>铅及其化合物</w:t>
            </w:r>
          </w:p>
        </w:tc>
        <w:tc>
          <w:tcPr>
            <w:tcW w:w="320" w:type="pct"/>
            <w:vMerge w:val="restart"/>
            <w:vAlign w:val="center"/>
          </w:tcPr>
          <w:p>
            <w:pPr>
              <w:pStyle w:val="186"/>
            </w:pPr>
            <w:r>
              <w:rPr>
                <w:rFonts w:hint="eastAsia"/>
              </w:rPr>
              <w:t>900000</w:t>
            </w:r>
          </w:p>
        </w:tc>
        <w:tc>
          <w:tcPr>
            <w:tcW w:w="469" w:type="pct"/>
            <w:vAlign w:val="center"/>
          </w:tcPr>
          <w:p>
            <w:pPr>
              <w:pStyle w:val="186"/>
            </w:pPr>
            <w:r>
              <w:rPr>
                <w:rFonts w:hint="eastAsia"/>
              </w:rPr>
              <w:t>0.0155</w:t>
            </w:r>
          </w:p>
        </w:tc>
        <w:tc>
          <w:tcPr>
            <w:tcW w:w="456" w:type="pct"/>
            <w:vAlign w:val="center"/>
          </w:tcPr>
          <w:p>
            <w:pPr>
              <w:pStyle w:val="186"/>
            </w:pPr>
            <w:r>
              <w:rPr>
                <w:rFonts w:hint="eastAsia"/>
              </w:rPr>
              <w:t>0.0020</w:t>
            </w:r>
          </w:p>
        </w:tc>
        <w:tc>
          <w:tcPr>
            <w:tcW w:w="467" w:type="pct"/>
            <w:vAlign w:val="center"/>
          </w:tcPr>
          <w:p>
            <w:pPr>
              <w:pStyle w:val="186"/>
            </w:pPr>
            <w:r>
              <w:rPr>
                <w:rFonts w:hint="eastAsia"/>
              </w:rPr>
              <w:t>0.0022</w:t>
            </w:r>
          </w:p>
        </w:tc>
        <w:tc>
          <w:tcPr>
            <w:tcW w:w="468" w:type="pct"/>
            <w:vMerge w:val="restart"/>
            <w:vAlign w:val="center"/>
          </w:tcPr>
          <w:p>
            <w:pPr>
              <w:pStyle w:val="186"/>
            </w:pPr>
            <w:r>
              <w:rPr>
                <w:rFonts w:hint="eastAsia"/>
              </w:rPr>
              <w:t>布袋除尘器，去除效率60%</w:t>
            </w:r>
          </w:p>
        </w:tc>
        <w:tc>
          <w:tcPr>
            <w:tcW w:w="415" w:type="pct"/>
            <w:vAlign w:val="center"/>
          </w:tcPr>
          <w:p>
            <w:pPr>
              <w:pStyle w:val="186"/>
            </w:pPr>
            <w:r>
              <w:rPr>
                <w:rFonts w:hint="eastAsia"/>
              </w:rPr>
              <w:t>0.0062</w:t>
            </w:r>
          </w:p>
        </w:tc>
        <w:tc>
          <w:tcPr>
            <w:tcW w:w="435" w:type="pct"/>
            <w:vAlign w:val="center"/>
          </w:tcPr>
          <w:p>
            <w:pPr>
              <w:pStyle w:val="186"/>
            </w:pPr>
            <w:r>
              <w:rPr>
                <w:rFonts w:hint="eastAsia"/>
              </w:rPr>
              <w:t>0.0008</w:t>
            </w:r>
          </w:p>
        </w:tc>
        <w:tc>
          <w:tcPr>
            <w:tcW w:w="396" w:type="pct"/>
            <w:vAlign w:val="center"/>
          </w:tcPr>
          <w:p>
            <w:pPr>
              <w:pStyle w:val="186"/>
            </w:pPr>
            <w:r>
              <w:rPr>
                <w:rFonts w:hint="eastAsia"/>
              </w:rPr>
              <w:t>0.0009</w:t>
            </w:r>
          </w:p>
        </w:tc>
        <w:tc>
          <w:tcPr>
            <w:tcW w:w="315" w:type="pct"/>
            <w:vMerge w:val="restart"/>
            <w:vAlign w:val="center"/>
          </w:tcPr>
          <w:p>
            <w:pPr>
              <w:pStyle w:val="186"/>
            </w:pPr>
            <w:r>
              <w:rPr>
                <w:rFonts w:hint="eastAsia"/>
              </w:rPr>
              <w:t>2#电炉排气筒1</w:t>
            </w:r>
          </w:p>
        </w:tc>
        <w:tc>
          <w:tcPr>
            <w:tcW w:w="252" w:type="pct"/>
            <w:vMerge w:val="restart"/>
            <w:vAlign w:val="center"/>
          </w:tcPr>
          <w:p>
            <w:pPr>
              <w:pStyle w:val="186"/>
            </w:pPr>
            <w:r>
              <w:rPr>
                <w:rFonts w:hint="eastAsia"/>
              </w:rPr>
              <w:t>32</w:t>
            </w:r>
          </w:p>
        </w:tc>
        <w:tc>
          <w:tcPr>
            <w:tcW w:w="344" w:type="pct"/>
            <w:vMerge w:val="restart"/>
            <w:vAlign w:val="center"/>
          </w:tcPr>
          <w:p>
            <w:pPr>
              <w:pStyle w:val="186"/>
            </w:pPr>
            <w:r>
              <w:rPr>
                <w:rFonts w:hint="eastAsia"/>
              </w:rPr>
              <w:t>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663" w:type="pct"/>
            <w:vAlign w:val="center"/>
          </w:tcPr>
          <w:p>
            <w:pPr>
              <w:pStyle w:val="186"/>
            </w:pPr>
            <w:r>
              <w:rPr>
                <w:rFonts w:hint="eastAsia"/>
              </w:rPr>
              <w:t>镉及其化合物</w:t>
            </w:r>
          </w:p>
        </w:tc>
        <w:tc>
          <w:tcPr>
            <w:tcW w:w="320" w:type="pct"/>
            <w:vMerge w:val="continue"/>
            <w:vAlign w:val="center"/>
          </w:tcPr>
          <w:p>
            <w:pPr>
              <w:pStyle w:val="186"/>
            </w:pPr>
          </w:p>
        </w:tc>
        <w:tc>
          <w:tcPr>
            <w:tcW w:w="469" w:type="pct"/>
            <w:vAlign w:val="center"/>
          </w:tcPr>
          <w:p>
            <w:pPr>
              <w:pStyle w:val="186"/>
            </w:pPr>
            <w:r>
              <w:rPr>
                <w:rFonts w:hint="eastAsia"/>
              </w:rPr>
              <w:t>0.0015</w:t>
            </w:r>
          </w:p>
        </w:tc>
        <w:tc>
          <w:tcPr>
            <w:tcW w:w="456" w:type="pct"/>
            <w:vAlign w:val="center"/>
          </w:tcPr>
          <w:p>
            <w:pPr>
              <w:pStyle w:val="186"/>
            </w:pPr>
            <w:r>
              <w:rPr>
                <w:rFonts w:hint="eastAsia"/>
              </w:rPr>
              <w:t>0.0002</w:t>
            </w:r>
          </w:p>
        </w:tc>
        <w:tc>
          <w:tcPr>
            <w:tcW w:w="467" w:type="pct"/>
            <w:vAlign w:val="center"/>
          </w:tcPr>
          <w:p>
            <w:pPr>
              <w:pStyle w:val="186"/>
            </w:pPr>
            <w:r>
              <w:rPr>
                <w:rFonts w:hint="eastAsia"/>
              </w:rPr>
              <w:t>0.0002</w:t>
            </w:r>
          </w:p>
        </w:tc>
        <w:tc>
          <w:tcPr>
            <w:tcW w:w="468" w:type="pct"/>
            <w:vMerge w:val="continue"/>
            <w:vAlign w:val="center"/>
          </w:tcPr>
          <w:p>
            <w:pPr>
              <w:pStyle w:val="186"/>
            </w:pPr>
          </w:p>
        </w:tc>
        <w:tc>
          <w:tcPr>
            <w:tcW w:w="415" w:type="pct"/>
            <w:vAlign w:val="center"/>
          </w:tcPr>
          <w:p>
            <w:pPr>
              <w:pStyle w:val="186"/>
            </w:pPr>
            <w:r>
              <w:rPr>
                <w:rFonts w:hint="eastAsia"/>
              </w:rPr>
              <w:t>0.0006</w:t>
            </w:r>
          </w:p>
        </w:tc>
        <w:tc>
          <w:tcPr>
            <w:tcW w:w="435" w:type="pct"/>
            <w:vAlign w:val="center"/>
          </w:tcPr>
          <w:p>
            <w:pPr>
              <w:pStyle w:val="186"/>
            </w:pPr>
            <w:r>
              <w:rPr>
                <w:rFonts w:hint="eastAsia"/>
              </w:rPr>
              <w:t>0.0001</w:t>
            </w:r>
          </w:p>
        </w:tc>
        <w:tc>
          <w:tcPr>
            <w:tcW w:w="396" w:type="pct"/>
            <w:vAlign w:val="center"/>
          </w:tcPr>
          <w:p>
            <w:pPr>
              <w:pStyle w:val="186"/>
            </w:pPr>
            <w:r>
              <w:rPr>
                <w:rFonts w:hint="eastAsia"/>
              </w:rPr>
              <w:t>0.0001</w:t>
            </w:r>
          </w:p>
        </w:tc>
        <w:tc>
          <w:tcPr>
            <w:tcW w:w="315" w:type="pct"/>
            <w:vMerge w:val="continue"/>
            <w:vAlign w:val="center"/>
          </w:tcPr>
          <w:p>
            <w:pPr>
              <w:pStyle w:val="186"/>
            </w:pPr>
          </w:p>
        </w:tc>
        <w:tc>
          <w:tcPr>
            <w:tcW w:w="252" w:type="pct"/>
            <w:vMerge w:val="continue"/>
            <w:vAlign w:val="center"/>
          </w:tcPr>
          <w:p>
            <w:pPr>
              <w:pStyle w:val="186"/>
            </w:pPr>
          </w:p>
        </w:tc>
        <w:tc>
          <w:tcPr>
            <w:tcW w:w="344" w:type="pct"/>
            <w:vMerge w:val="continue"/>
            <w:vAlign w:val="center"/>
          </w:tcPr>
          <w:p>
            <w:pPr>
              <w:pStyle w:val="18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663" w:type="pct"/>
            <w:vAlign w:val="center"/>
          </w:tcPr>
          <w:p>
            <w:pPr>
              <w:pStyle w:val="186"/>
            </w:pPr>
            <w:r>
              <w:rPr>
                <w:rFonts w:hint="eastAsia"/>
              </w:rPr>
              <w:t>铅+镉及其化合物</w:t>
            </w:r>
          </w:p>
        </w:tc>
        <w:tc>
          <w:tcPr>
            <w:tcW w:w="320" w:type="pct"/>
            <w:vMerge w:val="continue"/>
            <w:vAlign w:val="center"/>
          </w:tcPr>
          <w:p>
            <w:pPr>
              <w:pStyle w:val="186"/>
            </w:pPr>
          </w:p>
        </w:tc>
        <w:tc>
          <w:tcPr>
            <w:tcW w:w="469" w:type="pct"/>
            <w:vAlign w:val="center"/>
          </w:tcPr>
          <w:p>
            <w:pPr>
              <w:pStyle w:val="186"/>
            </w:pPr>
            <w:r>
              <w:rPr>
                <w:rFonts w:hint="eastAsia"/>
              </w:rPr>
              <w:t>0.0170</w:t>
            </w:r>
          </w:p>
        </w:tc>
        <w:tc>
          <w:tcPr>
            <w:tcW w:w="456" w:type="pct"/>
            <w:vAlign w:val="center"/>
          </w:tcPr>
          <w:p>
            <w:pPr>
              <w:pStyle w:val="186"/>
            </w:pPr>
            <w:r>
              <w:rPr>
                <w:rFonts w:hint="eastAsia"/>
              </w:rPr>
              <w:t>0.0022</w:t>
            </w:r>
          </w:p>
        </w:tc>
        <w:tc>
          <w:tcPr>
            <w:tcW w:w="467" w:type="pct"/>
            <w:vAlign w:val="center"/>
          </w:tcPr>
          <w:p>
            <w:pPr>
              <w:pStyle w:val="186"/>
            </w:pPr>
            <w:r>
              <w:rPr>
                <w:rFonts w:hint="eastAsia"/>
              </w:rPr>
              <w:t>0.0024</w:t>
            </w:r>
          </w:p>
        </w:tc>
        <w:tc>
          <w:tcPr>
            <w:tcW w:w="468" w:type="pct"/>
            <w:vMerge w:val="continue"/>
            <w:vAlign w:val="center"/>
          </w:tcPr>
          <w:p>
            <w:pPr>
              <w:pStyle w:val="186"/>
            </w:pPr>
          </w:p>
        </w:tc>
        <w:tc>
          <w:tcPr>
            <w:tcW w:w="415" w:type="pct"/>
            <w:vAlign w:val="center"/>
          </w:tcPr>
          <w:p>
            <w:pPr>
              <w:pStyle w:val="186"/>
            </w:pPr>
            <w:r>
              <w:rPr>
                <w:rFonts w:hint="eastAsia"/>
              </w:rPr>
              <w:t>0.0068</w:t>
            </w:r>
          </w:p>
        </w:tc>
        <w:tc>
          <w:tcPr>
            <w:tcW w:w="435" w:type="pct"/>
            <w:vAlign w:val="center"/>
          </w:tcPr>
          <w:p>
            <w:pPr>
              <w:pStyle w:val="186"/>
            </w:pPr>
            <w:r>
              <w:rPr>
                <w:rFonts w:hint="eastAsia"/>
              </w:rPr>
              <w:t>0.0009</w:t>
            </w:r>
          </w:p>
        </w:tc>
        <w:tc>
          <w:tcPr>
            <w:tcW w:w="396" w:type="pct"/>
            <w:vAlign w:val="center"/>
          </w:tcPr>
          <w:p>
            <w:pPr>
              <w:pStyle w:val="186"/>
            </w:pPr>
            <w:r>
              <w:rPr>
                <w:rFonts w:hint="eastAsia"/>
              </w:rPr>
              <w:t>0.0010</w:t>
            </w:r>
          </w:p>
        </w:tc>
        <w:tc>
          <w:tcPr>
            <w:tcW w:w="315" w:type="pct"/>
            <w:vMerge w:val="continue"/>
            <w:vAlign w:val="center"/>
          </w:tcPr>
          <w:p>
            <w:pPr>
              <w:pStyle w:val="186"/>
            </w:pPr>
          </w:p>
        </w:tc>
        <w:tc>
          <w:tcPr>
            <w:tcW w:w="252" w:type="pct"/>
            <w:vMerge w:val="continue"/>
            <w:vAlign w:val="center"/>
          </w:tcPr>
          <w:p>
            <w:pPr>
              <w:pStyle w:val="186"/>
            </w:pPr>
          </w:p>
        </w:tc>
        <w:tc>
          <w:tcPr>
            <w:tcW w:w="344" w:type="pct"/>
            <w:vMerge w:val="continue"/>
            <w:vAlign w:val="center"/>
          </w:tcPr>
          <w:p>
            <w:pPr>
              <w:pStyle w:val="18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663" w:type="pct"/>
            <w:vAlign w:val="center"/>
          </w:tcPr>
          <w:p>
            <w:pPr>
              <w:pStyle w:val="186"/>
            </w:pPr>
            <w:r>
              <w:rPr>
                <w:rFonts w:hint="eastAsia"/>
              </w:rPr>
              <w:t>铬及其化合物</w:t>
            </w:r>
          </w:p>
        </w:tc>
        <w:tc>
          <w:tcPr>
            <w:tcW w:w="320" w:type="pct"/>
            <w:vMerge w:val="continue"/>
            <w:vAlign w:val="center"/>
          </w:tcPr>
          <w:p>
            <w:pPr>
              <w:pStyle w:val="186"/>
            </w:pPr>
          </w:p>
        </w:tc>
        <w:tc>
          <w:tcPr>
            <w:tcW w:w="469" w:type="pct"/>
            <w:vAlign w:val="center"/>
          </w:tcPr>
          <w:p>
            <w:pPr>
              <w:pStyle w:val="186"/>
            </w:pPr>
            <w:r>
              <w:rPr>
                <w:rFonts w:hint="eastAsia"/>
              </w:rPr>
              <w:t>2.5×10</w:t>
            </w:r>
            <w:r>
              <w:rPr>
                <w:rFonts w:hint="eastAsia"/>
                <w:vertAlign w:val="superscript"/>
              </w:rPr>
              <w:t>-6</w:t>
            </w:r>
          </w:p>
        </w:tc>
        <w:tc>
          <w:tcPr>
            <w:tcW w:w="456" w:type="pct"/>
            <w:vAlign w:val="center"/>
          </w:tcPr>
          <w:p>
            <w:pPr>
              <w:pStyle w:val="186"/>
            </w:pPr>
            <w:r>
              <w:rPr>
                <w:rFonts w:hint="eastAsia"/>
              </w:rPr>
              <w:t>3.13×10</w:t>
            </w:r>
            <w:r>
              <w:rPr>
                <w:rFonts w:hint="eastAsia"/>
                <w:vertAlign w:val="superscript"/>
              </w:rPr>
              <w:t>-7</w:t>
            </w:r>
          </w:p>
        </w:tc>
        <w:tc>
          <w:tcPr>
            <w:tcW w:w="467" w:type="pct"/>
            <w:vAlign w:val="center"/>
          </w:tcPr>
          <w:p>
            <w:pPr>
              <w:pStyle w:val="186"/>
            </w:pPr>
            <w:r>
              <w:rPr>
                <w:rFonts w:hint="eastAsia"/>
              </w:rPr>
              <w:t>3.48×10</w:t>
            </w:r>
            <w:r>
              <w:rPr>
                <w:rFonts w:hint="eastAsia"/>
                <w:vertAlign w:val="superscript"/>
              </w:rPr>
              <w:t>-7</w:t>
            </w:r>
          </w:p>
        </w:tc>
        <w:tc>
          <w:tcPr>
            <w:tcW w:w="468" w:type="pct"/>
            <w:vMerge w:val="continue"/>
            <w:vAlign w:val="center"/>
          </w:tcPr>
          <w:p>
            <w:pPr>
              <w:pStyle w:val="186"/>
            </w:pPr>
          </w:p>
        </w:tc>
        <w:tc>
          <w:tcPr>
            <w:tcW w:w="415" w:type="pct"/>
            <w:vAlign w:val="center"/>
          </w:tcPr>
          <w:p>
            <w:pPr>
              <w:pStyle w:val="186"/>
            </w:pPr>
            <w:r>
              <w:rPr>
                <w:rFonts w:hint="eastAsia"/>
              </w:rPr>
              <w:t>1×10</w:t>
            </w:r>
            <w:r>
              <w:rPr>
                <w:rFonts w:hint="eastAsia"/>
                <w:vertAlign w:val="superscript"/>
              </w:rPr>
              <w:t>-6</w:t>
            </w:r>
          </w:p>
        </w:tc>
        <w:tc>
          <w:tcPr>
            <w:tcW w:w="435" w:type="pct"/>
            <w:vAlign w:val="center"/>
          </w:tcPr>
          <w:p>
            <w:pPr>
              <w:pStyle w:val="186"/>
            </w:pPr>
            <w:r>
              <w:rPr>
                <w:rFonts w:hint="eastAsia"/>
              </w:rPr>
              <w:t>1.25×10</w:t>
            </w:r>
            <w:r>
              <w:rPr>
                <w:rFonts w:hint="eastAsia"/>
                <w:vertAlign w:val="superscript"/>
              </w:rPr>
              <w:t>-7</w:t>
            </w:r>
          </w:p>
        </w:tc>
        <w:tc>
          <w:tcPr>
            <w:tcW w:w="396" w:type="pct"/>
            <w:vAlign w:val="center"/>
          </w:tcPr>
          <w:p>
            <w:pPr>
              <w:pStyle w:val="186"/>
            </w:pPr>
            <w:r>
              <w:rPr>
                <w:rFonts w:hint="eastAsia"/>
              </w:rPr>
              <w:t>1.4×10</w:t>
            </w:r>
            <w:r>
              <w:rPr>
                <w:rFonts w:hint="eastAsia"/>
                <w:vertAlign w:val="superscript"/>
              </w:rPr>
              <w:t>-7</w:t>
            </w:r>
          </w:p>
        </w:tc>
        <w:tc>
          <w:tcPr>
            <w:tcW w:w="315" w:type="pct"/>
            <w:vMerge w:val="continue"/>
            <w:vAlign w:val="center"/>
          </w:tcPr>
          <w:p>
            <w:pPr>
              <w:pStyle w:val="186"/>
            </w:pPr>
          </w:p>
        </w:tc>
        <w:tc>
          <w:tcPr>
            <w:tcW w:w="252" w:type="pct"/>
            <w:vMerge w:val="continue"/>
            <w:vAlign w:val="center"/>
          </w:tcPr>
          <w:p>
            <w:pPr>
              <w:pStyle w:val="186"/>
            </w:pPr>
          </w:p>
        </w:tc>
        <w:tc>
          <w:tcPr>
            <w:tcW w:w="344" w:type="pct"/>
            <w:vMerge w:val="continue"/>
            <w:vAlign w:val="center"/>
          </w:tcPr>
          <w:p>
            <w:pPr>
              <w:pStyle w:val="18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663" w:type="pct"/>
            <w:vAlign w:val="center"/>
          </w:tcPr>
          <w:p>
            <w:pPr>
              <w:pStyle w:val="186"/>
            </w:pPr>
            <w:r>
              <w:rPr>
                <w:rFonts w:hint="eastAsia"/>
              </w:rPr>
              <w:t>铅及其化合物</w:t>
            </w:r>
          </w:p>
        </w:tc>
        <w:tc>
          <w:tcPr>
            <w:tcW w:w="320" w:type="pct"/>
            <w:vMerge w:val="restart"/>
            <w:vAlign w:val="center"/>
          </w:tcPr>
          <w:p>
            <w:pPr>
              <w:pStyle w:val="186"/>
            </w:pPr>
            <w:r>
              <w:rPr>
                <w:rFonts w:hint="eastAsia"/>
              </w:rPr>
              <w:t>900000</w:t>
            </w:r>
          </w:p>
        </w:tc>
        <w:tc>
          <w:tcPr>
            <w:tcW w:w="469" w:type="pct"/>
            <w:vAlign w:val="center"/>
          </w:tcPr>
          <w:p>
            <w:pPr>
              <w:pStyle w:val="186"/>
            </w:pPr>
            <w:r>
              <w:rPr>
                <w:rFonts w:hint="eastAsia"/>
              </w:rPr>
              <w:t>0.0155</w:t>
            </w:r>
          </w:p>
        </w:tc>
        <w:tc>
          <w:tcPr>
            <w:tcW w:w="456" w:type="pct"/>
            <w:vAlign w:val="center"/>
          </w:tcPr>
          <w:p>
            <w:pPr>
              <w:pStyle w:val="186"/>
            </w:pPr>
            <w:r>
              <w:rPr>
                <w:rFonts w:hint="eastAsia"/>
              </w:rPr>
              <w:t>0.0020</w:t>
            </w:r>
          </w:p>
        </w:tc>
        <w:tc>
          <w:tcPr>
            <w:tcW w:w="467" w:type="pct"/>
            <w:vAlign w:val="center"/>
          </w:tcPr>
          <w:p>
            <w:pPr>
              <w:pStyle w:val="186"/>
            </w:pPr>
            <w:r>
              <w:rPr>
                <w:rFonts w:hint="eastAsia"/>
              </w:rPr>
              <w:t>0.0022</w:t>
            </w:r>
          </w:p>
        </w:tc>
        <w:tc>
          <w:tcPr>
            <w:tcW w:w="468" w:type="pct"/>
            <w:vMerge w:val="restart"/>
            <w:vAlign w:val="center"/>
          </w:tcPr>
          <w:p>
            <w:pPr>
              <w:pStyle w:val="186"/>
            </w:pPr>
            <w:r>
              <w:rPr>
                <w:rFonts w:hint="eastAsia"/>
              </w:rPr>
              <w:t>布袋除尘器，去除效率60%</w:t>
            </w:r>
          </w:p>
        </w:tc>
        <w:tc>
          <w:tcPr>
            <w:tcW w:w="415" w:type="pct"/>
            <w:vAlign w:val="center"/>
          </w:tcPr>
          <w:p>
            <w:pPr>
              <w:pStyle w:val="186"/>
            </w:pPr>
            <w:r>
              <w:rPr>
                <w:rFonts w:hint="eastAsia"/>
              </w:rPr>
              <w:t>0.0062</w:t>
            </w:r>
          </w:p>
        </w:tc>
        <w:tc>
          <w:tcPr>
            <w:tcW w:w="435" w:type="pct"/>
            <w:vAlign w:val="center"/>
          </w:tcPr>
          <w:p>
            <w:pPr>
              <w:pStyle w:val="186"/>
            </w:pPr>
            <w:r>
              <w:rPr>
                <w:rFonts w:hint="eastAsia"/>
              </w:rPr>
              <w:t>0.0008</w:t>
            </w:r>
          </w:p>
        </w:tc>
        <w:tc>
          <w:tcPr>
            <w:tcW w:w="396" w:type="pct"/>
            <w:vAlign w:val="center"/>
          </w:tcPr>
          <w:p>
            <w:pPr>
              <w:pStyle w:val="186"/>
            </w:pPr>
            <w:r>
              <w:rPr>
                <w:rFonts w:hint="eastAsia"/>
              </w:rPr>
              <w:t>0.0009</w:t>
            </w:r>
          </w:p>
        </w:tc>
        <w:tc>
          <w:tcPr>
            <w:tcW w:w="315" w:type="pct"/>
            <w:vMerge w:val="restart"/>
            <w:vAlign w:val="center"/>
          </w:tcPr>
          <w:p>
            <w:pPr>
              <w:pStyle w:val="186"/>
            </w:pPr>
            <w:r>
              <w:rPr>
                <w:rFonts w:hint="eastAsia"/>
              </w:rPr>
              <w:t>2#电炉排气筒2</w:t>
            </w:r>
          </w:p>
        </w:tc>
        <w:tc>
          <w:tcPr>
            <w:tcW w:w="252" w:type="pct"/>
            <w:vMerge w:val="restart"/>
            <w:vAlign w:val="center"/>
          </w:tcPr>
          <w:p>
            <w:pPr>
              <w:pStyle w:val="186"/>
            </w:pPr>
            <w:r>
              <w:rPr>
                <w:rFonts w:hint="eastAsia"/>
              </w:rPr>
              <w:t>32</w:t>
            </w:r>
          </w:p>
        </w:tc>
        <w:tc>
          <w:tcPr>
            <w:tcW w:w="344" w:type="pct"/>
            <w:vMerge w:val="restart"/>
            <w:vAlign w:val="center"/>
          </w:tcPr>
          <w:p>
            <w:pPr>
              <w:pStyle w:val="186"/>
            </w:pPr>
            <w:r>
              <w:rPr>
                <w:rFonts w:hint="eastAsia"/>
              </w:rPr>
              <w:t>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63" w:type="pct"/>
            <w:vAlign w:val="center"/>
          </w:tcPr>
          <w:p>
            <w:pPr>
              <w:pStyle w:val="186"/>
            </w:pPr>
            <w:r>
              <w:rPr>
                <w:rFonts w:hint="eastAsia"/>
              </w:rPr>
              <w:t>镉及其化合物</w:t>
            </w:r>
          </w:p>
        </w:tc>
        <w:tc>
          <w:tcPr>
            <w:tcW w:w="320" w:type="pct"/>
            <w:vMerge w:val="continue"/>
            <w:vAlign w:val="center"/>
          </w:tcPr>
          <w:p>
            <w:pPr>
              <w:pStyle w:val="186"/>
            </w:pPr>
          </w:p>
        </w:tc>
        <w:tc>
          <w:tcPr>
            <w:tcW w:w="469" w:type="pct"/>
            <w:vAlign w:val="center"/>
          </w:tcPr>
          <w:p>
            <w:pPr>
              <w:pStyle w:val="186"/>
            </w:pPr>
            <w:r>
              <w:rPr>
                <w:rFonts w:hint="eastAsia"/>
              </w:rPr>
              <w:t>0.0015</w:t>
            </w:r>
          </w:p>
        </w:tc>
        <w:tc>
          <w:tcPr>
            <w:tcW w:w="456" w:type="pct"/>
            <w:vAlign w:val="center"/>
          </w:tcPr>
          <w:p>
            <w:pPr>
              <w:pStyle w:val="186"/>
            </w:pPr>
            <w:r>
              <w:rPr>
                <w:rFonts w:hint="eastAsia"/>
              </w:rPr>
              <w:t>0.0002</w:t>
            </w:r>
          </w:p>
        </w:tc>
        <w:tc>
          <w:tcPr>
            <w:tcW w:w="467" w:type="pct"/>
            <w:vAlign w:val="center"/>
          </w:tcPr>
          <w:p>
            <w:pPr>
              <w:pStyle w:val="186"/>
            </w:pPr>
            <w:r>
              <w:rPr>
                <w:rFonts w:hint="eastAsia"/>
              </w:rPr>
              <w:t>0.0002</w:t>
            </w:r>
          </w:p>
        </w:tc>
        <w:tc>
          <w:tcPr>
            <w:tcW w:w="468" w:type="pct"/>
            <w:vMerge w:val="continue"/>
            <w:vAlign w:val="center"/>
          </w:tcPr>
          <w:p>
            <w:pPr>
              <w:pStyle w:val="186"/>
            </w:pPr>
          </w:p>
        </w:tc>
        <w:tc>
          <w:tcPr>
            <w:tcW w:w="415" w:type="pct"/>
            <w:vAlign w:val="center"/>
          </w:tcPr>
          <w:p>
            <w:pPr>
              <w:pStyle w:val="186"/>
            </w:pPr>
            <w:r>
              <w:rPr>
                <w:rFonts w:hint="eastAsia"/>
              </w:rPr>
              <w:t>0.0006</w:t>
            </w:r>
          </w:p>
        </w:tc>
        <w:tc>
          <w:tcPr>
            <w:tcW w:w="435" w:type="pct"/>
            <w:vAlign w:val="center"/>
          </w:tcPr>
          <w:p>
            <w:pPr>
              <w:pStyle w:val="186"/>
            </w:pPr>
            <w:r>
              <w:rPr>
                <w:rFonts w:hint="eastAsia"/>
              </w:rPr>
              <w:t>0.0001</w:t>
            </w:r>
          </w:p>
        </w:tc>
        <w:tc>
          <w:tcPr>
            <w:tcW w:w="396" w:type="pct"/>
            <w:vAlign w:val="center"/>
          </w:tcPr>
          <w:p>
            <w:pPr>
              <w:pStyle w:val="186"/>
            </w:pPr>
            <w:r>
              <w:rPr>
                <w:rFonts w:hint="eastAsia"/>
              </w:rPr>
              <w:t>0.0001</w:t>
            </w:r>
          </w:p>
        </w:tc>
        <w:tc>
          <w:tcPr>
            <w:tcW w:w="315" w:type="pct"/>
            <w:vMerge w:val="continue"/>
            <w:vAlign w:val="center"/>
          </w:tcPr>
          <w:p>
            <w:pPr>
              <w:pStyle w:val="186"/>
            </w:pPr>
          </w:p>
        </w:tc>
        <w:tc>
          <w:tcPr>
            <w:tcW w:w="252" w:type="pct"/>
            <w:vMerge w:val="continue"/>
            <w:vAlign w:val="center"/>
          </w:tcPr>
          <w:p>
            <w:pPr>
              <w:pStyle w:val="186"/>
            </w:pPr>
          </w:p>
        </w:tc>
        <w:tc>
          <w:tcPr>
            <w:tcW w:w="344" w:type="pct"/>
            <w:vMerge w:val="continue"/>
            <w:vAlign w:val="center"/>
          </w:tcPr>
          <w:p>
            <w:pPr>
              <w:pStyle w:val="18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63" w:type="pct"/>
            <w:vAlign w:val="center"/>
          </w:tcPr>
          <w:p>
            <w:pPr>
              <w:pStyle w:val="186"/>
            </w:pPr>
            <w:r>
              <w:rPr>
                <w:rFonts w:hint="eastAsia"/>
              </w:rPr>
              <w:t>铅+镉及其化合物</w:t>
            </w:r>
          </w:p>
        </w:tc>
        <w:tc>
          <w:tcPr>
            <w:tcW w:w="320" w:type="pct"/>
            <w:vMerge w:val="continue"/>
            <w:vAlign w:val="center"/>
          </w:tcPr>
          <w:p>
            <w:pPr>
              <w:pStyle w:val="186"/>
            </w:pPr>
          </w:p>
        </w:tc>
        <w:tc>
          <w:tcPr>
            <w:tcW w:w="469" w:type="pct"/>
            <w:vAlign w:val="center"/>
          </w:tcPr>
          <w:p>
            <w:pPr>
              <w:pStyle w:val="186"/>
            </w:pPr>
            <w:r>
              <w:rPr>
                <w:rFonts w:hint="eastAsia"/>
              </w:rPr>
              <w:t>0.0170</w:t>
            </w:r>
          </w:p>
        </w:tc>
        <w:tc>
          <w:tcPr>
            <w:tcW w:w="456" w:type="pct"/>
            <w:vAlign w:val="center"/>
          </w:tcPr>
          <w:p>
            <w:pPr>
              <w:pStyle w:val="186"/>
            </w:pPr>
            <w:r>
              <w:rPr>
                <w:rFonts w:hint="eastAsia"/>
              </w:rPr>
              <w:t>0.0022</w:t>
            </w:r>
          </w:p>
        </w:tc>
        <w:tc>
          <w:tcPr>
            <w:tcW w:w="467" w:type="pct"/>
            <w:vAlign w:val="center"/>
          </w:tcPr>
          <w:p>
            <w:pPr>
              <w:pStyle w:val="186"/>
            </w:pPr>
            <w:r>
              <w:rPr>
                <w:rFonts w:hint="eastAsia"/>
              </w:rPr>
              <w:t>0.0024</w:t>
            </w:r>
          </w:p>
        </w:tc>
        <w:tc>
          <w:tcPr>
            <w:tcW w:w="468" w:type="pct"/>
            <w:vMerge w:val="continue"/>
            <w:vAlign w:val="center"/>
          </w:tcPr>
          <w:p>
            <w:pPr>
              <w:pStyle w:val="186"/>
            </w:pPr>
          </w:p>
        </w:tc>
        <w:tc>
          <w:tcPr>
            <w:tcW w:w="415" w:type="pct"/>
            <w:vAlign w:val="center"/>
          </w:tcPr>
          <w:p>
            <w:pPr>
              <w:pStyle w:val="186"/>
            </w:pPr>
            <w:r>
              <w:rPr>
                <w:rFonts w:hint="eastAsia"/>
              </w:rPr>
              <w:t>0.0068</w:t>
            </w:r>
          </w:p>
        </w:tc>
        <w:tc>
          <w:tcPr>
            <w:tcW w:w="435" w:type="pct"/>
            <w:vAlign w:val="center"/>
          </w:tcPr>
          <w:p>
            <w:pPr>
              <w:pStyle w:val="186"/>
            </w:pPr>
            <w:r>
              <w:rPr>
                <w:rFonts w:hint="eastAsia"/>
              </w:rPr>
              <w:t>0.0009</w:t>
            </w:r>
          </w:p>
        </w:tc>
        <w:tc>
          <w:tcPr>
            <w:tcW w:w="396" w:type="pct"/>
            <w:vAlign w:val="center"/>
          </w:tcPr>
          <w:p>
            <w:pPr>
              <w:pStyle w:val="186"/>
            </w:pPr>
            <w:r>
              <w:rPr>
                <w:rFonts w:hint="eastAsia"/>
              </w:rPr>
              <w:t>0.0010</w:t>
            </w:r>
          </w:p>
        </w:tc>
        <w:tc>
          <w:tcPr>
            <w:tcW w:w="315" w:type="pct"/>
            <w:vMerge w:val="continue"/>
            <w:vAlign w:val="center"/>
          </w:tcPr>
          <w:p>
            <w:pPr>
              <w:pStyle w:val="186"/>
            </w:pPr>
          </w:p>
        </w:tc>
        <w:tc>
          <w:tcPr>
            <w:tcW w:w="252" w:type="pct"/>
            <w:vMerge w:val="continue"/>
            <w:vAlign w:val="center"/>
          </w:tcPr>
          <w:p>
            <w:pPr>
              <w:pStyle w:val="186"/>
            </w:pPr>
          </w:p>
        </w:tc>
        <w:tc>
          <w:tcPr>
            <w:tcW w:w="344" w:type="pct"/>
            <w:vMerge w:val="continue"/>
            <w:vAlign w:val="center"/>
          </w:tcPr>
          <w:p>
            <w:pPr>
              <w:pStyle w:val="18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663" w:type="pct"/>
            <w:vAlign w:val="center"/>
          </w:tcPr>
          <w:p>
            <w:pPr>
              <w:pStyle w:val="186"/>
            </w:pPr>
            <w:r>
              <w:rPr>
                <w:rFonts w:hint="eastAsia"/>
              </w:rPr>
              <w:t>铬及其化合物</w:t>
            </w:r>
          </w:p>
        </w:tc>
        <w:tc>
          <w:tcPr>
            <w:tcW w:w="320" w:type="pct"/>
            <w:vMerge w:val="continue"/>
            <w:vAlign w:val="center"/>
          </w:tcPr>
          <w:p>
            <w:pPr>
              <w:pStyle w:val="186"/>
            </w:pPr>
          </w:p>
        </w:tc>
        <w:tc>
          <w:tcPr>
            <w:tcW w:w="469" w:type="pct"/>
            <w:vAlign w:val="center"/>
          </w:tcPr>
          <w:p>
            <w:pPr>
              <w:pStyle w:val="186"/>
            </w:pPr>
            <w:r>
              <w:rPr>
                <w:rFonts w:hint="eastAsia"/>
              </w:rPr>
              <w:t>2.5×10</w:t>
            </w:r>
            <w:r>
              <w:rPr>
                <w:rFonts w:hint="eastAsia"/>
                <w:vertAlign w:val="superscript"/>
              </w:rPr>
              <w:t>-6</w:t>
            </w:r>
          </w:p>
        </w:tc>
        <w:tc>
          <w:tcPr>
            <w:tcW w:w="456" w:type="pct"/>
            <w:vAlign w:val="center"/>
          </w:tcPr>
          <w:p>
            <w:pPr>
              <w:pStyle w:val="186"/>
            </w:pPr>
            <w:r>
              <w:rPr>
                <w:rFonts w:hint="eastAsia"/>
              </w:rPr>
              <w:t>3.13×10</w:t>
            </w:r>
            <w:r>
              <w:rPr>
                <w:rFonts w:hint="eastAsia"/>
                <w:vertAlign w:val="superscript"/>
              </w:rPr>
              <w:t>-7</w:t>
            </w:r>
          </w:p>
        </w:tc>
        <w:tc>
          <w:tcPr>
            <w:tcW w:w="467" w:type="pct"/>
            <w:vAlign w:val="center"/>
          </w:tcPr>
          <w:p>
            <w:pPr>
              <w:pStyle w:val="186"/>
            </w:pPr>
            <w:r>
              <w:rPr>
                <w:rFonts w:hint="eastAsia"/>
              </w:rPr>
              <w:t>3.48×10</w:t>
            </w:r>
            <w:r>
              <w:rPr>
                <w:rFonts w:hint="eastAsia"/>
                <w:vertAlign w:val="superscript"/>
              </w:rPr>
              <w:t>-7</w:t>
            </w:r>
          </w:p>
        </w:tc>
        <w:tc>
          <w:tcPr>
            <w:tcW w:w="468" w:type="pct"/>
            <w:vMerge w:val="continue"/>
            <w:vAlign w:val="center"/>
          </w:tcPr>
          <w:p>
            <w:pPr>
              <w:pStyle w:val="186"/>
            </w:pPr>
          </w:p>
        </w:tc>
        <w:tc>
          <w:tcPr>
            <w:tcW w:w="415" w:type="pct"/>
            <w:vAlign w:val="center"/>
          </w:tcPr>
          <w:p>
            <w:pPr>
              <w:pStyle w:val="186"/>
            </w:pPr>
            <w:r>
              <w:rPr>
                <w:rFonts w:hint="eastAsia"/>
              </w:rPr>
              <w:t>1×10</w:t>
            </w:r>
            <w:r>
              <w:rPr>
                <w:rFonts w:hint="eastAsia"/>
                <w:vertAlign w:val="superscript"/>
              </w:rPr>
              <w:t>-6</w:t>
            </w:r>
          </w:p>
        </w:tc>
        <w:tc>
          <w:tcPr>
            <w:tcW w:w="435" w:type="pct"/>
            <w:vAlign w:val="center"/>
          </w:tcPr>
          <w:p>
            <w:pPr>
              <w:pStyle w:val="186"/>
            </w:pPr>
            <w:r>
              <w:rPr>
                <w:rFonts w:hint="eastAsia"/>
              </w:rPr>
              <w:t>1.25×10</w:t>
            </w:r>
            <w:r>
              <w:rPr>
                <w:rFonts w:hint="eastAsia"/>
                <w:vertAlign w:val="superscript"/>
              </w:rPr>
              <w:t>-7</w:t>
            </w:r>
          </w:p>
        </w:tc>
        <w:tc>
          <w:tcPr>
            <w:tcW w:w="396" w:type="pct"/>
            <w:vAlign w:val="center"/>
          </w:tcPr>
          <w:p>
            <w:pPr>
              <w:pStyle w:val="186"/>
            </w:pPr>
            <w:r>
              <w:rPr>
                <w:rFonts w:hint="eastAsia"/>
              </w:rPr>
              <w:t>1.4×10</w:t>
            </w:r>
            <w:r>
              <w:rPr>
                <w:rFonts w:hint="eastAsia"/>
                <w:vertAlign w:val="superscript"/>
              </w:rPr>
              <w:t>-7</w:t>
            </w:r>
          </w:p>
        </w:tc>
        <w:tc>
          <w:tcPr>
            <w:tcW w:w="315" w:type="pct"/>
            <w:vMerge w:val="continue"/>
            <w:vAlign w:val="center"/>
          </w:tcPr>
          <w:p>
            <w:pPr>
              <w:pStyle w:val="186"/>
            </w:pPr>
          </w:p>
        </w:tc>
        <w:tc>
          <w:tcPr>
            <w:tcW w:w="252" w:type="pct"/>
            <w:vMerge w:val="continue"/>
            <w:vAlign w:val="center"/>
          </w:tcPr>
          <w:p>
            <w:pPr>
              <w:pStyle w:val="186"/>
            </w:pPr>
          </w:p>
        </w:tc>
        <w:tc>
          <w:tcPr>
            <w:tcW w:w="344" w:type="pct"/>
            <w:vMerge w:val="continue"/>
            <w:vAlign w:val="center"/>
          </w:tcPr>
          <w:p>
            <w:pPr>
              <w:pStyle w:val="186"/>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63" w:type="pct"/>
            <w:vAlign w:val="center"/>
          </w:tcPr>
          <w:p>
            <w:pPr>
              <w:pStyle w:val="186"/>
            </w:pPr>
            <w:r>
              <w:rPr>
                <w:rFonts w:hint="eastAsia"/>
              </w:rPr>
              <w:t>铅及其化合物</w:t>
            </w:r>
          </w:p>
        </w:tc>
        <w:tc>
          <w:tcPr>
            <w:tcW w:w="320" w:type="pct"/>
            <w:vAlign w:val="center"/>
          </w:tcPr>
          <w:p>
            <w:pPr>
              <w:pStyle w:val="186"/>
            </w:pPr>
            <w:r>
              <w:rPr>
                <w:rFonts w:hint="eastAsia"/>
              </w:rPr>
              <w:t>/</w:t>
            </w:r>
          </w:p>
        </w:tc>
        <w:tc>
          <w:tcPr>
            <w:tcW w:w="469" w:type="pct"/>
            <w:vAlign w:val="center"/>
          </w:tcPr>
          <w:p>
            <w:pPr>
              <w:pStyle w:val="186"/>
            </w:pPr>
            <w:r>
              <w:rPr>
                <w:rFonts w:hint="eastAsia"/>
              </w:rPr>
              <w:t>0.0006</w:t>
            </w:r>
          </w:p>
        </w:tc>
        <w:tc>
          <w:tcPr>
            <w:tcW w:w="456" w:type="pct"/>
            <w:vAlign w:val="center"/>
          </w:tcPr>
          <w:p>
            <w:pPr>
              <w:pStyle w:val="186"/>
            </w:pPr>
            <w:r>
              <w:rPr>
                <w:rFonts w:hint="eastAsia"/>
              </w:rPr>
              <w:t>/</w:t>
            </w:r>
          </w:p>
        </w:tc>
        <w:tc>
          <w:tcPr>
            <w:tcW w:w="467" w:type="pct"/>
            <w:vAlign w:val="center"/>
          </w:tcPr>
          <w:p>
            <w:pPr>
              <w:pStyle w:val="186"/>
            </w:pPr>
            <w:r>
              <w:rPr>
                <w:rFonts w:hint="eastAsia"/>
              </w:rPr>
              <w:t>/</w:t>
            </w:r>
          </w:p>
        </w:tc>
        <w:tc>
          <w:tcPr>
            <w:tcW w:w="468" w:type="pct"/>
            <w:vMerge w:val="restart"/>
            <w:vAlign w:val="center"/>
          </w:tcPr>
          <w:p>
            <w:pPr>
              <w:pStyle w:val="186"/>
            </w:pPr>
            <w:r>
              <w:rPr>
                <w:rFonts w:hint="eastAsia"/>
              </w:rPr>
              <w:t>无组织排放</w:t>
            </w:r>
          </w:p>
        </w:tc>
        <w:tc>
          <w:tcPr>
            <w:tcW w:w="415" w:type="pct"/>
            <w:vAlign w:val="center"/>
          </w:tcPr>
          <w:p>
            <w:pPr>
              <w:pStyle w:val="186"/>
            </w:pPr>
            <w:r>
              <w:rPr>
                <w:rFonts w:hint="eastAsia"/>
              </w:rPr>
              <w:t>0.0006</w:t>
            </w:r>
          </w:p>
        </w:tc>
        <w:tc>
          <w:tcPr>
            <w:tcW w:w="435" w:type="pct"/>
            <w:vAlign w:val="center"/>
          </w:tcPr>
          <w:p>
            <w:pPr>
              <w:pStyle w:val="186"/>
            </w:pPr>
            <w:r>
              <w:rPr>
                <w:rFonts w:hint="eastAsia"/>
              </w:rPr>
              <w:t>/</w:t>
            </w:r>
          </w:p>
        </w:tc>
        <w:tc>
          <w:tcPr>
            <w:tcW w:w="396" w:type="pct"/>
            <w:vAlign w:val="center"/>
          </w:tcPr>
          <w:p>
            <w:pPr>
              <w:pStyle w:val="186"/>
            </w:pPr>
            <w:r>
              <w:rPr>
                <w:rFonts w:hint="eastAsia"/>
              </w:rPr>
              <w:t>/</w:t>
            </w:r>
          </w:p>
        </w:tc>
        <w:tc>
          <w:tcPr>
            <w:tcW w:w="315" w:type="pct"/>
            <w:vAlign w:val="center"/>
          </w:tcPr>
          <w:p>
            <w:pPr>
              <w:pStyle w:val="186"/>
            </w:pPr>
            <w:r>
              <w:rPr>
                <w:rFonts w:hint="eastAsia"/>
              </w:rPr>
              <w:t>/</w:t>
            </w:r>
          </w:p>
        </w:tc>
        <w:tc>
          <w:tcPr>
            <w:tcW w:w="252" w:type="pct"/>
            <w:vAlign w:val="center"/>
          </w:tcPr>
          <w:p>
            <w:pPr>
              <w:pStyle w:val="186"/>
            </w:pPr>
            <w:r>
              <w:rPr>
                <w:rFonts w:hint="eastAsia"/>
              </w:rPr>
              <w:t>/</w:t>
            </w:r>
          </w:p>
        </w:tc>
        <w:tc>
          <w:tcPr>
            <w:tcW w:w="344" w:type="pct"/>
            <w:vAlign w:val="center"/>
          </w:tcPr>
          <w:p>
            <w:pPr>
              <w:pStyle w:val="18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63" w:type="pct"/>
            <w:vAlign w:val="center"/>
          </w:tcPr>
          <w:p>
            <w:pPr>
              <w:pStyle w:val="186"/>
            </w:pPr>
            <w:r>
              <w:rPr>
                <w:rFonts w:hint="eastAsia"/>
              </w:rPr>
              <w:t>镉及其化合物</w:t>
            </w:r>
          </w:p>
        </w:tc>
        <w:tc>
          <w:tcPr>
            <w:tcW w:w="320" w:type="pct"/>
            <w:vAlign w:val="center"/>
          </w:tcPr>
          <w:p>
            <w:pPr>
              <w:pStyle w:val="186"/>
            </w:pPr>
            <w:r>
              <w:rPr>
                <w:rFonts w:hint="eastAsia"/>
              </w:rPr>
              <w:t>/</w:t>
            </w:r>
          </w:p>
        </w:tc>
        <w:tc>
          <w:tcPr>
            <w:tcW w:w="469" w:type="pct"/>
            <w:vAlign w:val="center"/>
          </w:tcPr>
          <w:p>
            <w:pPr>
              <w:pStyle w:val="186"/>
            </w:pPr>
            <w:r>
              <w:rPr>
                <w:rFonts w:hint="eastAsia"/>
              </w:rPr>
              <w:t>0.00006</w:t>
            </w:r>
          </w:p>
        </w:tc>
        <w:tc>
          <w:tcPr>
            <w:tcW w:w="456" w:type="pct"/>
            <w:vAlign w:val="center"/>
          </w:tcPr>
          <w:p>
            <w:pPr>
              <w:pStyle w:val="186"/>
            </w:pPr>
            <w:r>
              <w:rPr>
                <w:rFonts w:hint="eastAsia"/>
              </w:rPr>
              <w:t>/</w:t>
            </w:r>
          </w:p>
        </w:tc>
        <w:tc>
          <w:tcPr>
            <w:tcW w:w="467" w:type="pct"/>
            <w:vAlign w:val="center"/>
          </w:tcPr>
          <w:p>
            <w:pPr>
              <w:pStyle w:val="186"/>
            </w:pPr>
            <w:r>
              <w:rPr>
                <w:rFonts w:hint="eastAsia"/>
              </w:rPr>
              <w:t>/</w:t>
            </w:r>
          </w:p>
        </w:tc>
        <w:tc>
          <w:tcPr>
            <w:tcW w:w="468" w:type="pct"/>
            <w:vMerge w:val="continue"/>
            <w:vAlign w:val="center"/>
          </w:tcPr>
          <w:p>
            <w:pPr>
              <w:pStyle w:val="186"/>
            </w:pPr>
          </w:p>
        </w:tc>
        <w:tc>
          <w:tcPr>
            <w:tcW w:w="415" w:type="pct"/>
            <w:vAlign w:val="center"/>
          </w:tcPr>
          <w:p>
            <w:pPr>
              <w:pStyle w:val="186"/>
            </w:pPr>
            <w:r>
              <w:rPr>
                <w:rFonts w:hint="eastAsia"/>
              </w:rPr>
              <w:t>0.00006</w:t>
            </w:r>
          </w:p>
        </w:tc>
        <w:tc>
          <w:tcPr>
            <w:tcW w:w="435" w:type="pct"/>
            <w:vAlign w:val="center"/>
          </w:tcPr>
          <w:p>
            <w:pPr>
              <w:pStyle w:val="186"/>
            </w:pPr>
            <w:r>
              <w:rPr>
                <w:rFonts w:hint="eastAsia"/>
              </w:rPr>
              <w:t>/</w:t>
            </w:r>
          </w:p>
        </w:tc>
        <w:tc>
          <w:tcPr>
            <w:tcW w:w="396" w:type="pct"/>
            <w:vAlign w:val="center"/>
          </w:tcPr>
          <w:p>
            <w:pPr>
              <w:pStyle w:val="186"/>
            </w:pPr>
            <w:r>
              <w:rPr>
                <w:rFonts w:hint="eastAsia"/>
              </w:rPr>
              <w:t>/</w:t>
            </w:r>
          </w:p>
        </w:tc>
        <w:tc>
          <w:tcPr>
            <w:tcW w:w="315" w:type="pct"/>
            <w:vAlign w:val="center"/>
          </w:tcPr>
          <w:p>
            <w:pPr>
              <w:pStyle w:val="186"/>
            </w:pPr>
            <w:r>
              <w:rPr>
                <w:rFonts w:hint="eastAsia"/>
              </w:rPr>
              <w:t>/</w:t>
            </w:r>
          </w:p>
        </w:tc>
        <w:tc>
          <w:tcPr>
            <w:tcW w:w="252" w:type="pct"/>
            <w:vAlign w:val="center"/>
          </w:tcPr>
          <w:p>
            <w:pPr>
              <w:pStyle w:val="186"/>
            </w:pPr>
            <w:r>
              <w:rPr>
                <w:rFonts w:hint="eastAsia"/>
              </w:rPr>
              <w:t>/</w:t>
            </w:r>
          </w:p>
        </w:tc>
        <w:tc>
          <w:tcPr>
            <w:tcW w:w="344" w:type="pct"/>
            <w:vAlign w:val="center"/>
          </w:tcPr>
          <w:p>
            <w:pPr>
              <w:pStyle w:val="18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63" w:type="pct"/>
            <w:vAlign w:val="center"/>
          </w:tcPr>
          <w:p>
            <w:pPr>
              <w:pStyle w:val="186"/>
            </w:pPr>
            <w:r>
              <w:rPr>
                <w:rFonts w:hint="eastAsia"/>
              </w:rPr>
              <w:t>铬及其化合物</w:t>
            </w:r>
          </w:p>
        </w:tc>
        <w:tc>
          <w:tcPr>
            <w:tcW w:w="320" w:type="pct"/>
            <w:vAlign w:val="center"/>
          </w:tcPr>
          <w:p>
            <w:pPr>
              <w:pStyle w:val="186"/>
            </w:pPr>
            <w:r>
              <w:rPr>
                <w:rFonts w:hint="eastAsia"/>
              </w:rPr>
              <w:t>/</w:t>
            </w:r>
          </w:p>
        </w:tc>
        <w:tc>
          <w:tcPr>
            <w:tcW w:w="469" w:type="pct"/>
            <w:vAlign w:val="center"/>
          </w:tcPr>
          <w:p>
            <w:pPr>
              <w:pStyle w:val="186"/>
            </w:pPr>
            <w:r>
              <w:rPr>
                <w:rFonts w:hint="eastAsia"/>
              </w:rPr>
              <w:t>1×10</w:t>
            </w:r>
            <w:r>
              <w:rPr>
                <w:rFonts w:hint="eastAsia"/>
                <w:vertAlign w:val="superscript"/>
              </w:rPr>
              <w:t>-7</w:t>
            </w:r>
          </w:p>
        </w:tc>
        <w:tc>
          <w:tcPr>
            <w:tcW w:w="456" w:type="pct"/>
            <w:vAlign w:val="center"/>
          </w:tcPr>
          <w:p>
            <w:pPr>
              <w:pStyle w:val="186"/>
            </w:pPr>
            <w:r>
              <w:rPr>
                <w:rFonts w:hint="eastAsia"/>
              </w:rPr>
              <w:t>/</w:t>
            </w:r>
          </w:p>
        </w:tc>
        <w:tc>
          <w:tcPr>
            <w:tcW w:w="467" w:type="pct"/>
            <w:vAlign w:val="center"/>
          </w:tcPr>
          <w:p>
            <w:pPr>
              <w:pStyle w:val="186"/>
            </w:pPr>
            <w:r>
              <w:rPr>
                <w:rFonts w:hint="eastAsia"/>
              </w:rPr>
              <w:t>/</w:t>
            </w:r>
          </w:p>
        </w:tc>
        <w:tc>
          <w:tcPr>
            <w:tcW w:w="468" w:type="pct"/>
            <w:vMerge w:val="continue"/>
            <w:vAlign w:val="center"/>
          </w:tcPr>
          <w:p>
            <w:pPr>
              <w:pStyle w:val="186"/>
            </w:pPr>
          </w:p>
        </w:tc>
        <w:tc>
          <w:tcPr>
            <w:tcW w:w="415" w:type="pct"/>
            <w:vAlign w:val="center"/>
          </w:tcPr>
          <w:p>
            <w:pPr>
              <w:pStyle w:val="186"/>
            </w:pPr>
            <w:r>
              <w:rPr>
                <w:rFonts w:hint="eastAsia"/>
              </w:rPr>
              <w:t>1×10</w:t>
            </w:r>
            <w:r>
              <w:rPr>
                <w:rFonts w:hint="eastAsia"/>
                <w:vertAlign w:val="superscript"/>
              </w:rPr>
              <w:t>-7</w:t>
            </w:r>
          </w:p>
        </w:tc>
        <w:tc>
          <w:tcPr>
            <w:tcW w:w="435" w:type="pct"/>
            <w:vAlign w:val="center"/>
          </w:tcPr>
          <w:p>
            <w:pPr>
              <w:pStyle w:val="186"/>
            </w:pPr>
            <w:r>
              <w:rPr>
                <w:rFonts w:hint="eastAsia"/>
              </w:rPr>
              <w:t>/</w:t>
            </w:r>
          </w:p>
        </w:tc>
        <w:tc>
          <w:tcPr>
            <w:tcW w:w="396" w:type="pct"/>
            <w:vAlign w:val="center"/>
          </w:tcPr>
          <w:p>
            <w:pPr>
              <w:pStyle w:val="186"/>
            </w:pPr>
            <w:r>
              <w:rPr>
                <w:rFonts w:hint="eastAsia"/>
              </w:rPr>
              <w:t>/</w:t>
            </w:r>
          </w:p>
        </w:tc>
        <w:tc>
          <w:tcPr>
            <w:tcW w:w="315" w:type="pct"/>
            <w:vAlign w:val="center"/>
          </w:tcPr>
          <w:p>
            <w:pPr>
              <w:pStyle w:val="186"/>
            </w:pPr>
            <w:r>
              <w:rPr>
                <w:rFonts w:hint="eastAsia"/>
              </w:rPr>
              <w:t>/</w:t>
            </w:r>
          </w:p>
        </w:tc>
        <w:tc>
          <w:tcPr>
            <w:tcW w:w="252" w:type="pct"/>
            <w:vAlign w:val="center"/>
          </w:tcPr>
          <w:p>
            <w:pPr>
              <w:pStyle w:val="186"/>
            </w:pPr>
            <w:r>
              <w:rPr>
                <w:rFonts w:hint="eastAsia"/>
              </w:rPr>
              <w:t>/</w:t>
            </w:r>
          </w:p>
        </w:tc>
        <w:tc>
          <w:tcPr>
            <w:tcW w:w="344" w:type="pct"/>
            <w:vAlign w:val="center"/>
          </w:tcPr>
          <w:p>
            <w:pPr>
              <w:pStyle w:val="186"/>
            </w:pPr>
            <w:r>
              <w:rPr>
                <w:rFonts w:hint="eastAsia"/>
              </w:rPr>
              <w:t>/</w:t>
            </w:r>
          </w:p>
        </w:tc>
      </w:tr>
    </w:tbl>
    <w:p>
      <w:pPr>
        <w:sectPr>
          <w:pgSz w:w="16838" w:h="11906" w:orient="landscape"/>
          <w:pgMar w:top="1531" w:right="1701" w:bottom="1531" w:left="1701" w:header="851" w:footer="851" w:gutter="0"/>
          <w:cols w:space="720" w:num="1"/>
          <w:docGrid w:linePitch="326" w:charSpace="0"/>
        </w:sectPr>
      </w:pPr>
    </w:p>
    <w:p>
      <w:pPr>
        <w:ind w:firstLine="0" w:firstLineChars="0"/>
        <w:rPr>
          <w:b/>
          <w:sz w:val="28"/>
          <w:szCs w:val="28"/>
        </w:rPr>
      </w:pPr>
      <w:r>
        <w:rPr>
          <w:rFonts w:hint="eastAsia"/>
          <w:b/>
          <w:sz w:val="28"/>
          <w:szCs w:val="28"/>
        </w:rPr>
        <w:t>3.4</w:t>
      </w:r>
      <w:r>
        <w:rPr>
          <w:b/>
          <w:sz w:val="28"/>
          <w:szCs w:val="28"/>
        </w:rPr>
        <w:t>非正常排放</w:t>
      </w:r>
    </w:p>
    <w:p>
      <w:r>
        <w:rPr>
          <w:rFonts w:hint="eastAsia"/>
        </w:rPr>
        <w:t>生产装置的非正常排放主要指生产中的开车、停车、检修、一般性事故时的污染物排放，其大小及频率与装置的工艺水平、操作管理水平等因素有关。</w:t>
      </w:r>
    </w:p>
    <w:p>
      <w:r>
        <w:t>评价考虑</w:t>
      </w:r>
      <w:r>
        <w:rPr>
          <w:rFonts w:hint="eastAsia"/>
        </w:rPr>
        <w:t>布袋除尘器</w:t>
      </w:r>
      <w:r>
        <w:t>发生故障导致处理效率下降造成的非正常排放，按处理效率下降50%考虑</w:t>
      </w:r>
      <w:r>
        <w:rPr>
          <w:rFonts w:hint="eastAsia"/>
        </w:rPr>
        <w:t>，其</w:t>
      </w:r>
      <w:r>
        <w:t>非正常排放情况详见</w:t>
      </w:r>
      <w:r>
        <w:rPr>
          <w:rFonts w:hint="eastAsia"/>
        </w:rPr>
        <w:t>专项</w:t>
      </w:r>
      <w:r>
        <w:t>表</w:t>
      </w:r>
      <w:r>
        <w:rPr>
          <w:rFonts w:hint="eastAsia"/>
        </w:rPr>
        <w:t>3.4-1</w:t>
      </w:r>
      <w:r>
        <w:t>。</w:t>
      </w:r>
    </w:p>
    <w:p>
      <w:pPr>
        <w:pStyle w:val="178"/>
        <w:ind w:firstLine="420"/>
        <w:rPr>
          <w:rFonts w:eastAsia="宋体"/>
          <w:color w:val="auto"/>
          <w:szCs w:val="21"/>
        </w:rPr>
      </w:pPr>
      <w:r>
        <w:rPr>
          <w:rFonts w:hint="eastAsia" w:eastAsia="宋体"/>
          <w:color w:val="auto"/>
          <w:szCs w:val="21"/>
        </w:rPr>
        <w:t>专项表3.4-1   非正常工况条件下除尘灰回炉利用废气污染物排放情况一览表</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845"/>
        <w:gridCol w:w="991"/>
        <w:gridCol w:w="1136"/>
        <w:gridCol w:w="1277"/>
        <w:gridCol w:w="141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排气筒编号</w:t>
            </w:r>
          </w:p>
        </w:tc>
        <w:tc>
          <w:tcPr>
            <w:tcW w:w="1018"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污染物</w:t>
            </w:r>
          </w:p>
        </w:tc>
        <w:tc>
          <w:tcPr>
            <w:tcW w:w="547"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治理效率</w:t>
            </w:r>
          </w:p>
        </w:tc>
        <w:tc>
          <w:tcPr>
            <w:tcW w:w="627"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排放速率kg/h</w:t>
            </w:r>
          </w:p>
        </w:tc>
        <w:tc>
          <w:tcPr>
            <w:tcW w:w="705"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排放浓度mg/m</w:t>
            </w:r>
            <w:r>
              <w:rPr>
                <w:rFonts w:ascii="Times New Roman" w:hAnsi="Times New Roman" w:eastAsiaTheme="minorEastAsia"/>
                <w:color w:val="auto"/>
                <w:sz w:val="21"/>
                <w:szCs w:val="21"/>
                <w:vertAlign w:val="superscript"/>
              </w:rPr>
              <w:t>3</w:t>
            </w:r>
          </w:p>
        </w:tc>
        <w:tc>
          <w:tcPr>
            <w:tcW w:w="781"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排放浓度限值mg/m</w:t>
            </w:r>
            <w:r>
              <w:rPr>
                <w:rFonts w:ascii="Times New Roman" w:hAnsi="Times New Roman" w:eastAsiaTheme="minorEastAsia"/>
                <w:color w:val="auto"/>
                <w:sz w:val="21"/>
                <w:szCs w:val="21"/>
                <w:vertAlign w:val="superscript"/>
              </w:rPr>
              <w:t>3</w:t>
            </w:r>
          </w:p>
        </w:tc>
        <w:tc>
          <w:tcPr>
            <w:tcW w:w="558"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持续时间min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pct"/>
            <w:vMerge w:val="restar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1#电炉排气筒</w:t>
            </w:r>
          </w:p>
        </w:tc>
        <w:tc>
          <w:tcPr>
            <w:tcW w:w="1018"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铅及其化合物</w:t>
            </w:r>
          </w:p>
        </w:tc>
        <w:tc>
          <w:tcPr>
            <w:tcW w:w="547"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50%</w:t>
            </w:r>
          </w:p>
        </w:tc>
        <w:tc>
          <w:tcPr>
            <w:tcW w:w="627"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0.0020</w:t>
            </w:r>
          </w:p>
        </w:tc>
        <w:tc>
          <w:tcPr>
            <w:tcW w:w="705"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0.0022</w:t>
            </w:r>
          </w:p>
        </w:tc>
        <w:tc>
          <w:tcPr>
            <w:tcW w:w="781"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58" w:type="pct"/>
            <w:vMerge w:val="restar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pct"/>
            <w:vMerge w:val="continue"/>
            <w:vAlign w:val="center"/>
          </w:tcPr>
          <w:p>
            <w:pPr>
              <w:pStyle w:val="825"/>
              <w:rPr>
                <w:rFonts w:ascii="Times New Roman" w:hAnsi="Times New Roman" w:eastAsiaTheme="minorEastAsia"/>
                <w:color w:val="auto"/>
                <w:sz w:val="21"/>
                <w:szCs w:val="21"/>
              </w:rPr>
            </w:pPr>
          </w:p>
        </w:tc>
        <w:tc>
          <w:tcPr>
            <w:tcW w:w="1018"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镉及其化合物</w:t>
            </w:r>
          </w:p>
        </w:tc>
        <w:tc>
          <w:tcPr>
            <w:tcW w:w="547"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50%</w:t>
            </w:r>
          </w:p>
        </w:tc>
        <w:tc>
          <w:tcPr>
            <w:tcW w:w="627"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0.0002</w:t>
            </w:r>
          </w:p>
        </w:tc>
        <w:tc>
          <w:tcPr>
            <w:tcW w:w="705"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0.0002</w:t>
            </w:r>
          </w:p>
        </w:tc>
        <w:tc>
          <w:tcPr>
            <w:tcW w:w="781"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58" w:type="pct"/>
            <w:vMerge w:val="continue"/>
            <w:vAlign w:val="center"/>
          </w:tcPr>
          <w:p>
            <w:pPr>
              <w:pStyle w:val="825"/>
              <w:rPr>
                <w:rFonts w:ascii="Times New Roman" w:hAnsi="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pct"/>
            <w:vMerge w:val="continue"/>
            <w:vAlign w:val="center"/>
          </w:tcPr>
          <w:p>
            <w:pPr>
              <w:pStyle w:val="825"/>
              <w:rPr>
                <w:rFonts w:ascii="Times New Roman" w:hAnsi="Times New Roman" w:eastAsiaTheme="minorEastAsia"/>
                <w:color w:val="auto"/>
                <w:sz w:val="21"/>
                <w:szCs w:val="21"/>
              </w:rPr>
            </w:pPr>
          </w:p>
        </w:tc>
        <w:tc>
          <w:tcPr>
            <w:tcW w:w="1018"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铅+镉及其化合物</w:t>
            </w:r>
          </w:p>
        </w:tc>
        <w:tc>
          <w:tcPr>
            <w:tcW w:w="547"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50%</w:t>
            </w:r>
          </w:p>
        </w:tc>
        <w:tc>
          <w:tcPr>
            <w:tcW w:w="627"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0.0022</w:t>
            </w:r>
          </w:p>
        </w:tc>
        <w:tc>
          <w:tcPr>
            <w:tcW w:w="705"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0.0024</w:t>
            </w:r>
          </w:p>
        </w:tc>
        <w:tc>
          <w:tcPr>
            <w:tcW w:w="781"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1.0</w:t>
            </w:r>
          </w:p>
        </w:tc>
        <w:tc>
          <w:tcPr>
            <w:tcW w:w="558" w:type="pct"/>
            <w:vMerge w:val="continue"/>
            <w:vAlign w:val="center"/>
          </w:tcPr>
          <w:p>
            <w:pPr>
              <w:pStyle w:val="825"/>
              <w:rPr>
                <w:rFonts w:ascii="Times New Roman" w:hAnsi="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pct"/>
            <w:vMerge w:val="continue"/>
            <w:vAlign w:val="center"/>
          </w:tcPr>
          <w:p>
            <w:pPr>
              <w:pStyle w:val="825"/>
              <w:rPr>
                <w:rFonts w:ascii="Times New Roman" w:hAnsi="Times New Roman" w:eastAsiaTheme="minorEastAsia"/>
                <w:color w:val="auto"/>
                <w:sz w:val="21"/>
                <w:szCs w:val="21"/>
              </w:rPr>
            </w:pPr>
          </w:p>
        </w:tc>
        <w:tc>
          <w:tcPr>
            <w:tcW w:w="1018"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铬及其化合物</w:t>
            </w:r>
          </w:p>
        </w:tc>
        <w:tc>
          <w:tcPr>
            <w:tcW w:w="547"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50%</w:t>
            </w:r>
          </w:p>
        </w:tc>
        <w:tc>
          <w:tcPr>
            <w:tcW w:w="627"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3.13×10</w:t>
            </w:r>
            <w:r>
              <w:rPr>
                <w:rFonts w:hint="eastAsia" w:ascii="Times New Roman" w:hAnsi="Times New Roman" w:eastAsiaTheme="minorEastAsia"/>
                <w:color w:val="auto"/>
                <w:sz w:val="21"/>
                <w:szCs w:val="21"/>
                <w:vertAlign w:val="superscript"/>
              </w:rPr>
              <w:t>-7</w:t>
            </w:r>
          </w:p>
        </w:tc>
        <w:tc>
          <w:tcPr>
            <w:tcW w:w="705"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3.48×10</w:t>
            </w:r>
            <w:r>
              <w:rPr>
                <w:rFonts w:hint="eastAsia" w:ascii="Times New Roman" w:hAnsi="Times New Roman" w:eastAsiaTheme="minorEastAsia"/>
                <w:color w:val="auto"/>
                <w:sz w:val="21"/>
                <w:szCs w:val="21"/>
                <w:vertAlign w:val="superscript"/>
              </w:rPr>
              <w:t>-7</w:t>
            </w:r>
          </w:p>
        </w:tc>
        <w:tc>
          <w:tcPr>
            <w:tcW w:w="781"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0.5</w:t>
            </w:r>
          </w:p>
        </w:tc>
        <w:tc>
          <w:tcPr>
            <w:tcW w:w="558" w:type="pct"/>
            <w:vMerge w:val="continue"/>
            <w:vAlign w:val="center"/>
          </w:tcPr>
          <w:p>
            <w:pPr>
              <w:pStyle w:val="825"/>
              <w:rPr>
                <w:rFonts w:ascii="Times New Roman" w:hAnsi="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pct"/>
            <w:vMerge w:val="restar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2#电炉排气筒1</w:t>
            </w:r>
          </w:p>
        </w:tc>
        <w:tc>
          <w:tcPr>
            <w:tcW w:w="1018"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铅及其化合物</w:t>
            </w:r>
          </w:p>
        </w:tc>
        <w:tc>
          <w:tcPr>
            <w:tcW w:w="547"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50%</w:t>
            </w:r>
          </w:p>
        </w:tc>
        <w:tc>
          <w:tcPr>
            <w:tcW w:w="627"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0.0010</w:t>
            </w:r>
          </w:p>
        </w:tc>
        <w:tc>
          <w:tcPr>
            <w:tcW w:w="705"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0.0011</w:t>
            </w:r>
          </w:p>
        </w:tc>
        <w:tc>
          <w:tcPr>
            <w:tcW w:w="781"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58" w:type="pct"/>
            <w:vMerge w:val="continue"/>
            <w:vAlign w:val="center"/>
          </w:tcPr>
          <w:p>
            <w:pPr>
              <w:pStyle w:val="825"/>
              <w:rPr>
                <w:rFonts w:ascii="Times New Roman" w:hAnsi="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pct"/>
            <w:vMerge w:val="continue"/>
            <w:vAlign w:val="center"/>
          </w:tcPr>
          <w:p>
            <w:pPr>
              <w:pStyle w:val="825"/>
              <w:rPr>
                <w:rFonts w:ascii="Times New Roman" w:hAnsi="Times New Roman" w:eastAsiaTheme="minorEastAsia"/>
                <w:color w:val="auto"/>
                <w:sz w:val="21"/>
                <w:szCs w:val="21"/>
              </w:rPr>
            </w:pPr>
          </w:p>
        </w:tc>
        <w:tc>
          <w:tcPr>
            <w:tcW w:w="1018"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镉及其化合物</w:t>
            </w:r>
          </w:p>
        </w:tc>
        <w:tc>
          <w:tcPr>
            <w:tcW w:w="547"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50%</w:t>
            </w:r>
          </w:p>
        </w:tc>
        <w:tc>
          <w:tcPr>
            <w:tcW w:w="627"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0.0001</w:t>
            </w:r>
          </w:p>
        </w:tc>
        <w:tc>
          <w:tcPr>
            <w:tcW w:w="705"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0.0001</w:t>
            </w:r>
          </w:p>
        </w:tc>
        <w:tc>
          <w:tcPr>
            <w:tcW w:w="781"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58" w:type="pct"/>
            <w:vMerge w:val="continue"/>
            <w:vAlign w:val="center"/>
          </w:tcPr>
          <w:p>
            <w:pPr>
              <w:pStyle w:val="825"/>
              <w:rPr>
                <w:rFonts w:ascii="Times New Roman" w:hAnsi="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pct"/>
            <w:vMerge w:val="continue"/>
            <w:vAlign w:val="center"/>
          </w:tcPr>
          <w:p>
            <w:pPr>
              <w:pStyle w:val="825"/>
              <w:rPr>
                <w:rFonts w:ascii="Times New Roman" w:hAnsi="Times New Roman" w:eastAsiaTheme="minorEastAsia"/>
                <w:color w:val="auto"/>
                <w:sz w:val="21"/>
                <w:szCs w:val="21"/>
              </w:rPr>
            </w:pPr>
          </w:p>
        </w:tc>
        <w:tc>
          <w:tcPr>
            <w:tcW w:w="1018"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铅+镉及其化合物</w:t>
            </w:r>
          </w:p>
        </w:tc>
        <w:tc>
          <w:tcPr>
            <w:tcW w:w="547"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50%</w:t>
            </w:r>
          </w:p>
        </w:tc>
        <w:tc>
          <w:tcPr>
            <w:tcW w:w="627"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0.0011</w:t>
            </w:r>
          </w:p>
        </w:tc>
        <w:tc>
          <w:tcPr>
            <w:tcW w:w="705"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0.0012</w:t>
            </w:r>
          </w:p>
        </w:tc>
        <w:tc>
          <w:tcPr>
            <w:tcW w:w="781"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1.0</w:t>
            </w:r>
          </w:p>
        </w:tc>
        <w:tc>
          <w:tcPr>
            <w:tcW w:w="558" w:type="pct"/>
            <w:vMerge w:val="continue"/>
            <w:vAlign w:val="center"/>
          </w:tcPr>
          <w:p>
            <w:pPr>
              <w:pStyle w:val="825"/>
              <w:rPr>
                <w:rFonts w:ascii="Times New Roman" w:hAnsi="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pct"/>
            <w:vMerge w:val="continue"/>
            <w:vAlign w:val="center"/>
          </w:tcPr>
          <w:p>
            <w:pPr>
              <w:pStyle w:val="825"/>
              <w:rPr>
                <w:rFonts w:ascii="Times New Roman" w:hAnsi="Times New Roman" w:eastAsiaTheme="minorEastAsia"/>
                <w:color w:val="auto"/>
                <w:sz w:val="21"/>
                <w:szCs w:val="21"/>
              </w:rPr>
            </w:pPr>
          </w:p>
        </w:tc>
        <w:tc>
          <w:tcPr>
            <w:tcW w:w="1018"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铬及其化合物</w:t>
            </w:r>
          </w:p>
        </w:tc>
        <w:tc>
          <w:tcPr>
            <w:tcW w:w="547"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50%</w:t>
            </w:r>
          </w:p>
        </w:tc>
        <w:tc>
          <w:tcPr>
            <w:tcW w:w="627"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1.57×10</w:t>
            </w:r>
            <w:r>
              <w:rPr>
                <w:rFonts w:hint="eastAsia" w:ascii="Times New Roman" w:hAnsi="Times New Roman" w:eastAsiaTheme="minorEastAsia"/>
                <w:color w:val="auto"/>
                <w:sz w:val="21"/>
                <w:szCs w:val="21"/>
                <w:vertAlign w:val="superscript"/>
              </w:rPr>
              <w:t>-7</w:t>
            </w:r>
          </w:p>
        </w:tc>
        <w:tc>
          <w:tcPr>
            <w:tcW w:w="705"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1.74×10</w:t>
            </w:r>
            <w:r>
              <w:rPr>
                <w:rFonts w:hint="eastAsia" w:ascii="Times New Roman" w:hAnsi="Times New Roman" w:eastAsiaTheme="minorEastAsia"/>
                <w:color w:val="auto"/>
                <w:sz w:val="21"/>
                <w:szCs w:val="21"/>
                <w:vertAlign w:val="superscript"/>
              </w:rPr>
              <w:t>-7</w:t>
            </w:r>
          </w:p>
        </w:tc>
        <w:tc>
          <w:tcPr>
            <w:tcW w:w="781"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0.5</w:t>
            </w:r>
          </w:p>
        </w:tc>
        <w:tc>
          <w:tcPr>
            <w:tcW w:w="558" w:type="pct"/>
            <w:vMerge w:val="continue"/>
            <w:vAlign w:val="center"/>
          </w:tcPr>
          <w:p>
            <w:pPr>
              <w:pStyle w:val="825"/>
              <w:rPr>
                <w:rFonts w:ascii="Times New Roman" w:hAnsi="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pct"/>
            <w:vMerge w:val="restar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2#电炉排气筒2</w:t>
            </w:r>
          </w:p>
        </w:tc>
        <w:tc>
          <w:tcPr>
            <w:tcW w:w="1018"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铅及其化合物</w:t>
            </w:r>
          </w:p>
        </w:tc>
        <w:tc>
          <w:tcPr>
            <w:tcW w:w="547"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50%</w:t>
            </w:r>
          </w:p>
        </w:tc>
        <w:tc>
          <w:tcPr>
            <w:tcW w:w="627"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0.0010</w:t>
            </w:r>
          </w:p>
        </w:tc>
        <w:tc>
          <w:tcPr>
            <w:tcW w:w="705"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0.0011</w:t>
            </w:r>
          </w:p>
        </w:tc>
        <w:tc>
          <w:tcPr>
            <w:tcW w:w="781"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58" w:type="pct"/>
            <w:vMerge w:val="continue"/>
            <w:vAlign w:val="center"/>
          </w:tcPr>
          <w:p>
            <w:pPr>
              <w:pStyle w:val="825"/>
              <w:rPr>
                <w:rFonts w:ascii="Times New Roman" w:hAnsi="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pct"/>
            <w:vMerge w:val="continue"/>
            <w:vAlign w:val="center"/>
          </w:tcPr>
          <w:p>
            <w:pPr>
              <w:pStyle w:val="825"/>
              <w:rPr>
                <w:rFonts w:ascii="Times New Roman" w:hAnsi="Times New Roman" w:eastAsiaTheme="minorEastAsia"/>
                <w:color w:val="auto"/>
                <w:sz w:val="21"/>
                <w:szCs w:val="21"/>
              </w:rPr>
            </w:pPr>
          </w:p>
        </w:tc>
        <w:tc>
          <w:tcPr>
            <w:tcW w:w="1018"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镉及其化合物</w:t>
            </w:r>
          </w:p>
        </w:tc>
        <w:tc>
          <w:tcPr>
            <w:tcW w:w="547"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50%</w:t>
            </w:r>
          </w:p>
        </w:tc>
        <w:tc>
          <w:tcPr>
            <w:tcW w:w="627"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0.0001</w:t>
            </w:r>
          </w:p>
        </w:tc>
        <w:tc>
          <w:tcPr>
            <w:tcW w:w="705"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0.0001</w:t>
            </w:r>
          </w:p>
        </w:tc>
        <w:tc>
          <w:tcPr>
            <w:tcW w:w="781"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58" w:type="pct"/>
            <w:vMerge w:val="continue"/>
            <w:vAlign w:val="center"/>
          </w:tcPr>
          <w:p>
            <w:pPr>
              <w:pStyle w:val="825"/>
              <w:rPr>
                <w:rFonts w:ascii="Times New Roman" w:hAnsi="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pct"/>
            <w:vMerge w:val="continue"/>
            <w:vAlign w:val="center"/>
          </w:tcPr>
          <w:p>
            <w:pPr>
              <w:pStyle w:val="825"/>
              <w:rPr>
                <w:rFonts w:ascii="Times New Roman" w:hAnsi="Times New Roman" w:eastAsiaTheme="minorEastAsia"/>
                <w:color w:val="auto"/>
                <w:sz w:val="21"/>
                <w:szCs w:val="21"/>
              </w:rPr>
            </w:pPr>
          </w:p>
        </w:tc>
        <w:tc>
          <w:tcPr>
            <w:tcW w:w="1018"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铅+镉及其化合物</w:t>
            </w:r>
          </w:p>
        </w:tc>
        <w:tc>
          <w:tcPr>
            <w:tcW w:w="547"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50%</w:t>
            </w:r>
          </w:p>
        </w:tc>
        <w:tc>
          <w:tcPr>
            <w:tcW w:w="627"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0.0011</w:t>
            </w:r>
          </w:p>
        </w:tc>
        <w:tc>
          <w:tcPr>
            <w:tcW w:w="705"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0.0012</w:t>
            </w:r>
          </w:p>
        </w:tc>
        <w:tc>
          <w:tcPr>
            <w:tcW w:w="781"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1.0</w:t>
            </w:r>
          </w:p>
        </w:tc>
        <w:tc>
          <w:tcPr>
            <w:tcW w:w="558" w:type="pct"/>
            <w:vMerge w:val="continue"/>
            <w:vAlign w:val="center"/>
          </w:tcPr>
          <w:p>
            <w:pPr>
              <w:pStyle w:val="825"/>
              <w:rPr>
                <w:rFonts w:ascii="Times New Roman" w:hAnsi="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pct"/>
            <w:vMerge w:val="continue"/>
            <w:vAlign w:val="center"/>
          </w:tcPr>
          <w:p>
            <w:pPr>
              <w:pStyle w:val="825"/>
              <w:rPr>
                <w:rFonts w:ascii="Times New Roman" w:hAnsi="Times New Roman" w:eastAsiaTheme="minorEastAsia"/>
                <w:color w:val="auto"/>
                <w:sz w:val="21"/>
                <w:szCs w:val="21"/>
              </w:rPr>
            </w:pPr>
          </w:p>
        </w:tc>
        <w:tc>
          <w:tcPr>
            <w:tcW w:w="1018"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铬及其化合物</w:t>
            </w:r>
          </w:p>
        </w:tc>
        <w:tc>
          <w:tcPr>
            <w:tcW w:w="547" w:type="pc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50%</w:t>
            </w:r>
          </w:p>
        </w:tc>
        <w:tc>
          <w:tcPr>
            <w:tcW w:w="627"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1.57×10</w:t>
            </w:r>
            <w:r>
              <w:rPr>
                <w:rFonts w:hint="eastAsia" w:ascii="Times New Roman" w:hAnsi="Times New Roman" w:eastAsiaTheme="minorEastAsia"/>
                <w:color w:val="auto"/>
                <w:sz w:val="21"/>
                <w:szCs w:val="21"/>
                <w:vertAlign w:val="superscript"/>
              </w:rPr>
              <w:t>-7</w:t>
            </w:r>
          </w:p>
        </w:tc>
        <w:tc>
          <w:tcPr>
            <w:tcW w:w="705"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1.74×10</w:t>
            </w:r>
            <w:r>
              <w:rPr>
                <w:rFonts w:hint="eastAsia" w:ascii="Times New Roman" w:hAnsi="Times New Roman" w:eastAsiaTheme="minorEastAsia"/>
                <w:color w:val="auto"/>
                <w:sz w:val="21"/>
                <w:szCs w:val="21"/>
                <w:vertAlign w:val="superscript"/>
              </w:rPr>
              <w:t>-7</w:t>
            </w:r>
          </w:p>
        </w:tc>
        <w:tc>
          <w:tcPr>
            <w:tcW w:w="781" w:type="pc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0.5</w:t>
            </w:r>
          </w:p>
        </w:tc>
        <w:tc>
          <w:tcPr>
            <w:tcW w:w="558" w:type="pct"/>
            <w:vMerge w:val="continue"/>
            <w:vAlign w:val="center"/>
          </w:tcPr>
          <w:p>
            <w:pPr>
              <w:pStyle w:val="825"/>
              <w:rPr>
                <w:rFonts w:ascii="Times New Roman" w:hAnsi="Times New Roman" w:eastAsiaTheme="minorEastAsia"/>
                <w:color w:val="auto"/>
                <w:sz w:val="21"/>
                <w:szCs w:val="21"/>
              </w:rPr>
            </w:pPr>
          </w:p>
        </w:tc>
      </w:tr>
    </w:tbl>
    <w:p>
      <w:pPr>
        <w:pStyle w:val="2022"/>
        <w:ind w:firstLine="480"/>
      </w:pPr>
    </w:p>
    <w:p>
      <w:r>
        <w:rPr>
          <w:rFonts w:hint="eastAsia"/>
        </w:rPr>
        <w:t>由以上分析可知，当布袋除尘器故障，出现非正常排放时，其污染物的排放量大于正常工况污染物的排放量，因此，企业应采取有效的措施，尽量避免非正常工况下排污。</w:t>
      </w: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spacing w:line="480" w:lineRule="auto"/>
        <w:ind w:firstLine="643"/>
        <w:jc w:val="center"/>
        <w:rPr>
          <w:b/>
          <w:sz w:val="32"/>
          <w:szCs w:val="32"/>
        </w:rPr>
      </w:pPr>
      <w:r>
        <w:rPr>
          <w:rFonts w:hint="eastAsia"/>
          <w:b/>
          <w:sz w:val="32"/>
          <w:szCs w:val="32"/>
        </w:rPr>
        <w:t>4   大气环境影响及防治措施分析</w:t>
      </w:r>
    </w:p>
    <w:p>
      <w:pPr>
        <w:ind w:firstLine="0" w:firstLineChars="0"/>
        <w:rPr>
          <w:b/>
          <w:sz w:val="28"/>
          <w:szCs w:val="28"/>
        </w:rPr>
      </w:pPr>
      <w:r>
        <w:rPr>
          <w:rFonts w:hint="eastAsia"/>
          <w:b/>
          <w:sz w:val="28"/>
          <w:szCs w:val="28"/>
        </w:rPr>
        <w:t>4.1大气环境影响</w:t>
      </w:r>
    </w:p>
    <w:p>
      <w:pPr>
        <w:ind w:firstLine="0" w:firstLineChars="0"/>
        <w:rPr>
          <w:b/>
        </w:rPr>
      </w:pPr>
      <w:r>
        <w:rPr>
          <w:rFonts w:hint="eastAsia"/>
          <w:b/>
        </w:rPr>
        <w:t>4.1.1破袋粉尘</w:t>
      </w:r>
    </w:p>
    <w:p>
      <w:r>
        <w:rPr>
          <w:rFonts w:hint="eastAsia"/>
        </w:rPr>
        <w:t>破袋机为密闭装置，上方设有活动盖板，装有除尘灰的吨袋进入破袋机后上方盖板密闭，破袋机下方通过管道连接喷粉罐，进入喷粉罐的除尘灰通过气动装置</w:t>
      </w:r>
      <w:r>
        <w:rPr>
          <w:rFonts w:hint="eastAsia"/>
          <w:lang w:eastAsia="zh-CN"/>
        </w:rPr>
        <w:t>喷入</w:t>
      </w:r>
      <w:r>
        <w:rPr>
          <w:rFonts w:hint="eastAsia"/>
        </w:rPr>
        <w:t>电炉，因此破袋过程中基本无粉尘产生，对大气环境影响很小。</w:t>
      </w:r>
    </w:p>
    <w:p>
      <w:pPr>
        <w:ind w:firstLine="0" w:firstLineChars="0"/>
        <w:rPr>
          <w:b/>
        </w:rPr>
      </w:pPr>
      <w:r>
        <w:rPr>
          <w:rFonts w:hint="eastAsia"/>
          <w:b/>
        </w:rPr>
        <w:t>4.1.2电炉冶炼烟气</w:t>
      </w:r>
    </w:p>
    <w:p>
      <w:r>
        <w:t>电炉</w:t>
      </w:r>
      <w:r>
        <w:rPr>
          <w:rFonts w:hint="eastAsia"/>
        </w:rPr>
        <w:t>炼钢在吹氧</w:t>
      </w:r>
      <w:r>
        <w:t>冶炼</w:t>
      </w:r>
      <w:r>
        <w:rPr>
          <w:rFonts w:hint="eastAsia"/>
        </w:rPr>
        <w:t>、料篮加料及出钢</w:t>
      </w:r>
      <w:r>
        <w:t>过程</w:t>
      </w:r>
      <w:r>
        <w:rPr>
          <w:rFonts w:hint="eastAsia"/>
        </w:rPr>
        <w:t>会</w:t>
      </w:r>
      <w:r>
        <w:t>产生含</w:t>
      </w:r>
      <w:r>
        <w:rPr>
          <w:rFonts w:hint="eastAsia"/>
        </w:rPr>
        <w:t>颗粒物</w:t>
      </w:r>
      <w:r>
        <w:t>、SO</w:t>
      </w:r>
      <w:r>
        <w:rPr>
          <w:vertAlign w:val="subscript"/>
        </w:rPr>
        <w:t>2</w:t>
      </w:r>
      <w:r>
        <w:rPr>
          <w:rFonts w:hint="eastAsia"/>
        </w:rPr>
        <w:t>、NOx</w:t>
      </w:r>
      <w:r>
        <w:t>和</w:t>
      </w:r>
      <w:r>
        <w:rPr>
          <w:rFonts w:hint="eastAsia"/>
        </w:rPr>
        <w:t>少量二噁英的高温</w:t>
      </w:r>
      <w:r>
        <w:t>烟气。</w:t>
      </w:r>
    </w:p>
    <w:p>
      <w:r>
        <w:rPr>
          <w:rFonts w:hint="eastAsia"/>
        </w:rPr>
        <w:t>根据《重庆足航钢铁有限公司年产101万吨合金钢、普钢产能置换项目环境</w:t>
      </w:r>
      <w:r>
        <w:t>影响报告书》中源强核算，电炉炼钢颗粒物排放系数为12.3kg/t 钢水、SO</w:t>
      </w:r>
      <w:r>
        <w:rPr>
          <w:vertAlign w:val="subscript"/>
        </w:rPr>
        <w:t>2</w:t>
      </w:r>
      <w:r>
        <w:t>产生量约0.1~0.43 kg/t 钢水、NOx排污系数取200 g/t 钢水、二噁英排污系数取10.1μg-TEQ/t 钢水，由于本次除尘灰回收利用后原有炼钢工艺和生产规模不变，</w:t>
      </w:r>
      <w:r>
        <w:rPr>
          <w:rFonts w:hint="eastAsia"/>
        </w:rPr>
        <w:t>钢水量保持不变。</w:t>
      </w:r>
      <w:r>
        <w:t>电炉冶炼烟气采用“第四孔排烟+上料隧道+</w:t>
      </w:r>
      <w:r>
        <w:rPr>
          <w:rFonts w:hint="eastAsia"/>
        </w:rPr>
        <w:t>密闭罩+</w:t>
      </w:r>
      <w:r>
        <w:t>屋顶罩+布袋除尘器”的方式处理达标后</w:t>
      </w:r>
      <w:r>
        <w:rPr>
          <w:rFonts w:hint="eastAsia"/>
        </w:rPr>
        <w:t>经3根排气筒高空排放</w:t>
      </w:r>
      <w:r>
        <w:t>，废气处理措施不变</w:t>
      </w:r>
      <w:r>
        <w:rPr>
          <w:rFonts w:hint="eastAsia"/>
        </w:rPr>
        <w:t>。</w:t>
      </w:r>
      <w:r>
        <w:t>因此电炉冶炼烟气中</w:t>
      </w:r>
      <w:r>
        <w:rPr>
          <w:rFonts w:hint="eastAsia"/>
        </w:rPr>
        <w:t>颗粒物</w:t>
      </w:r>
      <w:r>
        <w:t>、SO</w:t>
      </w:r>
      <w:r>
        <w:rPr>
          <w:vertAlign w:val="subscript"/>
        </w:rPr>
        <w:t>2</w:t>
      </w:r>
      <w:r>
        <w:rPr>
          <w:rFonts w:hint="eastAsia"/>
        </w:rPr>
        <w:t>、NOx及二噁英</w:t>
      </w:r>
      <w:r>
        <w:t>产生</w:t>
      </w:r>
      <w:r>
        <w:rPr>
          <w:rFonts w:hint="eastAsia"/>
        </w:rPr>
        <w:t>及排放</w:t>
      </w:r>
      <w:r>
        <w:t>量不变</w:t>
      </w:r>
      <w:r>
        <w:rPr>
          <w:rFonts w:hint="eastAsia"/>
        </w:rPr>
        <w:t>，</w:t>
      </w:r>
      <w:r>
        <w:t>本次除尘灰回收利用后，不会带来电炉冶炼烟气污染物排放量的变化。</w:t>
      </w:r>
    </w:p>
    <w:p>
      <w:r>
        <w:rPr>
          <w:rFonts w:hint="eastAsia"/>
        </w:rPr>
        <w:t>根据企业在线监测数据和例行监测数据（见表2.4-8~2.4-11），</w:t>
      </w:r>
      <w:r>
        <w:t>电炉冶炼烟气中</w:t>
      </w:r>
      <w:r>
        <w:rPr>
          <w:rFonts w:hint="eastAsia"/>
        </w:rPr>
        <w:t>颗粒物、二噁英满足《炼钢工业大气污染物排放标准》（GB 28664-2012）表2、表4中的排放限值，</w:t>
      </w:r>
      <w:r>
        <w:t>SO</w:t>
      </w:r>
      <w:r>
        <w:rPr>
          <w:vertAlign w:val="subscript"/>
        </w:rPr>
        <w:t>2</w:t>
      </w:r>
      <w:r>
        <w:rPr>
          <w:rFonts w:hint="eastAsia"/>
        </w:rPr>
        <w:t>、</w:t>
      </w:r>
      <w:r>
        <w:t>NO</w:t>
      </w:r>
      <w:r>
        <w:rPr>
          <w:vertAlign w:val="subscript"/>
        </w:rPr>
        <w:t>2</w:t>
      </w:r>
      <w:r>
        <w:rPr>
          <w:rFonts w:hint="eastAsia"/>
        </w:rPr>
        <w:t>满足《工业炉窑大气污染物排放标准》（DB50/659-2016）表1中的排放限值。</w:t>
      </w:r>
    </w:p>
    <w:p>
      <w:pPr>
        <w:ind w:firstLine="0" w:firstLineChars="0"/>
        <w:rPr>
          <w:b/>
        </w:rPr>
      </w:pPr>
      <w:r>
        <w:rPr>
          <w:rFonts w:hint="eastAsia"/>
          <w:b/>
        </w:rPr>
        <w:t>4.1.3除尘灰回炉利用废气</w:t>
      </w:r>
    </w:p>
    <w:p>
      <w:r>
        <w:rPr>
          <w:rFonts w:hint="eastAsia"/>
        </w:rPr>
        <w:t>除尘灰回炉利用过程产生的废气主要为铅、镉和铬及其化合物，经现有“第四孔排烟+密闭罩+屋顶罩+袋式除尘器”处理后，1#电炉排气筒铅+镉及其化合物排放量为0.0136t/a，0.0018kg/h，排放浓度为0.0019mg/m</w:t>
      </w:r>
      <w:r>
        <w:rPr>
          <w:rFonts w:hint="eastAsia"/>
          <w:vertAlign w:val="superscript"/>
        </w:rPr>
        <w:t>3</w:t>
      </w:r>
      <w:r>
        <w:rPr>
          <w:rFonts w:hint="eastAsia"/>
        </w:rPr>
        <w:t>；铬及其化合物排放量为2×10</w:t>
      </w:r>
      <w:r>
        <w:rPr>
          <w:rFonts w:hint="eastAsia"/>
          <w:vertAlign w:val="superscript"/>
        </w:rPr>
        <w:t>-6</w:t>
      </w:r>
      <w:r>
        <w:rPr>
          <w:rFonts w:hint="eastAsia"/>
        </w:rPr>
        <w:t>t/a，2.5×10</w:t>
      </w:r>
      <w:r>
        <w:rPr>
          <w:rFonts w:hint="eastAsia"/>
          <w:vertAlign w:val="superscript"/>
        </w:rPr>
        <w:t>-7</w:t>
      </w:r>
      <w:r>
        <w:rPr>
          <w:rFonts w:hint="eastAsia"/>
        </w:rPr>
        <w:t>kg/h，排放浓度为2.8×10</w:t>
      </w:r>
      <w:r>
        <w:rPr>
          <w:rFonts w:hint="eastAsia"/>
          <w:vertAlign w:val="superscript"/>
        </w:rPr>
        <w:t>-7</w:t>
      </w:r>
      <w:r>
        <w:rPr>
          <w:rFonts w:hint="eastAsia"/>
        </w:rPr>
        <w:t>mg/m</w:t>
      </w:r>
      <w:r>
        <w:rPr>
          <w:rFonts w:hint="eastAsia"/>
          <w:vertAlign w:val="superscript"/>
        </w:rPr>
        <w:t>3</w:t>
      </w:r>
      <w:r>
        <w:rPr>
          <w:rFonts w:hint="eastAsia"/>
        </w:rPr>
        <w:t>。2#电炉排气筒1铅+镉及其化合物排放量为0.0068t/a，0.0009kg/h，排放浓度为0.0010mg/m</w:t>
      </w:r>
      <w:r>
        <w:rPr>
          <w:rFonts w:hint="eastAsia"/>
          <w:vertAlign w:val="superscript"/>
        </w:rPr>
        <w:t>3</w:t>
      </w:r>
      <w:r>
        <w:rPr>
          <w:rFonts w:hint="eastAsia"/>
        </w:rPr>
        <w:t>；铬及其化合物排放量为1×10</w:t>
      </w:r>
      <w:r>
        <w:rPr>
          <w:rFonts w:hint="eastAsia"/>
          <w:vertAlign w:val="superscript"/>
        </w:rPr>
        <w:t>-6</w:t>
      </w:r>
      <w:r>
        <w:rPr>
          <w:rFonts w:hint="eastAsia"/>
        </w:rPr>
        <w:t>t/a，1.25×10</w:t>
      </w:r>
      <w:r>
        <w:rPr>
          <w:rFonts w:hint="eastAsia"/>
          <w:vertAlign w:val="superscript"/>
        </w:rPr>
        <w:t>-7</w:t>
      </w:r>
      <w:r>
        <w:rPr>
          <w:rFonts w:hint="eastAsia"/>
        </w:rPr>
        <w:t>kg/h，排放浓度为1.4×10</w:t>
      </w:r>
      <w:r>
        <w:rPr>
          <w:rFonts w:hint="eastAsia"/>
          <w:vertAlign w:val="superscript"/>
        </w:rPr>
        <w:t>-7</w:t>
      </w:r>
      <w:r>
        <w:rPr>
          <w:rFonts w:hint="eastAsia"/>
        </w:rPr>
        <w:t>mg/m</w:t>
      </w:r>
      <w:r>
        <w:rPr>
          <w:rFonts w:hint="eastAsia"/>
          <w:vertAlign w:val="superscript"/>
        </w:rPr>
        <w:t>3</w:t>
      </w:r>
      <w:r>
        <w:rPr>
          <w:rFonts w:hint="eastAsia"/>
        </w:rPr>
        <w:t>。2#电炉排气筒2铅+镉及其化合物排放量为0.0068t/a，0.0009kg/h，排放浓度为0.0010mg/m</w:t>
      </w:r>
      <w:r>
        <w:rPr>
          <w:rFonts w:hint="eastAsia"/>
          <w:vertAlign w:val="superscript"/>
        </w:rPr>
        <w:t>3</w:t>
      </w:r>
      <w:r>
        <w:rPr>
          <w:rFonts w:hint="eastAsia"/>
        </w:rPr>
        <w:t>；铬及其化合物排放量为1×10</w:t>
      </w:r>
      <w:r>
        <w:rPr>
          <w:rFonts w:hint="eastAsia"/>
          <w:vertAlign w:val="superscript"/>
        </w:rPr>
        <w:t>-6</w:t>
      </w:r>
      <w:r>
        <w:rPr>
          <w:rFonts w:hint="eastAsia"/>
        </w:rPr>
        <w:t>t/a，1.25×10</w:t>
      </w:r>
      <w:r>
        <w:rPr>
          <w:rFonts w:hint="eastAsia"/>
          <w:vertAlign w:val="superscript"/>
        </w:rPr>
        <w:t>-7</w:t>
      </w:r>
      <w:r>
        <w:rPr>
          <w:rFonts w:hint="eastAsia"/>
        </w:rPr>
        <w:t>kg/h，排放浓度为1.4×10</w:t>
      </w:r>
      <w:r>
        <w:rPr>
          <w:rFonts w:hint="eastAsia"/>
          <w:vertAlign w:val="superscript"/>
        </w:rPr>
        <w:t>-7</w:t>
      </w:r>
      <w:r>
        <w:rPr>
          <w:rFonts w:hint="eastAsia"/>
        </w:rPr>
        <w:t>mg/m</w:t>
      </w:r>
      <w:r>
        <w:rPr>
          <w:rFonts w:hint="eastAsia"/>
          <w:vertAlign w:val="superscript"/>
        </w:rPr>
        <w:t>3</w:t>
      </w:r>
      <w:r>
        <w:rPr>
          <w:rFonts w:hint="eastAsia"/>
        </w:rPr>
        <w:t>，能够满足《水泥窑协同处置固体废物污染控制标准》（</w:t>
      </w:r>
      <w:r>
        <w:t>GB 30485-2013</w:t>
      </w:r>
      <w:r>
        <w:rPr>
          <w:rFonts w:hint="eastAsia"/>
        </w:rPr>
        <w:t>）中的相关要求，对大气环境影响很小。</w:t>
      </w:r>
    </w:p>
    <w:p>
      <w:pPr>
        <w:ind w:firstLine="0" w:firstLineChars="0"/>
        <w:rPr>
          <w:b/>
        </w:rPr>
      </w:pPr>
      <w:r>
        <w:rPr>
          <w:b/>
        </w:rPr>
        <w:t>4.</w:t>
      </w:r>
      <w:r>
        <w:rPr>
          <w:rFonts w:hint="eastAsia"/>
          <w:b/>
        </w:rPr>
        <w:t>1</w:t>
      </w:r>
      <w:r>
        <w:rPr>
          <w:b/>
        </w:rPr>
        <w:t>.4大气环境防护距离</w:t>
      </w:r>
    </w:p>
    <w:p>
      <w:r>
        <w:rPr>
          <w:rFonts w:hint="eastAsia"/>
        </w:rPr>
        <w:t>根据《环境影响评价技术导则 大气环境》（</w:t>
      </w:r>
      <w:r>
        <w:t>HJ2.2-2018</w:t>
      </w:r>
      <w:r>
        <w:rPr>
          <w:rFonts w:hint="eastAsia"/>
        </w:rPr>
        <w:t xml:space="preserve">），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 </w:t>
      </w:r>
    </w:p>
    <w:p>
      <w:r>
        <w:rPr>
          <w:rFonts w:hint="eastAsia"/>
        </w:rPr>
        <w:t>使用《环境影响评价技术导则 大气环境》（</w:t>
      </w:r>
      <w:r>
        <w:t>HJ2.2-2018</w:t>
      </w:r>
      <w:r>
        <w:rPr>
          <w:rFonts w:hint="eastAsia"/>
        </w:rPr>
        <w:t>）附录</w:t>
      </w:r>
      <w:r>
        <w:t>A</w:t>
      </w:r>
      <w:r>
        <w:rPr>
          <w:rFonts w:hint="eastAsia"/>
        </w:rPr>
        <w:t xml:space="preserve">中推荐的模型进行计算，本项目污染物浓度贡献占标率均未超过 </w:t>
      </w:r>
      <w:r>
        <w:t>100%</w:t>
      </w:r>
      <w:r>
        <w:rPr>
          <w:rFonts w:hint="eastAsia"/>
        </w:rPr>
        <w:t>，因此不设置大气环境防护距离。</w:t>
      </w:r>
    </w:p>
    <w:p>
      <w:pPr>
        <w:ind w:firstLine="0" w:firstLineChars="0"/>
        <w:rPr>
          <w:b/>
        </w:rPr>
      </w:pPr>
      <w:r>
        <w:rPr>
          <w:rFonts w:hint="eastAsia"/>
          <w:b/>
        </w:rPr>
        <w:t>4.1.5污染物</w:t>
      </w:r>
      <w:r>
        <w:rPr>
          <w:b/>
        </w:rPr>
        <w:t>排放量核算</w:t>
      </w:r>
    </w:p>
    <w:p>
      <w:pPr>
        <w:ind w:firstLineChars="0"/>
      </w:pPr>
      <w:r>
        <w:rPr>
          <w:rFonts w:hint="eastAsia"/>
        </w:rPr>
        <w:t>（1）有组织排放量核算</w:t>
      </w:r>
    </w:p>
    <w:p>
      <w:pPr>
        <w:ind w:firstLineChars="0"/>
      </w:pPr>
      <w:r>
        <w:rPr>
          <w:rFonts w:hint="eastAsia"/>
        </w:rPr>
        <w:t>本项目有组织排放量核算见专项表4.1-1。</w:t>
      </w:r>
    </w:p>
    <w:p>
      <w:pPr>
        <w:pStyle w:val="178"/>
        <w:ind w:firstLine="420"/>
        <w:rPr>
          <w:rFonts w:eastAsia="宋体"/>
          <w:color w:val="auto"/>
          <w:szCs w:val="21"/>
        </w:rPr>
      </w:pPr>
      <w:r>
        <w:rPr>
          <w:rFonts w:hint="eastAsia" w:eastAsia="宋体"/>
          <w:color w:val="auto"/>
          <w:szCs w:val="21"/>
        </w:rPr>
        <w:t>专项表4.1-1</w:t>
      </w:r>
      <w:r>
        <w:rPr>
          <w:rFonts w:eastAsia="宋体"/>
          <w:color w:val="auto"/>
          <w:szCs w:val="21"/>
        </w:rPr>
        <w:t xml:space="preserve"> </w:t>
      </w:r>
      <w:r>
        <w:rPr>
          <w:rFonts w:hint="eastAsia" w:eastAsia="宋体"/>
          <w:color w:val="auto"/>
          <w:szCs w:val="21"/>
        </w:rPr>
        <w:t xml:space="preserve"> </w:t>
      </w:r>
      <w:r>
        <w:rPr>
          <w:rFonts w:eastAsia="宋体"/>
          <w:color w:val="auto"/>
          <w:szCs w:val="21"/>
        </w:rPr>
        <w:t>大气</w:t>
      </w:r>
      <w:r>
        <w:rPr>
          <w:rFonts w:hint="eastAsia" w:eastAsia="宋体"/>
          <w:color w:val="auto"/>
          <w:szCs w:val="21"/>
        </w:rPr>
        <w:t>污染物有组织排放量核算表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3"/>
        <w:gridCol w:w="1689"/>
        <w:gridCol w:w="1723"/>
        <w:gridCol w:w="1725"/>
        <w:gridCol w:w="1438"/>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pct"/>
            <w:vAlign w:val="center"/>
          </w:tcPr>
          <w:p>
            <w:pPr>
              <w:pStyle w:val="825"/>
              <w:rPr>
                <w:rFonts w:ascii="Times New Roman" w:hAnsi="Times New Roman"/>
                <w:color w:val="auto"/>
                <w:sz w:val="21"/>
                <w:szCs w:val="21"/>
              </w:rPr>
            </w:pPr>
            <w:r>
              <w:rPr>
                <w:rFonts w:ascii="Times New Roman" w:hAnsi="Times New Roman"/>
                <w:color w:val="auto"/>
                <w:sz w:val="21"/>
                <w:szCs w:val="21"/>
              </w:rPr>
              <w:t>序号</w:t>
            </w:r>
          </w:p>
        </w:tc>
        <w:tc>
          <w:tcPr>
            <w:tcW w:w="954" w:type="pct"/>
            <w:vAlign w:val="center"/>
          </w:tcPr>
          <w:p>
            <w:pPr>
              <w:pStyle w:val="825"/>
              <w:rPr>
                <w:rFonts w:ascii="Times New Roman" w:hAnsi="Times New Roman"/>
                <w:color w:val="auto"/>
                <w:sz w:val="21"/>
                <w:szCs w:val="21"/>
              </w:rPr>
            </w:pPr>
            <w:r>
              <w:rPr>
                <w:rFonts w:ascii="Times New Roman" w:hAnsi="Times New Roman"/>
                <w:color w:val="auto"/>
                <w:sz w:val="21"/>
                <w:szCs w:val="21"/>
              </w:rPr>
              <w:t>排放口编号</w:t>
            </w:r>
          </w:p>
        </w:tc>
        <w:tc>
          <w:tcPr>
            <w:tcW w:w="973" w:type="pct"/>
            <w:vAlign w:val="center"/>
          </w:tcPr>
          <w:p>
            <w:pPr>
              <w:pStyle w:val="825"/>
              <w:rPr>
                <w:rFonts w:ascii="Times New Roman" w:hAnsi="Times New Roman"/>
                <w:color w:val="auto"/>
                <w:sz w:val="21"/>
                <w:szCs w:val="21"/>
              </w:rPr>
            </w:pPr>
            <w:r>
              <w:rPr>
                <w:rFonts w:ascii="Times New Roman" w:hAnsi="Times New Roman"/>
                <w:color w:val="auto"/>
                <w:sz w:val="21"/>
                <w:szCs w:val="21"/>
              </w:rPr>
              <w:t>污染物</w:t>
            </w:r>
          </w:p>
        </w:tc>
        <w:tc>
          <w:tcPr>
            <w:tcW w:w="974" w:type="pct"/>
            <w:vAlign w:val="center"/>
          </w:tcPr>
          <w:p>
            <w:pPr>
              <w:pStyle w:val="825"/>
              <w:rPr>
                <w:rFonts w:ascii="Times New Roman" w:hAnsi="Times New Roman"/>
                <w:color w:val="auto"/>
                <w:sz w:val="21"/>
                <w:szCs w:val="21"/>
              </w:rPr>
            </w:pPr>
            <w:r>
              <w:rPr>
                <w:rFonts w:ascii="Times New Roman" w:hAnsi="Times New Roman"/>
                <w:color w:val="auto"/>
                <w:sz w:val="21"/>
                <w:szCs w:val="21"/>
              </w:rPr>
              <w:t>核算排放浓度（mg/m</w:t>
            </w:r>
            <w:r>
              <w:rPr>
                <w:rFonts w:ascii="Times New Roman" w:hAnsi="Times New Roman"/>
                <w:color w:val="auto"/>
                <w:sz w:val="21"/>
                <w:szCs w:val="21"/>
                <w:vertAlign w:val="superscript"/>
              </w:rPr>
              <w:t>3</w:t>
            </w:r>
            <w:r>
              <w:rPr>
                <w:rFonts w:ascii="Times New Roman" w:hAnsi="Times New Roman"/>
                <w:color w:val="auto"/>
                <w:sz w:val="21"/>
                <w:szCs w:val="21"/>
              </w:rPr>
              <w:t>）</w:t>
            </w:r>
          </w:p>
        </w:tc>
        <w:tc>
          <w:tcPr>
            <w:tcW w:w="812" w:type="pct"/>
            <w:vAlign w:val="center"/>
          </w:tcPr>
          <w:p>
            <w:pPr>
              <w:pStyle w:val="825"/>
              <w:rPr>
                <w:rFonts w:ascii="Times New Roman" w:hAnsi="Times New Roman"/>
                <w:color w:val="auto"/>
                <w:sz w:val="21"/>
                <w:szCs w:val="21"/>
              </w:rPr>
            </w:pPr>
            <w:r>
              <w:rPr>
                <w:rFonts w:ascii="Times New Roman" w:hAnsi="Times New Roman"/>
                <w:color w:val="auto"/>
                <w:sz w:val="21"/>
                <w:szCs w:val="21"/>
              </w:rPr>
              <w:t>核算排放速率（kg/h）</w:t>
            </w:r>
          </w:p>
        </w:tc>
        <w:tc>
          <w:tcPr>
            <w:tcW w:w="941" w:type="pct"/>
            <w:vAlign w:val="center"/>
          </w:tcPr>
          <w:p>
            <w:pPr>
              <w:pStyle w:val="825"/>
              <w:rPr>
                <w:rFonts w:ascii="Times New Roman" w:hAnsi="Times New Roman"/>
                <w:color w:val="auto"/>
                <w:sz w:val="21"/>
                <w:szCs w:val="21"/>
              </w:rPr>
            </w:pPr>
            <w:r>
              <w:rPr>
                <w:rFonts w:ascii="Times New Roman" w:hAnsi="Times New Roman"/>
                <w:color w:val="auto"/>
                <w:sz w:val="21"/>
                <w:szCs w:val="21"/>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000" w:type="pct"/>
            <w:gridSpan w:val="6"/>
            <w:vAlign w:val="center"/>
          </w:tcPr>
          <w:p>
            <w:pPr>
              <w:pStyle w:val="825"/>
              <w:rPr>
                <w:rFonts w:ascii="Times New Roman" w:hAnsi="Times New Roman"/>
                <w:color w:val="auto"/>
                <w:sz w:val="21"/>
                <w:szCs w:val="21"/>
              </w:rPr>
            </w:pPr>
            <w:r>
              <w:rPr>
                <w:rFonts w:ascii="Times New Roman" w:hAnsi="Times New Roman"/>
                <w:color w:val="auto"/>
                <w:sz w:val="21"/>
                <w:szCs w:val="21"/>
              </w:rP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pct"/>
            <w:vMerge w:val="restart"/>
            <w:vAlign w:val="center"/>
          </w:tcPr>
          <w:p>
            <w:pPr>
              <w:pStyle w:val="825"/>
              <w:rPr>
                <w:rFonts w:ascii="Times New Roman" w:hAnsi="Times New Roman" w:eastAsiaTheme="minorEastAsia"/>
                <w:color w:val="auto"/>
                <w:sz w:val="21"/>
                <w:szCs w:val="21"/>
              </w:rPr>
            </w:pPr>
            <w:r>
              <w:rPr>
                <w:rFonts w:ascii="Times New Roman" w:hAnsi="Times New Roman" w:eastAsiaTheme="minorEastAsia"/>
                <w:color w:val="auto"/>
                <w:sz w:val="21"/>
                <w:szCs w:val="21"/>
              </w:rPr>
              <w:t>1</w:t>
            </w:r>
          </w:p>
        </w:tc>
        <w:tc>
          <w:tcPr>
            <w:tcW w:w="954" w:type="pct"/>
            <w:vMerge w:val="restar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1#电炉排气筒</w:t>
            </w:r>
          </w:p>
        </w:tc>
        <w:tc>
          <w:tcPr>
            <w:tcW w:w="973"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铅及其化合物</w:t>
            </w:r>
          </w:p>
        </w:tc>
        <w:tc>
          <w:tcPr>
            <w:tcW w:w="974" w:type="pct"/>
            <w:vAlign w:val="center"/>
          </w:tcPr>
          <w:p>
            <w:pPr>
              <w:pStyle w:val="825"/>
              <w:rPr>
                <w:rFonts w:ascii="Times New Roman" w:hAnsi="Times New Roman"/>
                <w:color w:val="auto"/>
                <w:sz w:val="21"/>
                <w:szCs w:val="21"/>
              </w:rPr>
            </w:pPr>
            <w:r>
              <w:rPr>
                <w:rFonts w:ascii="Times New Roman" w:hAnsi="Times New Roman"/>
                <w:color w:val="auto"/>
                <w:sz w:val="21"/>
                <w:szCs w:val="21"/>
              </w:rPr>
              <w:t>0.00</w:t>
            </w:r>
            <w:r>
              <w:rPr>
                <w:rFonts w:hint="eastAsia" w:ascii="Times New Roman" w:hAnsi="Times New Roman"/>
                <w:color w:val="auto"/>
                <w:sz w:val="21"/>
                <w:szCs w:val="21"/>
              </w:rPr>
              <w:t>17</w:t>
            </w:r>
          </w:p>
        </w:tc>
        <w:tc>
          <w:tcPr>
            <w:tcW w:w="812" w:type="pct"/>
            <w:vAlign w:val="center"/>
          </w:tcPr>
          <w:p>
            <w:pPr>
              <w:pStyle w:val="186"/>
            </w:pPr>
            <w:r>
              <w:rPr>
                <w:rFonts w:hint="eastAsia"/>
              </w:rPr>
              <w:t>0.0016</w:t>
            </w:r>
          </w:p>
        </w:tc>
        <w:tc>
          <w:tcPr>
            <w:tcW w:w="941" w:type="pct"/>
            <w:vAlign w:val="center"/>
          </w:tcPr>
          <w:p>
            <w:pPr>
              <w:pStyle w:val="186"/>
            </w:pPr>
            <w:r>
              <w:rPr>
                <w:rFonts w:hint="eastAsia"/>
              </w:rPr>
              <w:t>0.0124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pct"/>
            <w:vMerge w:val="continue"/>
            <w:vAlign w:val="center"/>
          </w:tcPr>
          <w:p>
            <w:pPr>
              <w:pStyle w:val="825"/>
              <w:rPr>
                <w:rFonts w:ascii="Times New Roman" w:hAnsi="Times New Roman" w:eastAsiaTheme="minorEastAsia"/>
                <w:color w:val="auto"/>
                <w:sz w:val="21"/>
                <w:szCs w:val="21"/>
              </w:rPr>
            </w:pPr>
          </w:p>
        </w:tc>
        <w:tc>
          <w:tcPr>
            <w:tcW w:w="954" w:type="pct"/>
            <w:vMerge w:val="continue"/>
            <w:vAlign w:val="center"/>
          </w:tcPr>
          <w:p>
            <w:pPr>
              <w:pStyle w:val="825"/>
              <w:rPr>
                <w:rFonts w:ascii="Times New Roman" w:hAnsi="Times New Roman" w:eastAsiaTheme="minorEastAsia"/>
                <w:color w:val="auto"/>
                <w:sz w:val="21"/>
                <w:szCs w:val="21"/>
              </w:rPr>
            </w:pPr>
          </w:p>
        </w:tc>
        <w:tc>
          <w:tcPr>
            <w:tcW w:w="973" w:type="pct"/>
            <w:vAlign w:val="center"/>
          </w:tcPr>
          <w:p>
            <w:pPr>
              <w:pStyle w:val="186"/>
            </w:pPr>
            <w:r>
              <w:rPr>
                <w:rFonts w:hint="eastAsia"/>
              </w:rPr>
              <w:t>镉及其化合物</w:t>
            </w:r>
          </w:p>
        </w:tc>
        <w:tc>
          <w:tcPr>
            <w:tcW w:w="974"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0.0002</w:t>
            </w:r>
          </w:p>
        </w:tc>
        <w:tc>
          <w:tcPr>
            <w:tcW w:w="812" w:type="pct"/>
            <w:vAlign w:val="center"/>
          </w:tcPr>
          <w:p>
            <w:pPr>
              <w:pStyle w:val="186"/>
            </w:pPr>
            <w:r>
              <w:rPr>
                <w:rFonts w:hint="eastAsia"/>
              </w:rPr>
              <w:t>0.0002</w:t>
            </w:r>
          </w:p>
        </w:tc>
        <w:tc>
          <w:tcPr>
            <w:tcW w:w="941" w:type="pct"/>
            <w:vAlign w:val="center"/>
          </w:tcPr>
          <w:p>
            <w:pPr>
              <w:pStyle w:val="186"/>
            </w:pPr>
            <w:r>
              <w:rPr>
                <w:rFonts w:hint="eastAsia"/>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pct"/>
            <w:vMerge w:val="continue"/>
            <w:vAlign w:val="center"/>
          </w:tcPr>
          <w:p>
            <w:pPr>
              <w:pStyle w:val="825"/>
              <w:rPr>
                <w:rFonts w:ascii="Times New Roman" w:hAnsi="Times New Roman" w:eastAsiaTheme="minorEastAsia"/>
                <w:color w:val="auto"/>
                <w:sz w:val="21"/>
                <w:szCs w:val="21"/>
              </w:rPr>
            </w:pPr>
          </w:p>
        </w:tc>
        <w:tc>
          <w:tcPr>
            <w:tcW w:w="954" w:type="pct"/>
            <w:vMerge w:val="continue"/>
            <w:vAlign w:val="center"/>
          </w:tcPr>
          <w:p>
            <w:pPr>
              <w:pStyle w:val="825"/>
              <w:rPr>
                <w:rFonts w:ascii="Times New Roman" w:hAnsi="Times New Roman" w:eastAsiaTheme="minorEastAsia"/>
                <w:color w:val="auto"/>
                <w:sz w:val="21"/>
                <w:szCs w:val="21"/>
              </w:rPr>
            </w:pPr>
          </w:p>
        </w:tc>
        <w:tc>
          <w:tcPr>
            <w:tcW w:w="973" w:type="pct"/>
            <w:vAlign w:val="center"/>
          </w:tcPr>
          <w:p>
            <w:pPr>
              <w:pStyle w:val="186"/>
            </w:pPr>
            <w:r>
              <w:rPr>
                <w:rFonts w:hint="eastAsia"/>
              </w:rPr>
              <w:t>铅+镉及其化合物</w:t>
            </w:r>
          </w:p>
        </w:tc>
        <w:tc>
          <w:tcPr>
            <w:tcW w:w="974"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0.0019</w:t>
            </w:r>
          </w:p>
        </w:tc>
        <w:tc>
          <w:tcPr>
            <w:tcW w:w="812" w:type="pct"/>
            <w:vAlign w:val="center"/>
          </w:tcPr>
          <w:p>
            <w:pPr>
              <w:pStyle w:val="186"/>
            </w:pPr>
            <w:r>
              <w:rPr>
                <w:rFonts w:hint="eastAsia"/>
              </w:rPr>
              <w:t>0.0018</w:t>
            </w:r>
          </w:p>
        </w:tc>
        <w:tc>
          <w:tcPr>
            <w:tcW w:w="941" w:type="pct"/>
            <w:vAlign w:val="center"/>
          </w:tcPr>
          <w:p>
            <w:pPr>
              <w:pStyle w:val="186"/>
            </w:pPr>
            <w:r>
              <w:rPr>
                <w:rFonts w:hint="eastAsia"/>
              </w:rPr>
              <w:t>0.0136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pct"/>
            <w:vMerge w:val="continue"/>
            <w:vAlign w:val="center"/>
          </w:tcPr>
          <w:p>
            <w:pPr>
              <w:pStyle w:val="825"/>
              <w:rPr>
                <w:rFonts w:ascii="Times New Roman" w:hAnsi="Times New Roman" w:eastAsiaTheme="minorEastAsia"/>
                <w:color w:val="auto"/>
                <w:sz w:val="21"/>
                <w:szCs w:val="21"/>
              </w:rPr>
            </w:pPr>
          </w:p>
        </w:tc>
        <w:tc>
          <w:tcPr>
            <w:tcW w:w="954" w:type="pct"/>
            <w:vMerge w:val="continue"/>
            <w:vAlign w:val="center"/>
          </w:tcPr>
          <w:p>
            <w:pPr>
              <w:pStyle w:val="825"/>
              <w:rPr>
                <w:rFonts w:ascii="Times New Roman" w:hAnsi="Times New Roman" w:eastAsiaTheme="minorEastAsia"/>
                <w:color w:val="auto"/>
                <w:sz w:val="21"/>
                <w:szCs w:val="21"/>
              </w:rPr>
            </w:pPr>
          </w:p>
        </w:tc>
        <w:tc>
          <w:tcPr>
            <w:tcW w:w="973" w:type="pct"/>
            <w:vAlign w:val="center"/>
          </w:tcPr>
          <w:p>
            <w:pPr>
              <w:pStyle w:val="186"/>
            </w:pPr>
            <w:r>
              <w:rPr>
                <w:rFonts w:hint="eastAsia"/>
              </w:rPr>
              <w:t>铬及其化合物</w:t>
            </w:r>
          </w:p>
        </w:tc>
        <w:tc>
          <w:tcPr>
            <w:tcW w:w="974"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2.8×10</w:t>
            </w:r>
            <w:r>
              <w:rPr>
                <w:rFonts w:hint="eastAsia" w:ascii="Times New Roman" w:hAnsi="Times New Roman"/>
                <w:color w:val="auto"/>
                <w:sz w:val="21"/>
                <w:szCs w:val="21"/>
                <w:vertAlign w:val="superscript"/>
              </w:rPr>
              <w:t>-7</w:t>
            </w:r>
          </w:p>
        </w:tc>
        <w:tc>
          <w:tcPr>
            <w:tcW w:w="812" w:type="pct"/>
            <w:vAlign w:val="center"/>
          </w:tcPr>
          <w:p>
            <w:pPr>
              <w:pStyle w:val="186"/>
            </w:pPr>
            <w:r>
              <w:rPr>
                <w:rFonts w:hint="eastAsia"/>
              </w:rPr>
              <w:t>2.5×10</w:t>
            </w:r>
            <w:r>
              <w:rPr>
                <w:rFonts w:hint="eastAsia"/>
                <w:vertAlign w:val="superscript"/>
              </w:rPr>
              <w:t>-7</w:t>
            </w:r>
          </w:p>
        </w:tc>
        <w:tc>
          <w:tcPr>
            <w:tcW w:w="941" w:type="pct"/>
            <w:vAlign w:val="center"/>
          </w:tcPr>
          <w:p>
            <w:pPr>
              <w:pStyle w:val="186"/>
            </w:pPr>
            <w:r>
              <w:rPr>
                <w:rFonts w:hint="eastAsia"/>
              </w:rPr>
              <w:t>2×10</w:t>
            </w:r>
            <w:r>
              <w:rPr>
                <w:rFonts w:hint="eastAsia"/>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pct"/>
            <w:vMerge w:val="restar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2</w:t>
            </w:r>
          </w:p>
        </w:tc>
        <w:tc>
          <w:tcPr>
            <w:tcW w:w="954" w:type="pct"/>
            <w:vMerge w:val="restar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2#电炉排气筒1</w:t>
            </w:r>
          </w:p>
        </w:tc>
        <w:tc>
          <w:tcPr>
            <w:tcW w:w="973"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铅及其化合物</w:t>
            </w:r>
          </w:p>
        </w:tc>
        <w:tc>
          <w:tcPr>
            <w:tcW w:w="974" w:type="pct"/>
            <w:vAlign w:val="center"/>
          </w:tcPr>
          <w:p>
            <w:pPr>
              <w:pStyle w:val="186"/>
            </w:pPr>
            <w:r>
              <w:rPr>
                <w:rFonts w:hint="eastAsia"/>
              </w:rPr>
              <w:t>0.0009</w:t>
            </w:r>
          </w:p>
        </w:tc>
        <w:tc>
          <w:tcPr>
            <w:tcW w:w="812" w:type="pct"/>
            <w:vAlign w:val="center"/>
          </w:tcPr>
          <w:p>
            <w:pPr>
              <w:pStyle w:val="186"/>
            </w:pPr>
            <w:r>
              <w:rPr>
                <w:rFonts w:hint="eastAsia"/>
              </w:rPr>
              <w:t>0.0008</w:t>
            </w:r>
          </w:p>
        </w:tc>
        <w:tc>
          <w:tcPr>
            <w:tcW w:w="941" w:type="pct"/>
            <w:vAlign w:val="center"/>
          </w:tcPr>
          <w:p>
            <w:pPr>
              <w:pStyle w:val="186"/>
            </w:pPr>
            <w:r>
              <w:rPr>
                <w:rFonts w:hint="eastAsia"/>
              </w:rPr>
              <w:t>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pct"/>
            <w:vMerge w:val="continue"/>
            <w:vAlign w:val="center"/>
          </w:tcPr>
          <w:p>
            <w:pPr>
              <w:pStyle w:val="825"/>
              <w:rPr>
                <w:rFonts w:ascii="Times New Roman" w:hAnsi="Times New Roman" w:eastAsiaTheme="minorEastAsia"/>
                <w:color w:val="auto"/>
                <w:sz w:val="21"/>
                <w:szCs w:val="21"/>
              </w:rPr>
            </w:pPr>
          </w:p>
        </w:tc>
        <w:tc>
          <w:tcPr>
            <w:tcW w:w="954" w:type="pct"/>
            <w:vMerge w:val="continue"/>
            <w:vAlign w:val="center"/>
          </w:tcPr>
          <w:p>
            <w:pPr>
              <w:pStyle w:val="825"/>
              <w:rPr>
                <w:rFonts w:ascii="Times New Roman" w:hAnsi="Times New Roman" w:eastAsiaTheme="minorEastAsia"/>
                <w:color w:val="auto"/>
                <w:sz w:val="21"/>
                <w:szCs w:val="21"/>
              </w:rPr>
            </w:pPr>
          </w:p>
        </w:tc>
        <w:tc>
          <w:tcPr>
            <w:tcW w:w="973" w:type="pct"/>
            <w:vAlign w:val="center"/>
          </w:tcPr>
          <w:p>
            <w:pPr>
              <w:pStyle w:val="186"/>
            </w:pPr>
            <w:r>
              <w:rPr>
                <w:rFonts w:hint="eastAsia"/>
              </w:rPr>
              <w:t>镉及其化合物</w:t>
            </w:r>
          </w:p>
        </w:tc>
        <w:tc>
          <w:tcPr>
            <w:tcW w:w="974" w:type="pct"/>
            <w:vAlign w:val="center"/>
          </w:tcPr>
          <w:p>
            <w:pPr>
              <w:pStyle w:val="186"/>
            </w:pPr>
            <w:r>
              <w:rPr>
                <w:rFonts w:hint="eastAsia"/>
              </w:rPr>
              <w:t>0.0001</w:t>
            </w:r>
          </w:p>
        </w:tc>
        <w:tc>
          <w:tcPr>
            <w:tcW w:w="812" w:type="pct"/>
            <w:vAlign w:val="center"/>
          </w:tcPr>
          <w:p>
            <w:pPr>
              <w:pStyle w:val="186"/>
            </w:pPr>
            <w:r>
              <w:rPr>
                <w:rFonts w:hint="eastAsia"/>
              </w:rPr>
              <w:t>0.0001</w:t>
            </w:r>
          </w:p>
        </w:tc>
        <w:tc>
          <w:tcPr>
            <w:tcW w:w="941" w:type="pct"/>
            <w:vAlign w:val="center"/>
          </w:tcPr>
          <w:p>
            <w:pPr>
              <w:pStyle w:val="186"/>
            </w:pPr>
            <w:r>
              <w:rPr>
                <w:rFonts w:hint="eastAsia"/>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pct"/>
            <w:vMerge w:val="continue"/>
            <w:vAlign w:val="center"/>
          </w:tcPr>
          <w:p>
            <w:pPr>
              <w:pStyle w:val="825"/>
              <w:rPr>
                <w:rFonts w:ascii="Times New Roman" w:hAnsi="Times New Roman" w:eastAsiaTheme="minorEastAsia"/>
                <w:color w:val="auto"/>
                <w:sz w:val="21"/>
                <w:szCs w:val="21"/>
              </w:rPr>
            </w:pPr>
          </w:p>
        </w:tc>
        <w:tc>
          <w:tcPr>
            <w:tcW w:w="954" w:type="pct"/>
            <w:vMerge w:val="continue"/>
            <w:vAlign w:val="center"/>
          </w:tcPr>
          <w:p>
            <w:pPr>
              <w:pStyle w:val="825"/>
              <w:rPr>
                <w:rFonts w:ascii="Times New Roman" w:hAnsi="Times New Roman" w:eastAsiaTheme="minorEastAsia"/>
                <w:color w:val="auto"/>
                <w:sz w:val="21"/>
                <w:szCs w:val="21"/>
              </w:rPr>
            </w:pPr>
          </w:p>
        </w:tc>
        <w:tc>
          <w:tcPr>
            <w:tcW w:w="973" w:type="pct"/>
            <w:vAlign w:val="center"/>
          </w:tcPr>
          <w:p>
            <w:pPr>
              <w:pStyle w:val="186"/>
            </w:pPr>
            <w:r>
              <w:rPr>
                <w:rFonts w:hint="eastAsia"/>
              </w:rPr>
              <w:t>铅+镉及其化合物</w:t>
            </w:r>
          </w:p>
        </w:tc>
        <w:tc>
          <w:tcPr>
            <w:tcW w:w="974" w:type="pct"/>
            <w:vAlign w:val="center"/>
          </w:tcPr>
          <w:p>
            <w:pPr>
              <w:pStyle w:val="186"/>
            </w:pPr>
            <w:r>
              <w:rPr>
                <w:rFonts w:hint="eastAsia"/>
              </w:rPr>
              <w:t>0.0010</w:t>
            </w:r>
          </w:p>
        </w:tc>
        <w:tc>
          <w:tcPr>
            <w:tcW w:w="812" w:type="pct"/>
            <w:vAlign w:val="center"/>
          </w:tcPr>
          <w:p>
            <w:pPr>
              <w:pStyle w:val="186"/>
            </w:pPr>
            <w:r>
              <w:rPr>
                <w:rFonts w:hint="eastAsia"/>
              </w:rPr>
              <w:t>0.0009</w:t>
            </w:r>
          </w:p>
        </w:tc>
        <w:tc>
          <w:tcPr>
            <w:tcW w:w="941" w:type="pct"/>
            <w:vAlign w:val="center"/>
          </w:tcPr>
          <w:p>
            <w:pPr>
              <w:pStyle w:val="186"/>
            </w:pPr>
            <w:r>
              <w:rPr>
                <w:rFonts w:hint="eastAsia"/>
              </w:rPr>
              <w:t>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pct"/>
            <w:vMerge w:val="continue"/>
            <w:vAlign w:val="center"/>
          </w:tcPr>
          <w:p>
            <w:pPr>
              <w:pStyle w:val="825"/>
              <w:rPr>
                <w:rFonts w:ascii="Times New Roman" w:hAnsi="Times New Roman" w:eastAsiaTheme="minorEastAsia"/>
                <w:color w:val="auto"/>
                <w:sz w:val="21"/>
                <w:szCs w:val="21"/>
              </w:rPr>
            </w:pPr>
          </w:p>
        </w:tc>
        <w:tc>
          <w:tcPr>
            <w:tcW w:w="954" w:type="pct"/>
            <w:vMerge w:val="continue"/>
            <w:vAlign w:val="center"/>
          </w:tcPr>
          <w:p>
            <w:pPr>
              <w:pStyle w:val="825"/>
              <w:rPr>
                <w:rFonts w:ascii="Times New Roman" w:hAnsi="Times New Roman" w:eastAsiaTheme="minorEastAsia"/>
                <w:color w:val="auto"/>
                <w:sz w:val="21"/>
                <w:szCs w:val="21"/>
              </w:rPr>
            </w:pPr>
          </w:p>
        </w:tc>
        <w:tc>
          <w:tcPr>
            <w:tcW w:w="973" w:type="pct"/>
            <w:vAlign w:val="center"/>
          </w:tcPr>
          <w:p>
            <w:pPr>
              <w:pStyle w:val="186"/>
            </w:pPr>
            <w:r>
              <w:rPr>
                <w:rFonts w:hint="eastAsia"/>
              </w:rPr>
              <w:t>铬及其化合物</w:t>
            </w:r>
          </w:p>
        </w:tc>
        <w:tc>
          <w:tcPr>
            <w:tcW w:w="974" w:type="pct"/>
            <w:vAlign w:val="center"/>
          </w:tcPr>
          <w:p>
            <w:pPr>
              <w:pStyle w:val="186"/>
            </w:pPr>
            <w:r>
              <w:rPr>
                <w:rFonts w:hint="eastAsia"/>
              </w:rPr>
              <w:t>1.4×10</w:t>
            </w:r>
            <w:r>
              <w:rPr>
                <w:rFonts w:hint="eastAsia"/>
                <w:vertAlign w:val="superscript"/>
              </w:rPr>
              <w:t>-7</w:t>
            </w:r>
          </w:p>
        </w:tc>
        <w:tc>
          <w:tcPr>
            <w:tcW w:w="812" w:type="pct"/>
            <w:vAlign w:val="center"/>
          </w:tcPr>
          <w:p>
            <w:pPr>
              <w:pStyle w:val="186"/>
            </w:pPr>
            <w:r>
              <w:rPr>
                <w:rFonts w:hint="eastAsia"/>
              </w:rPr>
              <w:t>1.25×10</w:t>
            </w:r>
            <w:r>
              <w:rPr>
                <w:rFonts w:hint="eastAsia"/>
                <w:vertAlign w:val="superscript"/>
              </w:rPr>
              <w:t>-7</w:t>
            </w:r>
          </w:p>
        </w:tc>
        <w:tc>
          <w:tcPr>
            <w:tcW w:w="941" w:type="pct"/>
            <w:vAlign w:val="center"/>
          </w:tcPr>
          <w:p>
            <w:pPr>
              <w:pStyle w:val="186"/>
            </w:pPr>
            <w:r>
              <w:rPr>
                <w:rFonts w:hint="eastAsia"/>
              </w:rPr>
              <w:t>1×10</w:t>
            </w:r>
            <w:r>
              <w:rPr>
                <w:rFonts w:hint="eastAsia"/>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pct"/>
            <w:vMerge w:val="restart"/>
            <w:vAlign w:val="center"/>
          </w:tcPr>
          <w:p>
            <w:pPr>
              <w:pStyle w:val="825"/>
              <w:rPr>
                <w:rFonts w:ascii="Times New Roman" w:hAnsi="Times New Roman"/>
                <w:color w:val="auto"/>
                <w:sz w:val="21"/>
                <w:szCs w:val="21"/>
              </w:rPr>
            </w:pPr>
            <w:r>
              <w:rPr>
                <w:rFonts w:hint="eastAsia" w:ascii="Times New Roman" w:hAnsi="Times New Roman"/>
                <w:color w:val="auto"/>
                <w:sz w:val="21"/>
                <w:szCs w:val="21"/>
              </w:rPr>
              <w:t>3</w:t>
            </w:r>
          </w:p>
        </w:tc>
        <w:tc>
          <w:tcPr>
            <w:tcW w:w="954" w:type="pct"/>
            <w:vMerge w:val="restart"/>
            <w:vAlign w:val="center"/>
          </w:tcPr>
          <w:p>
            <w:pPr>
              <w:pStyle w:val="825"/>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2#电炉排气筒2</w:t>
            </w:r>
          </w:p>
        </w:tc>
        <w:tc>
          <w:tcPr>
            <w:tcW w:w="973"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铅及其化合物</w:t>
            </w:r>
          </w:p>
        </w:tc>
        <w:tc>
          <w:tcPr>
            <w:tcW w:w="974" w:type="pct"/>
            <w:vAlign w:val="center"/>
          </w:tcPr>
          <w:p>
            <w:pPr>
              <w:pStyle w:val="186"/>
            </w:pPr>
            <w:r>
              <w:rPr>
                <w:rFonts w:hint="eastAsia"/>
              </w:rPr>
              <w:t>0.0009</w:t>
            </w:r>
          </w:p>
        </w:tc>
        <w:tc>
          <w:tcPr>
            <w:tcW w:w="812" w:type="pct"/>
            <w:vAlign w:val="center"/>
          </w:tcPr>
          <w:p>
            <w:pPr>
              <w:pStyle w:val="186"/>
            </w:pPr>
            <w:r>
              <w:rPr>
                <w:rFonts w:hint="eastAsia"/>
              </w:rPr>
              <w:t>0.0008</w:t>
            </w:r>
          </w:p>
        </w:tc>
        <w:tc>
          <w:tcPr>
            <w:tcW w:w="941" w:type="pct"/>
            <w:vAlign w:val="center"/>
          </w:tcPr>
          <w:p>
            <w:pPr>
              <w:pStyle w:val="186"/>
            </w:pPr>
            <w:r>
              <w:rPr>
                <w:rFonts w:hint="eastAsia"/>
              </w:rPr>
              <w:t>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pct"/>
            <w:vMerge w:val="continue"/>
            <w:vAlign w:val="center"/>
          </w:tcPr>
          <w:p>
            <w:pPr>
              <w:pStyle w:val="825"/>
              <w:rPr>
                <w:rFonts w:ascii="Times New Roman" w:hAnsi="Times New Roman"/>
                <w:color w:val="auto"/>
                <w:sz w:val="21"/>
                <w:szCs w:val="21"/>
              </w:rPr>
            </w:pPr>
          </w:p>
        </w:tc>
        <w:tc>
          <w:tcPr>
            <w:tcW w:w="954" w:type="pct"/>
            <w:vMerge w:val="continue"/>
            <w:vAlign w:val="center"/>
          </w:tcPr>
          <w:p>
            <w:pPr>
              <w:pStyle w:val="825"/>
              <w:rPr>
                <w:rFonts w:ascii="Times New Roman" w:hAnsi="Times New Roman" w:eastAsiaTheme="minorEastAsia"/>
                <w:color w:val="auto"/>
                <w:sz w:val="21"/>
                <w:szCs w:val="21"/>
              </w:rPr>
            </w:pPr>
          </w:p>
        </w:tc>
        <w:tc>
          <w:tcPr>
            <w:tcW w:w="973" w:type="pct"/>
            <w:vAlign w:val="center"/>
          </w:tcPr>
          <w:p>
            <w:pPr>
              <w:pStyle w:val="186"/>
            </w:pPr>
            <w:r>
              <w:rPr>
                <w:rFonts w:hint="eastAsia"/>
              </w:rPr>
              <w:t>镉及其化合物</w:t>
            </w:r>
          </w:p>
        </w:tc>
        <w:tc>
          <w:tcPr>
            <w:tcW w:w="974" w:type="pct"/>
            <w:vAlign w:val="center"/>
          </w:tcPr>
          <w:p>
            <w:pPr>
              <w:pStyle w:val="186"/>
            </w:pPr>
            <w:r>
              <w:rPr>
                <w:rFonts w:hint="eastAsia"/>
              </w:rPr>
              <w:t>0.0001</w:t>
            </w:r>
          </w:p>
        </w:tc>
        <w:tc>
          <w:tcPr>
            <w:tcW w:w="812" w:type="pct"/>
            <w:vAlign w:val="center"/>
          </w:tcPr>
          <w:p>
            <w:pPr>
              <w:pStyle w:val="186"/>
            </w:pPr>
            <w:r>
              <w:rPr>
                <w:rFonts w:hint="eastAsia"/>
              </w:rPr>
              <w:t>0.0001</w:t>
            </w:r>
          </w:p>
        </w:tc>
        <w:tc>
          <w:tcPr>
            <w:tcW w:w="941" w:type="pct"/>
            <w:vAlign w:val="center"/>
          </w:tcPr>
          <w:p>
            <w:pPr>
              <w:pStyle w:val="186"/>
            </w:pPr>
            <w:r>
              <w:rPr>
                <w:rFonts w:hint="eastAsia"/>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pct"/>
            <w:vMerge w:val="continue"/>
            <w:vAlign w:val="center"/>
          </w:tcPr>
          <w:p>
            <w:pPr>
              <w:pStyle w:val="825"/>
              <w:rPr>
                <w:rFonts w:ascii="Times New Roman" w:hAnsi="Times New Roman"/>
                <w:color w:val="auto"/>
                <w:sz w:val="21"/>
                <w:szCs w:val="21"/>
              </w:rPr>
            </w:pPr>
          </w:p>
        </w:tc>
        <w:tc>
          <w:tcPr>
            <w:tcW w:w="954" w:type="pct"/>
            <w:vMerge w:val="continue"/>
            <w:vAlign w:val="center"/>
          </w:tcPr>
          <w:p>
            <w:pPr>
              <w:pStyle w:val="825"/>
              <w:rPr>
                <w:rFonts w:ascii="Times New Roman" w:hAnsi="Times New Roman" w:eastAsiaTheme="minorEastAsia"/>
                <w:color w:val="auto"/>
                <w:sz w:val="21"/>
                <w:szCs w:val="21"/>
              </w:rPr>
            </w:pPr>
          </w:p>
        </w:tc>
        <w:tc>
          <w:tcPr>
            <w:tcW w:w="973" w:type="pct"/>
            <w:vAlign w:val="center"/>
          </w:tcPr>
          <w:p>
            <w:pPr>
              <w:pStyle w:val="186"/>
            </w:pPr>
            <w:r>
              <w:rPr>
                <w:rFonts w:hint="eastAsia"/>
              </w:rPr>
              <w:t>铅+镉及其化合物</w:t>
            </w:r>
          </w:p>
        </w:tc>
        <w:tc>
          <w:tcPr>
            <w:tcW w:w="974" w:type="pct"/>
            <w:vAlign w:val="center"/>
          </w:tcPr>
          <w:p>
            <w:pPr>
              <w:pStyle w:val="186"/>
            </w:pPr>
            <w:r>
              <w:rPr>
                <w:rFonts w:hint="eastAsia"/>
              </w:rPr>
              <w:t>0.0010</w:t>
            </w:r>
          </w:p>
        </w:tc>
        <w:tc>
          <w:tcPr>
            <w:tcW w:w="812" w:type="pct"/>
            <w:vAlign w:val="center"/>
          </w:tcPr>
          <w:p>
            <w:pPr>
              <w:pStyle w:val="186"/>
            </w:pPr>
            <w:r>
              <w:rPr>
                <w:rFonts w:hint="eastAsia"/>
              </w:rPr>
              <w:t>0.0009</w:t>
            </w:r>
          </w:p>
        </w:tc>
        <w:tc>
          <w:tcPr>
            <w:tcW w:w="941" w:type="pct"/>
            <w:vAlign w:val="center"/>
          </w:tcPr>
          <w:p>
            <w:pPr>
              <w:pStyle w:val="186"/>
            </w:pPr>
            <w:r>
              <w:rPr>
                <w:rFonts w:hint="eastAsia"/>
              </w:rPr>
              <w:t>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6" w:type="pct"/>
            <w:vMerge w:val="continue"/>
            <w:vAlign w:val="center"/>
          </w:tcPr>
          <w:p>
            <w:pPr>
              <w:pStyle w:val="825"/>
              <w:rPr>
                <w:rFonts w:ascii="Times New Roman" w:hAnsi="Times New Roman"/>
                <w:color w:val="auto"/>
                <w:sz w:val="21"/>
                <w:szCs w:val="21"/>
              </w:rPr>
            </w:pPr>
          </w:p>
        </w:tc>
        <w:tc>
          <w:tcPr>
            <w:tcW w:w="954" w:type="pct"/>
            <w:vMerge w:val="continue"/>
            <w:vAlign w:val="center"/>
          </w:tcPr>
          <w:p>
            <w:pPr>
              <w:pStyle w:val="825"/>
              <w:rPr>
                <w:rFonts w:ascii="Times New Roman" w:hAnsi="Times New Roman" w:eastAsiaTheme="minorEastAsia"/>
                <w:color w:val="auto"/>
                <w:sz w:val="21"/>
                <w:szCs w:val="21"/>
              </w:rPr>
            </w:pPr>
          </w:p>
        </w:tc>
        <w:tc>
          <w:tcPr>
            <w:tcW w:w="973" w:type="pct"/>
            <w:vAlign w:val="center"/>
          </w:tcPr>
          <w:p>
            <w:pPr>
              <w:pStyle w:val="186"/>
            </w:pPr>
            <w:r>
              <w:rPr>
                <w:rFonts w:hint="eastAsia"/>
              </w:rPr>
              <w:t>铬及其化合物</w:t>
            </w:r>
          </w:p>
        </w:tc>
        <w:tc>
          <w:tcPr>
            <w:tcW w:w="974" w:type="pct"/>
            <w:vAlign w:val="center"/>
          </w:tcPr>
          <w:p>
            <w:pPr>
              <w:pStyle w:val="186"/>
            </w:pPr>
            <w:r>
              <w:rPr>
                <w:rFonts w:hint="eastAsia"/>
              </w:rPr>
              <w:t>1.4×10</w:t>
            </w:r>
            <w:r>
              <w:rPr>
                <w:rFonts w:hint="eastAsia"/>
                <w:vertAlign w:val="superscript"/>
              </w:rPr>
              <w:t>-7</w:t>
            </w:r>
          </w:p>
        </w:tc>
        <w:tc>
          <w:tcPr>
            <w:tcW w:w="812" w:type="pct"/>
            <w:vAlign w:val="center"/>
          </w:tcPr>
          <w:p>
            <w:pPr>
              <w:pStyle w:val="186"/>
            </w:pPr>
            <w:r>
              <w:rPr>
                <w:rFonts w:hint="eastAsia"/>
              </w:rPr>
              <w:t>1.25×10</w:t>
            </w:r>
            <w:r>
              <w:rPr>
                <w:rFonts w:hint="eastAsia"/>
                <w:vertAlign w:val="superscript"/>
              </w:rPr>
              <w:t>-7</w:t>
            </w:r>
          </w:p>
        </w:tc>
        <w:tc>
          <w:tcPr>
            <w:tcW w:w="941" w:type="pct"/>
            <w:vAlign w:val="center"/>
          </w:tcPr>
          <w:p>
            <w:pPr>
              <w:pStyle w:val="186"/>
            </w:pPr>
            <w:r>
              <w:rPr>
                <w:rFonts w:hint="eastAsia"/>
              </w:rPr>
              <w:t>1×10</w:t>
            </w:r>
            <w:r>
              <w:rPr>
                <w:rFonts w:hint="eastAsia"/>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000" w:type="pct"/>
            <w:gridSpan w:val="6"/>
            <w:vAlign w:val="center"/>
          </w:tcPr>
          <w:p>
            <w:pPr>
              <w:pStyle w:val="825"/>
              <w:rPr>
                <w:rFonts w:ascii="Times New Roman" w:hAnsi="Times New Roman"/>
                <w:color w:val="auto"/>
                <w:sz w:val="21"/>
                <w:szCs w:val="21"/>
              </w:rPr>
            </w:pPr>
            <w:r>
              <w:rPr>
                <w:rFonts w:ascii="Times New Roman" w:hAnsi="Times New Roman"/>
                <w:color w:val="auto"/>
                <w:sz w:val="21"/>
                <w:szCs w:val="21"/>
              </w:rPr>
              <w:t>有组织排放总计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00" w:type="pct"/>
            <w:gridSpan w:val="2"/>
            <w:vMerge w:val="restart"/>
            <w:vAlign w:val="center"/>
          </w:tcPr>
          <w:p>
            <w:pPr>
              <w:pStyle w:val="825"/>
              <w:rPr>
                <w:rFonts w:ascii="Times New Roman" w:hAnsi="Times New Roman"/>
                <w:color w:val="auto"/>
                <w:sz w:val="21"/>
                <w:szCs w:val="21"/>
              </w:rPr>
            </w:pPr>
            <w:r>
              <w:rPr>
                <w:rFonts w:ascii="Times New Roman" w:hAnsi="Times New Roman"/>
                <w:color w:val="auto"/>
                <w:sz w:val="21"/>
                <w:szCs w:val="21"/>
              </w:rPr>
              <w:t>主要排放口合计</w:t>
            </w:r>
          </w:p>
        </w:tc>
        <w:tc>
          <w:tcPr>
            <w:tcW w:w="2759" w:type="pct"/>
            <w:gridSpan w:val="3"/>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铅及其化合物</w:t>
            </w:r>
          </w:p>
        </w:tc>
        <w:tc>
          <w:tcPr>
            <w:tcW w:w="941"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00" w:type="pct"/>
            <w:gridSpan w:val="2"/>
            <w:vMerge w:val="continue"/>
            <w:vAlign w:val="center"/>
          </w:tcPr>
          <w:p>
            <w:pPr>
              <w:pStyle w:val="825"/>
              <w:rPr>
                <w:rFonts w:ascii="Times New Roman" w:hAnsi="Times New Roman"/>
                <w:color w:val="auto"/>
                <w:sz w:val="21"/>
                <w:szCs w:val="21"/>
              </w:rPr>
            </w:pPr>
          </w:p>
        </w:tc>
        <w:tc>
          <w:tcPr>
            <w:tcW w:w="2759" w:type="pct"/>
            <w:gridSpan w:val="3"/>
            <w:vAlign w:val="center"/>
          </w:tcPr>
          <w:p>
            <w:pPr>
              <w:pStyle w:val="186"/>
            </w:pPr>
            <w:r>
              <w:rPr>
                <w:rFonts w:hint="eastAsia"/>
              </w:rPr>
              <w:t>镉及其化合物</w:t>
            </w:r>
          </w:p>
        </w:tc>
        <w:tc>
          <w:tcPr>
            <w:tcW w:w="941"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00" w:type="pct"/>
            <w:gridSpan w:val="2"/>
            <w:vMerge w:val="continue"/>
            <w:vAlign w:val="center"/>
          </w:tcPr>
          <w:p>
            <w:pPr>
              <w:pStyle w:val="825"/>
              <w:rPr>
                <w:rFonts w:ascii="Times New Roman" w:hAnsi="Times New Roman"/>
                <w:color w:val="auto"/>
                <w:sz w:val="21"/>
                <w:szCs w:val="21"/>
              </w:rPr>
            </w:pPr>
          </w:p>
        </w:tc>
        <w:tc>
          <w:tcPr>
            <w:tcW w:w="2759" w:type="pct"/>
            <w:gridSpan w:val="3"/>
            <w:vAlign w:val="center"/>
          </w:tcPr>
          <w:p>
            <w:pPr>
              <w:pStyle w:val="186"/>
            </w:pPr>
            <w:r>
              <w:rPr>
                <w:rFonts w:hint="eastAsia"/>
              </w:rPr>
              <w:t>铅+镉及其化合物</w:t>
            </w:r>
          </w:p>
        </w:tc>
        <w:tc>
          <w:tcPr>
            <w:tcW w:w="941"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00" w:type="pct"/>
            <w:gridSpan w:val="2"/>
            <w:vMerge w:val="continue"/>
            <w:vAlign w:val="center"/>
          </w:tcPr>
          <w:p>
            <w:pPr>
              <w:pStyle w:val="825"/>
              <w:rPr>
                <w:rFonts w:ascii="Times New Roman" w:hAnsi="Times New Roman"/>
                <w:color w:val="auto"/>
                <w:sz w:val="21"/>
                <w:szCs w:val="21"/>
              </w:rPr>
            </w:pPr>
          </w:p>
        </w:tc>
        <w:tc>
          <w:tcPr>
            <w:tcW w:w="2759" w:type="pct"/>
            <w:gridSpan w:val="3"/>
            <w:vAlign w:val="center"/>
          </w:tcPr>
          <w:p>
            <w:pPr>
              <w:pStyle w:val="186"/>
            </w:pPr>
            <w:r>
              <w:rPr>
                <w:rFonts w:hint="eastAsia"/>
              </w:rPr>
              <w:t>铬及其化合物</w:t>
            </w:r>
          </w:p>
        </w:tc>
        <w:tc>
          <w:tcPr>
            <w:tcW w:w="941"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4×10</w:t>
            </w:r>
            <w:r>
              <w:rPr>
                <w:rFonts w:hint="eastAsia" w:ascii="Times New Roman" w:hAnsi="Times New Roman"/>
                <w:color w:val="auto"/>
                <w:sz w:val="21"/>
                <w:szCs w:val="21"/>
                <w:vertAlign w:val="superscript"/>
              </w:rPr>
              <w:t>-6</w:t>
            </w:r>
          </w:p>
        </w:tc>
      </w:tr>
    </w:tbl>
    <w:p>
      <w:pPr>
        <w:adjustRightInd w:val="0"/>
        <w:ind w:firstLine="482"/>
        <w:jc w:val="center"/>
        <w:rPr>
          <w:rFonts w:hAnsi="宋体"/>
          <w:b/>
        </w:rPr>
      </w:pPr>
    </w:p>
    <w:p>
      <w:pPr>
        <w:ind w:firstLineChars="0"/>
      </w:pPr>
      <w:r>
        <w:rPr>
          <w:rFonts w:hint="eastAsia" w:hAnsi="宋体"/>
        </w:rPr>
        <w:t>（2）</w:t>
      </w:r>
      <w:r>
        <w:rPr>
          <w:rFonts w:hint="eastAsia"/>
        </w:rPr>
        <w:t>无组织排放量核算</w:t>
      </w:r>
    </w:p>
    <w:p>
      <w:pPr>
        <w:adjustRightInd w:val="0"/>
        <w:rPr>
          <w:rFonts w:hAnsi="宋体"/>
          <w:b/>
        </w:rPr>
      </w:pPr>
      <w:r>
        <w:rPr>
          <w:rFonts w:hint="eastAsia"/>
        </w:rPr>
        <w:t>本项目无组织排放量核算见专项表4.1-2。</w:t>
      </w:r>
    </w:p>
    <w:p>
      <w:pPr>
        <w:pStyle w:val="178"/>
        <w:ind w:firstLine="420"/>
        <w:rPr>
          <w:rFonts w:eastAsia="宋体"/>
          <w:color w:val="auto"/>
          <w:szCs w:val="21"/>
        </w:rPr>
      </w:pPr>
      <w:r>
        <w:rPr>
          <w:rFonts w:hint="eastAsia" w:eastAsia="宋体"/>
          <w:color w:val="auto"/>
          <w:szCs w:val="21"/>
        </w:rPr>
        <w:t xml:space="preserve">专项表4.1-2    </w:t>
      </w:r>
      <w:r>
        <w:rPr>
          <w:rFonts w:eastAsia="宋体"/>
          <w:color w:val="auto"/>
          <w:szCs w:val="21"/>
        </w:rPr>
        <w:t>大气污染物无组织排放量核算表</w:t>
      </w:r>
    </w:p>
    <w:tbl>
      <w:tblPr>
        <w:tblStyle w:val="88"/>
        <w:tblW w:w="489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959"/>
        <w:gridCol w:w="934"/>
        <w:gridCol w:w="913"/>
        <w:gridCol w:w="175"/>
        <w:gridCol w:w="1092"/>
        <w:gridCol w:w="2034"/>
        <w:gridCol w:w="1163"/>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4" w:type="pct"/>
            <w:vMerge w:val="restart"/>
            <w:vAlign w:val="center"/>
          </w:tcPr>
          <w:p>
            <w:pPr>
              <w:pStyle w:val="825"/>
              <w:rPr>
                <w:rFonts w:ascii="Times New Roman" w:hAnsi="Times New Roman"/>
                <w:color w:val="auto"/>
                <w:sz w:val="21"/>
                <w:szCs w:val="21"/>
              </w:rPr>
            </w:pPr>
            <w:r>
              <w:rPr>
                <w:rFonts w:ascii="Times New Roman" w:hAnsi="Times New Roman"/>
                <w:color w:val="auto"/>
                <w:sz w:val="21"/>
                <w:szCs w:val="21"/>
              </w:rPr>
              <w:t>序号</w:t>
            </w:r>
          </w:p>
        </w:tc>
        <w:tc>
          <w:tcPr>
            <w:tcW w:w="541" w:type="pct"/>
            <w:vMerge w:val="restart"/>
            <w:vAlign w:val="center"/>
          </w:tcPr>
          <w:p>
            <w:pPr>
              <w:pStyle w:val="825"/>
              <w:rPr>
                <w:rFonts w:ascii="Times New Roman" w:hAnsi="Times New Roman"/>
                <w:color w:val="auto"/>
                <w:sz w:val="21"/>
                <w:szCs w:val="21"/>
              </w:rPr>
            </w:pPr>
            <w:r>
              <w:rPr>
                <w:rFonts w:ascii="Times New Roman" w:hAnsi="Times New Roman"/>
                <w:color w:val="auto"/>
                <w:sz w:val="21"/>
                <w:szCs w:val="21"/>
              </w:rPr>
              <w:t>排放口</w:t>
            </w:r>
          </w:p>
          <w:p>
            <w:pPr>
              <w:pStyle w:val="825"/>
              <w:rPr>
                <w:rFonts w:ascii="Times New Roman" w:hAnsi="Times New Roman"/>
                <w:color w:val="auto"/>
                <w:sz w:val="21"/>
                <w:szCs w:val="21"/>
              </w:rPr>
            </w:pPr>
            <w:r>
              <w:rPr>
                <w:rFonts w:ascii="Times New Roman" w:hAnsi="Times New Roman"/>
                <w:color w:val="auto"/>
                <w:sz w:val="21"/>
                <w:szCs w:val="21"/>
              </w:rPr>
              <w:t>编号</w:t>
            </w:r>
          </w:p>
        </w:tc>
        <w:tc>
          <w:tcPr>
            <w:tcW w:w="527" w:type="pct"/>
            <w:vMerge w:val="restart"/>
            <w:vAlign w:val="center"/>
          </w:tcPr>
          <w:p>
            <w:pPr>
              <w:pStyle w:val="825"/>
              <w:rPr>
                <w:rFonts w:ascii="Times New Roman" w:hAnsi="Times New Roman"/>
                <w:color w:val="auto"/>
                <w:sz w:val="21"/>
                <w:szCs w:val="21"/>
              </w:rPr>
            </w:pPr>
            <w:r>
              <w:rPr>
                <w:rFonts w:ascii="Times New Roman" w:hAnsi="Times New Roman"/>
                <w:color w:val="auto"/>
                <w:sz w:val="21"/>
                <w:szCs w:val="21"/>
              </w:rPr>
              <w:t>产污环节</w:t>
            </w:r>
          </w:p>
        </w:tc>
        <w:tc>
          <w:tcPr>
            <w:tcW w:w="515" w:type="pct"/>
            <w:vMerge w:val="restart"/>
            <w:vAlign w:val="center"/>
          </w:tcPr>
          <w:p>
            <w:pPr>
              <w:pStyle w:val="825"/>
              <w:rPr>
                <w:rFonts w:ascii="Times New Roman" w:hAnsi="Times New Roman"/>
                <w:color w:val="auto"/>
                <w:sz w:val="21"/>
                <w:szCs w:val="21"/>
              </w:rPr>
            </w:pPr>
            <w:r>
              <w:rPr>
                <w:rFonts w:ascii="Times New Roman" w:hAnsi="Times New Roman"/>
                <w:color w:val="auto"/>
                <w:sz w:val="21"/>
                <w:szCs w:val="21"/>
              </w:rPr>
              <w:t>污染物</w:t>
            </w:r>
          </w:p>
        </w:tc>
        <w:tc>
          <w:tcPr>
            <w:tcW w:w="715" w:type="pct"/>
            <w:gridSpan w:val="2"/>
            <w:vMerge w:val="restart"/>
            <w:vAlign w:val="center"/>
          </w:tcPr>
          <w:p>
            <w:pPr>
              <w:pStyle w:val="825"/>
              <w:rPr>
                <w:rFonts w:ascii="Times New Roman" w:hAnsi="Times New Roman"/>
                <w:color w:val="auto"/>
                <w:sz w:val="21"/>
                <w:szCs w:val="21"/>
              </w:rPr>
            </w:pPr>
            <w:r>
              <w:rPr>
                <w:rFonts w:ascii="Times New Roman" w:hAnsi="Times New Roman"/>
                <w:color w:val="auto"/>
                <w:sz w:val="21"/>
                <w:szCs w:val="21"/>
              </w:rPr>
              <w:t>主要污染</w:t>
            </w:r>
          </w:p>
          <w:p>
            <w:pPr>
              <w:pStyle w:val="825"/>
              <w:rPr>
                <w:rFonts w:ascii="Times New Roman" w:hAnsi="Times New Roman"/>
                <w:color w:val="auto"/>
                <w:sz w:val="21"/>
                <w:szCs w:val="21"/>
              </w:rPr>
            </w:pPr>
            <w:r>
              <w:rPr>
                <w:rFonts w:ascii="Times New Roman" w:hAnsi="Times New Roman"/>
                <w:color w:val="auto"/>
                <w:sz w:val="21"/>
                <w:szCs w:val="21"/>
              </w:rPr>
              <w:t>防治措施</w:t>
            </w:r>
          </w:p>
        </w:tc>
        <w:tc>
          <w:tcPr>
            <w:tcW w:w="1804" w:type="pct"/>
            <w:gridSpan w:val="2"/>
            <w:tcBorders>
              <w:bottom w:val="single" w:color="auto" w:sz="6" w:space="0"/>
              <w:right w:val="single" w:color="auto" w:sz="6" w:space="0"/>
            </w:tcBorders>
            <w:vAlign w:val="center"/>
          </w:tcPr>
          <w:p>
            <w:pPr>
              <w:pStyle w:val="825"/>
              <w:rPr>
                <w:rFonts w:ascii="Times New Roman" w:hAnsi="Times New Roman"/>
                <w:color w:val="auto"/>
                <w:sz w:val="21"/>
                <w:szCs w:val="21"/>
              </w:rPr>
            </w:pPr>
            <w:r>
              <w:rPr>
                <w:rFonts w:ascii="Times New Roman" w:hAnsi="Times New Roman"/>
                <w:color w:val="auto"/>
                <w:sz w:val="21"/>
                <w:szCs w:val="21"/>
              </w:rPr>
              <w:t>国家或地方污染物排放标准</w:t>
            </w:r>
          </w:p>
        </w:tc>
        <w:tc>
          <w:tcPr>
            <w:tcW w:w="624" w:type="pct"/>
            <w:vMerge w:val="restart"/>
            <w:tcBorders>
              <w:left w:val="single" w:color="auto" w:sz="6" w:space="0"/>
            </w:tcBorders>
            <w:vAlign w:val="center"/>
          </w:tcPr>
          <w:p>
            <w:pPr>
              <w:pStyle w:val="825"/>
              <w:rPr>
                <w:rFonts w:ascii="Times New Roman" w:hAnsi="Times New Roman"/>
                <w:color w:val="auto"/>
                <w:sz w:val="21"/>
                <w:szCs w:val="21"/>
              </w:rPr>
            </w:pPr>
            <w:r>
              <w:rPr>
                <w:rFonts w:ascii="Times New Roman" w:hAnsi="Times New Roman"/>
                <w:color w:val="auto"/>
                <w:sz w:val="21"/>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74" w:type="pct"/>
            <w:vMerge w:val="continue"/>
            <w:vAlign w:val="center"/>
          </w:tcPr>
          <w:p>
            <w:pPr>
              <w:pStyle w:val="825"/>
              <w:rPr>
                <w:rFonts w:ascii="Times New Roman" w:hAnsi="Times New Roman"/>
                <w:color w:val="auto"/>
                <w:sz w:val="21"/>
                <w:szCs w:val="21"/>
              </w:rPr>
            </w:pPr>
          </w:p>
        </w:tc>
        <w:tc>
          <w:tcPr>
            <w:tcW w:w="541" w:type="pct"/>
            <w:vMerge w:val="continue"/>
            <w:vAlign w:val="center"/>
          </w:tcPr>
          <w:p>
            <w:pPr>
              <w:pStyle w:val="825"/>
              <w:rPr>
                <w:rFonts w:ascii="Times New Roman" w:hAnsi="Times New Roman"/>
                <w:color w:val="auto"/>
                <w:sz w:val="21"/>
                <w:szCs w:val="21"/>
              </w:rPr>
            </w:pPr>
          </w:p>
        </w:tc>
        <w:tc>
          <w:tcPr>
            <w:tcW w:w="527" w:type="pct"/>
            <w:vMerge w:val="continue"/>
            <w:vAlign w:val="center"/>
          </w:tcPr>
          <w:p>
            <w:pPr>
              <w:pStyle w:val="825"/>
              <w:rPr>
                <w:rFonts w:ascii="Times New Roman" w:hAnsi="Times New Roman"/>
                <w:color w:val="auto"/>
                <w:sz w:val="21"/>
                <w:szCs w:val="21"/>
              </w:rPr>
            </w:pPr>
          </w:p>
        </w:tc>
        <w:tc>
          <w:tcPr>
            <w:tcW w:w="515" w:type="pct"/>
            <w:vMerge w:val="continue"/>
            <w:vAlign w:val="center"/>
          </w:tcPr>
          <w:p>
            <w:pPr>
              <w:pStyle w:val="825"/>
              <w:rPr>
                <w:rFonts w:ascii="Times New Roman" w:hAnsi="Times New Roman"/>
                <w:color w:val="auto"/>
                <w:sz w:val="21"/>
                <w:szCs w:val="21"/>
              </w:rPr>
            </w:pPr>
          </w:p>
        </w:tc>
        <w:tc>
          <w:tcPr>
            <w:tcW w:w="715" w:type="pct"/>
            <w:gridSpan w:val="2"/>
            <w:vMerge w:val="continue"/>
            <w:vAlign w:val="center"/>
          </w:tcPr>
          <w:p>
            <w:pPr>
              <w:pStyle w:val="825"/>
              <w:rPr>
                <w:rFonts w:ascii="Times New Roman" w:hAnsi="Times New Roman"/>
                <w:color w:val="auto"/>
                <w:sz w:val="21"/>
                <w:szCs w:val="21"/>
              </w:rPr>
            </w:pPr>
          </w:p>
        </w:tc>
        <w:tc>
          <w:tcPr>
            <w:tcW w:w="1148" w:type="pct"/>
            <w:tcBorders>
              <w:top w:val="single" w:color="auto" w:sz="6" w:space="0"/>
              <w:right w:val="single" w:color="auto" w:sz="6" w:space="0"/>
            </w:tcBorders>
            <w:vAlign w:val="center"/>
          </w:tcPr>
          <w:p>
            <w:pPr>
              <w:pStyle w:val="825"/>
              <w:rPr>
                <w:rFonts w:ascii="Times New Roman" w:hAnsi="Times New Roman"/>
                <w:color w:val="auto"/>
                <w:sz w:val="21"/>
                <w:szCs w:val="21"/>
              </w:rPr>
            </w:pPr>
            <w:r>
              <w:rPr>
                <w:rFonts w:ascii="Times New Roman" w:hAnsi="Times New Roman"/>
                <w:color w:val="auto"/>
                <w:sz w:val="21"/>
                <w:szCs w:val="21"/>
              </w:rPr>
              <w:t>标准名称</w:t>
            </w:r>
          </w:p>
        </w:tc>
        <w:tc>
          <w:tcPr>
            <w:tcW w:w="656" w:type="pct"/>
            <w:tcBorders>
              <w:top w:val="single" w:color="auto" w:sz="6" w:space="0"/>
              <w:right w:val="single" w:color="auto" w:sz="6" w:space="0"/>
            </w:tcBorders>
            <w:vAlign w:val="center"/>
          </w:tcPr>
          <w:p>
            <w:pPr>
              <w:pStyle w:val="825"/>
              <w:rPr>
                <w:rFonts w:ascii="Times New Roman" w:hAnsi="Times New Roman"/>
                <w:color w:val="auto"/>
                <w:sz w:val="21"/>
                <w:szCs w:val="21"/>
              </w:rPr>
            </w:pPr>
            <w:r>
              <w:rPr>
                <w:rFonts w:ascii="Times New Roman" w:hAnsi="Times New Roman"/>
                <w:color w:val="auto"/>
                <w:sz w:val="21"/>
                <w:szCs w:val="21"/>
              </w:rPr>
              <w:t>浓度限值/</w:t>
            </w:r>
          </w:p>
          <w:p>
            <w:pPr>
              <w:pStyle w:val="825"/>
              <w:rPr>
                <w:rFonts w:ascii="Times New Roman" w:hAnsi="Times New Roman"/>
                <w:color w:val="auto"/>
                <w:sz w:val="21"/>
                <w:szCs w:val="21"/>
              </w:rPr>
            </w:pPr>
            <w:r>
              <w:rPr>
                <w:rFonts w:ascii="Times New Roman" w:hAnsi="Times New Roman"/>
                <w:color w:val="auto"/>
                <w:sz w:val="21"/>
                <w:szCs w:val="21"/>
              </w:rPr>
              <w:t>（μg/m</w:t>
            </w:r>
            <w:r>
              <w:rPr>
                <w:rFonts w:ascii="Times New Roman" w:hAnsi="Times New Roman"/>
                <w:color w:val="auto"/>
                <w:sz w:val="21"/>
                <w:szCs w:val="21"/>
                <w:vertAlign w:val="superscript"/>
              </w:rPr>
              <w:t>3</w:t>
            </w:r>
            <w:r>
              <w:rPr>
                <w:rFonts w:ascii="Times New Roman" w:hAnsi="Times New Roman"/>
                <w:color w:val="auto"/>
                <w:sz w:val="21"/>
                <w:szCs w:val="21"/>
              </w:rPr>
              <w:t>）</w:t>
            </w:r>
          </w:p>
        </w:tc>
        <w:tc>
          <w:tcPr>
            <w:tcW w:w="624" w:type="pct"/>
            <w:vMerge w:val="continue"/>
            <w:tcBorders>
              <w:left w:val="single" w:color="auto" w:sz="6" w:space="0"/>
            </w:tcBorders>
            <w:vAlign w:val="center"/>
          </w:tcPr>
          <w:p>
            <w:pPr>
              <w:pStyle w:val="825"/>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74" w:type="pct"/>
            <w:vAlign w:val="center"/>
          </w:tcPr>
          <w:p>
            <w:pPr>
              <w:pStyle w:val="825"/>
              <w:rPr>
                <w:rFonts w:ascii="Times New Roman" w:hAnsi="Times New Roman"/>
                <w:color w:val="auto"/>
                <w:sz w:val="21"/>
                <w:szCs w:val="21"/>
              </w:rPr>
            </w:pPr>
            <w:r>
              <w:rPr>
                <w:rFonts w:ascii="Times New Roman" w:hAnsi="Times New Roman"/>
                <w:color w:val="auto"/>
                <w:sz w:val="21"/>
                <w:szCs w:val="21"/>
              </w:rPr>
              <w:t>1</w:t>
            </w:r>
          </w:p>
        </w:tc>
        <w:tc>
          <w:tcPr>
            <w:tcW w:w="541" w:type="pct"/>
            <w:vMerge w:val="restart"/>
            <w:vAlign w:val="center"/>
          </w:tcPr>
          <w:p>
            <w:pPr>
              <w:pStyle w:val="825"/>
              <w:rPr>
                <w:rFonts w:ascii="Times New Roman" w:hAnsi="Times New Roman"/>
                <w:color w:val="auto"/>
                <w:sz w:val="21"/>
                <w:szCs w:val="21"/>
              </w:rPr>
            </w:pPr>
            <w:r>
              <w:rPr>
                <w:rFonts w:ascii="Times New Roman" w:hAnsi="Times New Roman"/>
                <w:color w:val="auto"/>
                <w:sz w:val="21"/>
                <w:szCs w:val="21"/>
              </w:rPr>
              <w:t>炼钢车间</w:t>
            </w:r>
          </w:p>
        </w:tc>
        <w:tc>
          <w:tcPr>
            <w:tcW w:w="527" w:type="pct"/>
            <w:vMerge w:val="restart"/>
            <w:vAlign w:val="center"/>
          </w:tcPr>
          <w:p>
            <w:pPr>
              <w:pStyle w:val="825"/>
              <w:rPr>
                <w:rFonts w:ascii="Times New Roman" w:hAnsi="Times New Roman"/>
                <w:color w:val="auto"/>
                <w:sz w:val="21"/>
                <w:szCs w:val="21"/>
              </w:rPr>
            </w:pPr>
            <w:r>
              <w:rPr>
                <w:rFonts w:ascii="Times New Roman" w:hAnsi="Times New Roman"/>
                <w:color w:val="auto"/>
                <w:sz w:val="21"/>
                <w:szCs w:val="21"/>
              </w:rPr>
              <w:t>回炉利用</w:t>
            </w:r>
          </w:p>
        </w:tc>
        <w:tc>
          <w:tcPr>
            <w:tcW w:w="515" w:type="pct"/>
            <w:vAlign w:val="center"/>
          </w:tcPr>
          <w:p>
            <w:pPr>
              <w:pStyle w:val="825"/>
              <w:rPr>
                <w:rFonts w:ascii="Times New Roman" w:hAnsi="Times New Roman"/>
                <w:color w:val="auto"/>
                <w:sz w:val="21"/>
                <w:szCs w:val="21"/>
              </w:rPr>
            </w:pPr>
            <w:r>
              <w:rPr>
                <w:rFonts w:ascii="Times New Roman" w:hAnsi="Times New Roman"/>
                <w:color w:val="auto"/>
                <w:sz w:val="21"/>
                <w:szCs w:val="21"/>
              </w:rPr>
              <w:t>铅及其化合物</w:t>
            </w:r>
          </w:p>
        </w:tc>
        <w:tc>
          <w:tcPr>
            <w:tcW w:w="715" w:type="pct"/>
            <w:gridSpan w:val="2"/>
            <w:vMerge w:val="restart"/>
            <w:vAlign w:val="center"/>
          </w:tcPr>
          <w:p>
            <w:pPr>
              <w:pStyle w:val="825"/>
              <w:rPr>
                <w:rFonts w:ascii="Times New Roman" w:hAnsi="Times New Roman"/>
                <w:color w:val="auto"/>
                <w:sz w:val="21"/>
                <w:szCs w:val="21"/>
              </w:rPr>
            </w:pPr>
            <w:r>
              <w:rPr>
                <w:rFonts w:ascii="Times New Roman" w:hAnsi="Times New Roman"/>
                <w:color w:val="auto"/>
                <w:sz w:val="21"/>
                <w:szCs w:val="21"/>
              </w:rPr>
              <w:t>加强通风</w:t>
            </w:r>
          </w:p>
        </w:tc>
        <w:tc>
          <w:tcPr>
            <w:tcW w:w="1148" w:type="pct"/>
            <w:vMerge w:val="restart"/>
            <w:tcBorders>
              <w:right w:val="single" w:color="auto" w:sz="6" w:space="0"/>
            </w:tcBorders>
            <w:vAlign w:val="center"/>
          </w:tcPr>
          <w:p>
            <w:pPr>
              <w:pStyle w:val="825"/>
              <w:rPr>
                <w:rFonts w:ascii="Times New Roman" w:hAnsi="Times New Roman"/>
                <w:color w:val="auto"/>
                <w:sz w:val="21"/>
                <w:szCs w:val="21"/>
              </w:rPr>
            </w:pPr>
            <w:r>
              <w:rPr>
                <w:rFonts w:ascii="Times New Roman" w:hAnsi="Times New Roman"/>
                <w:color w:val="auto"/>
                <w:sz w:val="21"/>
                <w:szCs w:val="21"/>
              </w:rPr>
              <w:t>/</w:t>
            </w:r>
          </w:p>
        </w:tc>
        <w:tc>
          <w:tcPr>
            <w:tcW w:w="656" w:type="pct"/>
            <w:vMerge w:val="restart"/>
            <w:tcBorders>
              <w:right w:val="single" w:color="auto" w:sz="6" w:space="0"/>
            </w:tcBorders>
            <w:vAlign w:val="center"/>
          </w:tcPr>
          <w:p>
            <w:pPr>
              <w:pStyle w:val="825"/>
              <w:rPr>
                <w:rFonts w:ascii="Times New Roman" w:hAnsi="Times New Roman"/>
                <w:color w:val="auto"/>
                <w:sz w:val="21"/>
                <w:szCs w:val="21"/>
              </w:rPr>
            </w:pPr>
            <w:r>
              <w:rPr>
                <w:rFonts w:ascii="Times New Roman" w:hAnsi="Times New Roman"/>
                <w:color w:val="auto"/>
                <w:sz w:val="21"/>
                <w:szCs w:val="21"/>
              </w:rPr>
              <w:t>/</w:t>
            </w:r>
          </w:p>
        </w:tc>
        <w:tc>
          <w:tcPr>
            <w:tcW w:w="624" w:type="pct"/>
            <w:tcBorders>
              <w:left w:val="single" w:color="auto" w:sz="6" w:space="0"/>
            </w:tcBorders>
            <w:vAlign w:val="center"/>
          </w:tcPr>
          <w:p>
            <w:pPr>
              <w:pStyle w:val="825"/>
              <w:rPr>
                <w:rFonts w:ascii="Times New Roman" w:hAnsi="Times New Roman"/>
                <w:color w:val="auto"/>
                <w:sz w:val="21"/>
                <w:szCs w:val="21"/>
              </w:rPr>
            </w:pPr>
            <w:r>
              <w:rPr>
                <w:rFonts w:ascii="Times New Roman" w:hAnsi="Times New Roman"/>
                <w:color w:val="auto"/>
                <w:sz w:val="21"/>
                <w:szCs w:val="21"/>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74"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2</w:t>
            </w:r>
          </w:p>
        </w:tc>
        <w:tc>
          <w:tcPr>
            <w:tcW w:w="541" w:type="pct"/>
            <w:vMerge w:val="continue"/>
            <w:vAlign w:val="center"/>
          </w:tcPr>
          <w:p>
            <w:pPr>
              <w:pStyle w:val="825"/>
              <w:rPr>
                <w:rFonts w:ascii="Times New Roman" w:hAnsi="Times New Roman"/>
                <w:color w:val="auto"/>
                <w:sz w:val="21"/>
                <w:szCs w:val="21"/>
              </w:rPr>
            </w:pPr>
          </w:p>
        </w:tc>
        <w:tc>
          <w:tcPr>
            <w:tcW w:w="527" w:type="pct"/>
            <w:vMerge w:val="continue"/>
            <w:vAlign w:val="center"/>
          </w:tcPr>
          <w:p>
            <w:pPr>
              <w:pStyle w:val="825"/>
              <w:rPr>
                <w:rFonts w:ascii="Times New Roman" w:hAnsi="Times New Roman"/>
                <w:color w:val="auto"/>
                <w:sz w:val="21"/>
                <w:szCs w:val="21"/>
              </w:rPr>
            </w:pPr>
          </w:p>
        </w:tc>
        <w:tc>
          <w:tcPr>
            <w:tcW w:w="515"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镉及其化合物</w:t>
            </w:r>
          </w:p>
        </w:tc>
        <w:tc>
          <w:tcPr>
            <w:tcW w:w="715" w:type="pct"/>
            <w:gridSpan w:val="2"/>
            <w:vMerge w:val="continue"/>
            <w:vAlign w:val="center"/>
          </w:tcPr>
          <w:p>
            <w:pPr>
              <w:pStyle w:val="825"/>
              <w:rPr>
                <w:rFonts w:ascii="Times New Roman" w:hAnsi="Times New Roman"/>
                <w:color w:val="auto"/>
                <w:sz w:val="21"/>
                <w:szCs w:val="21"/>
              </w:rPr>
            </w:pPr>
          </w:p>
        </w:tc>
        <w:tc>
          <w:tcPr>
            <w:tcW w:w="1148" w:type="pct"/>
            <w:vMerge w:val="continue"/>
            <w:tcBorders>
              <w:right w:val="single" w:color="auto" w:sz="6" w:space="0"/>
            </w:tcBorders>
            <w:vAlign w:val="center"/>
          </w:tcPr>
          <w:p>
            <w:pPr>
              <w:pStyle w:val="825"/>
              <w:rPr>
                <w:rFonts w:ascii="Times New Roman" w:hAnsi="Times New Roman"/>
                <w:color w:val="auto"/>
                <w:sz w:val="21"/>
                <w:szCs w:val="21"/>
              </w:rPr>
            </w:pPr>
          </w:p>
        </w:tc>
        <w:tc>
          <w:tcPr>
            <w:tcW w:w="656" w:type="pct"/>
            <w:vMerge w:val="continue"/>
            <w:tcBorders>
              <w:right w:val="single" w:color="auto" w:sz="6" w:space="0"/>
            </w:tcBorders>
            <w:vAlign w:val="center"/>
          </w:tcPr>
          <w:p>
            <w:pPr>
              <w:pStyle w:val="825"/>
              <w:rPr>
                <w:rFonts w:ascii="Times New Roman" w:hAnsi="Times New Roman"/>
                <w:color w:val="auto"/>
                <w:sz w:val="21"/>
                <w:szCs w:val="21"/>
              </w:rPr>
            </w:pPr>
          </w:p>
        </w:tc>
        <w:tc>
          <w:tcPr>
            <w:tcW w:w="624" w:type="pct"/>
            <w:tcBorders>
              <w:left w:val="single" w:color="auto" w:sz="6"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74"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3</w:t>
            </w:r>
          </w:p>
        </w:tc>
        <w:tc>
          <w:tcPr>
            <w:tcW w:w="541" w:type="pct"/>
            <w:vMerge w:val="continue"/>
            <w:vAlign w:val="center"/>
          </w:tcPr>
          <w:p>
            <w:pPr>
              <w:pStyle w:val="825"/>
              <w:rPr>
                <w:rFonts w:ascii="Times New Roman" w:hAnsi="Times New Roman"/>
                <w:color w:val="auto"/>
                <w:sz w:val="21"/>
                <w:szCs w:val="21"/>
              </w:rPr>
            </w:pPr>
          </w:p>
        </w:tc>
        <w:tc>
          <w:tcPr>
            <w:tcW w:w="527" w:type="pct"/>
            <w:vMerge w:val="continue"/>
            <w:vAlign w:val="center"/>
          </w:tcPr>
          <w:p>
            <w:pPr>
              <w:pStyle w:val="825"/>
              <w:rPr>
                <w:rFonts w:ascii="Times New Roman" w:hAnsi="Times New Roman"/>
                <w:color w:val="auto"/>
                <w:sz w:val="21"/>
                <w:szCs w:val="21"/>
              </w:rPr>
            </w:pPr>
          </w:p>
        </w:tc>
        <w:tc>
          <w:tcPr>
            <w:tcW w:w="515"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铬及其化合物</w:t>
            </w:r>
          </w:p>
        </w:tc>
        <w:tc>
          <w:tcPr>
            <w:tcW w:w="715" w:type="pct"/>
            <w:gridSpan w:val="2"/>
            <w:vMerge w:val="continue"/>
            <w:vAlign w:val="center"/>
          </w:tcPr>
          <w:p>
            <w:pPr>
              <w:pStyle w:val="825"/>
              <w:rPr>
                <w:rFonts w:ascii="Times New Roman" w:hAnsi="Times New Roman"/>
                <w:color w:val="auto"/>
                <w:sz w:val="21"/>
                <w:szCs w:val="21"/>
              </w:rPr>
            </w:pPr>
          </w:p>
        </w:tc>
        <w:tc>
          <w:tcPr>
            <w:tcW w:w="1148" w:type="pct"/>
            <w:vMerge w:val="continue"/>
            <w:tcBorders>
              <w:right w:val="single" w:color="auto" w:sz="6" w:space="0"/>
            </w:tcBorders>
            <w:vAlign w:val="center"/>
          </w:tcPr>
          <w:p>
            <w:pPr>
              <w:pStyle w:val="825"/>
              <w:rPr>
                <w:rFonts w:ascii="Times New Roman" w:hAnsi="Times New Roman"/>
                <w:color w:val="auto"/>
                <w:sz w:val="21"/>
                <w:szCs w:val="21"/>
              </w:rPr>
            </w:pPr>
          </w:p>
        </w:tc>
        <w:tc>
          <w:tcPr>
            <w:tcW w:w="656" w:type="pct"/>
            <w:vMerge w:val="continue"/>
            <w:tcBorders>
              <w:right w:val="single" w:color="auto" w:sz="6" w:space="0"/>
            </w:tcBorders>
            <w:vAlign w:val="center"/>
          </w:tcPr>
          <w:p>
            <w:pPr>
              <w:pStyle w:val="825"/>
              <w:rPr>
                <w:rFonts w:ascii="Times New Roman" w:hAnsi="Times New Roman"/>
                <w:color w:val="auto"/>
                <w:sz w:val="21"/>
                <w:szCs w:val="21"/>
              </w:rPr>
            </w:pPr>
          </w:p>
        </w:tc>
        <w:tc>
          <w:tcPr>
            <w:tcW w:w="624" w:type="pct"/>
            <w:tcBorders>
              <w:left w:val="single" w:color="auto" w:sz="6"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1×10</w:t>
            </w:r>
            <w:r>
              <w:rPr>
                <w:rFonts w:hint="eastAsia" w:ascii="Times New Roman" w:hAnsi="Times New Roman"/>
                <w:color w:val="auto"/>
                <w:sz w:val="21"/>
                <w:szCs w:val="21"/>
                <w:vertAlign w:val="superscrip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pPr>
              <w:pStyle w:val="825"/>
              <w:rPr>
                <w:rFonts w:ascii="Times New Roman" w:hAnsi="Times New Roman"/>
                <w:color w:val="auto"/>
                <w:sz w:val="21"/>
                <w:szCs w:val="21"/>
              </w:rPr>
            </w:pPr>
            <w:r>
              <w:rPr>
                <w:rFonts w:ascii="Times New Roman" w:hAnsi="Times New Roman"/>
                <w:color w:val="auto"/>
                <w:sz w:val="21"/>
                <w:szCs w:val="21"/>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pct"/>
            <w:gridSpan w:val="5"/>
            <w:vAlign w:val="center"/>
          </w:tcPr>
          <w:p>
            <w:pPr>
              <w:pStyle w:val="825"/>
              <w:rPr>
                <w:rFonts w:ascii="Times New Roman" w:hAnsi="Times New Roman"/>
                <w:color w:val="auto"/>
                <w:sz w:val="21"/>
                <w:szCs w:val="21"/>
              </w:rPr>
            </w:pPr>
            <w:r>
              <w:rPr>
                <w:rFonts w:ascii="Times New Roman" w:hAnsi="Times New Roman"/>
                <w:color w:val="auto"/>
                <w:sz w:val="21"/>
                <w:szCs w:val="21"/>
              </w:rPr>
              <w:t>无组织排放总计</w:t>
            </w:r>
          </w:p>
        </w:tc>
        <w:tc>
          <w:tcPr>
            <w:tcW w:w="1764" w:type="pct"/>
            <w:gridSpan w:val="2"/>
            <w:tcBorders>
              <w:right w:val="single" w:color="auto" w:sz="6" w:space="0"/>
            </w:tcBorders>
            <w:vAlign w:val="center"/>
          </w:tcPr>
          <w:p>
            <w:pPr>
              <w:pStyle w:val="825"/>
              <w:rPr>
                <w:rFonts w:ascii="Times New Roman" w:hAnsi="Times New Roman"/>
                <w:color w:val="auto"/>
                <w:sz w:val="21"/>
                <w:szCs w:val="21"/>
              </w:rPr>
            </w:pPr>
            <w:r>
              <w:rPr>
                <w:rFonts w:ascii="Times New Roman" w:hAnsi="Times New Roman"/>
                <w:color w:val="auto"/>
                <w:sz w:val="21"/>
                <w:szCs w:val="21"/>
              </w:rPr>
              <w:t>铅及其化合物</w:t>
            </w:r>
          </w:p>
        </w:tc>
        <w:tc>
          <w:tcPr>
            <w:tcW w:w="1280" w:type="pct"/>
            <w:gridSpan w:val="2"/>
            <w:vAlign w:val="center"/>
          </w:tcPr>
          <w:p>
            <w:pPr>
              <w:pStyle w:val="825"/>
              <w:rPr>
                <w:rFonts w:ascii="Times New Roman" w:hAnsi="Times New Roman"/>
                <w:color w:val="auto"/>
                <w:sz w:val="21"/>
                <w:szCs w:val="21"/>
              </w:rPr>
            </w:pPr>
            <w:r>
              <w:rPr>
                <w:rFonts w:ascii="Times New Roman" w:hAnsi="Times New Roman"/>
                <w:color w:val="auto"/>
                <w:sz w:val="21"/>
                <w:szCs w:val="21"/>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pct"/>
            <w:gridSpan w:val="5"/>
            <w:vAlign w:val="center"/>
          </w:tcPr>
          <w:p>
            <w:pPr>
              <w:pStyle w:val="825"/>
              <w:rPr>
                <w:rFonts w:ascii="Times New Roman" w:hAnsi="Times New Roman"/>
                <w:color w:val="auto"/>
                <w:sz w:val="21"/>
                <w:szCs w:val="21"/>
              </w:rPr>
            </w:pPr>
          </w:p>
        </w:tc>
        <w:tc>
          <w:tcPr>
            <w:tcW w:w="1764" w:type="pct"/>
            <w:gridSpan w:val="2"/>
            <w:tcBorders>
              <w:right w:val="single" w:color="auto" w:sz="6"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镉及其化合物</w:t>
            </w:r>
          </w:p>
        </w:tc>
        <w:tc>
          <w:tcPr>
            <w:tcW w:w="1280" w:type="pct"/>
            <w:gridSpan w:val="2"/>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6" w:type="pct"/>
            <w:gridSpan w:val="5"/>
            <w:vAlign w:val="center"/>
          </w:tcPr>
          <w:p>
            <w:pPr>
              <w:pStyle w:val="825"/>
              <w:rPr>
                <w:rFonts w:ascii="Times New Roman" w:hAnsi="Times New Roman"/>
                <w:color w:val="auto"/>
                <w:sz w:val="21"/>
                <w:szCs w:val="21"/>
              </w:rPr>
            </w:pPr>
          </w:p>
        </w:tc>
        <w:tc>
          <w:tcPr>
            <w:tcW w:w="1764" w:type="pct"/>
            <w:gridSpan w:val="2"/>
            <w:tcBorders>
              <w:right w:val="single" w:color="auto" w:sz="6" w:space="0"/>
            </w:tcBorders>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铬及其化合物</w:t>
            </w:r>
          </w:p>
        </w:tc>
        <w:tc>
          <w:tcPr>
            <w:tcW w:w="1280" w:type="pct"/>
            <w:gridSpan w:val="2"/>
            <w:vAlign w:val="center"/>
          </w:tcPr>
          <w:p>
            <w:pPr>
              <w:pStyle w:val="825"/>
              <w:rPr>
                <w:rFonts w:ascii="Times New Roman" w:hAnsi="Times New Roman"/>
                <w:color w:val="auto"/>
                <w:sz w:val="21"/>
                <w:szCs w:val="21"/>
              </w:rPr>
            </w:pPr>
            <w:r>
              <w:rPr>
                <w:rFonts w:hint="eastAsia" w:ascii="Times New Roman" w:hAnsi="Times New Roman"/>
                <w:color w:val="auto"/>
                <w:sz w:val="21"/>
                <w:szCs w:val="21"/>
              </w:rPr>
              <w:t>1×10</w:t>
            </w:r>
            <w:r>
              <w:rPr>
                <w:rFonts w:hint="eastAsia" w:ascii="Times New Roman" w:hAnsi="Times New Roman"/>
                <w:color w:val="auto"/>
                <w:sz w:val="21"/>
                <w:szCs w:val="21"/>
                <w:vertAlign w:val="superscript"/>
              </w:rPr>
              <w:t>-7</w:t>
            </w:r>
          </w:p>
        </w:tc>
      </w:tr>
    </w:tbl>
    <w:p>
      <w:pPr>
        <w:adjustRightInd w:val="0"/>
        <w:jc w:val="center"/>
        <w:rPr>
          <w:rFonts w:hAnsi="宋体"/>
        </w:rPr>
      </w:pPr>
    </w:p>
    <w:p>
      <w:pPr>
        <w:ind w:firstLineChars="0"/>
      </w:pPr>
      <w:r>
        <w:rPr>
          <w:rFonts w:hint="eastAsia" w:hAnsi="宋体"/>
        </w:rPr>
        <w:t>（3）</w:t>
      </w:r>
      <w:r>
        <w:rPr>
          <w:rFonts w:hint="eastAsia"/>
        </w:rPr>
        <w:t>大气污染物年排放量核算</w:t>
      </w:r>
    </w:p>
    <w:p>
      <w:pPr>
        <w:adjustRightInd w:val="0"/>
        <w:rPr>
          <w:rFonts w:hAnsi="宋体"/>
          <w:b/>
        </w:rPr>
      </w:pPr>
      <w:r>
        <w:rPr>
          <w:rFonts w:hint="eastAsia"/>
        </w:rPr>
        <w:t>本项目大气污染物年排放量核算见专项表4.1-3。</w:t>
      </w:r>
    </w:p>
    <w:p>
      <w:pPr>
        <w:adjustRightInd w:val="0"/>
        <w:ind w:firstLine="482"/>
        <w:jc w:val="center"/>
        <w:rPr>
          <w:rFonts w:hAnsi="宋体"/>
          <w:b/>
        </w:rPr>
      </w:pPr>
    </w:p>
    <w:p>
      <w:pPr>
        <w:pStyle w:val="178"/>
        <w:ind w:firstLine="420"/>
        <w:rPr>
          <w:rFonts w:eastAsia="宋体"/>
          <w:color w:val="auto"/>
          <w:szCs w:val="21"/>
        </w:rPr>
      </w:pPr>
      <w:r>
        <w:rPr>
          <w:rFonts w:hint="eastAsia" w:eastAsia="宋体"/>
          <w:color w:val="auto"/>
          <w:szCs w:val="21"/>
        </w:rPr>
        <w:t xml:space="preserve">专项表4.1-3  </w:t>
      </w:r>
      <w:r>
        <w:rPr>
          <w:rFonts w:eastAsia="宋体"/>
          <w:color w:val="auto"/>
          <w:szCs w:val="21"/>
        </w:rPr>
        <w:t xml:space="preserve"> 大气污染物年排放量核算表</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8"/>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825"/>
              <w:rPr>
                <w:rFonts w:ascii="Times New Roman" w:hAnsi="Times New Roman"/>
                <w:color w:val="auto"/>
                <w:sz w:val="21"/>
                <w:szCs w:val="21"/>
              </w:rPr>
            </w:pPr>
            <w:r>
              <w:rPr>
                <w:rFonts w:ascii="Times New Roman" w:hAnsi="Times New Roman"/>
                <w:color w:val="auto"/>
                <w:sz w:val="21"/>
                <w:szCs w:val="21"/>
              </w:rPr>
              <w:t>序号</w:t>
            </w:r>
          </w:p>
        </w:tc>
        <w:tc>
          <w:tcPr>
            <w:tcW w:w="1667" w:type="pct"/>
          </w:tcPr>
          <w:p>
            <w:pPr>
              <w:pStyle w:val="825"/>
              <w:rPr>
                <w:rFonts w:ascii="Times New Roman" w:hAnsi="Times New Roman"/>
                <w:color w:val="auto"/>
                <w:sz w:val="21"/>
                <w:szCs w:val="21"/>
              </w:rPr>
            </w:pPr>
            <w:r>
              <w:rPr>
                <w:rFonts w:ascii="Times New Roman" w:hAnsi="Times New Roman"/>
                <w:color w:val="auto"/>
                <w:sz w:val="21"/>
                <w:szCs w:val="21"/>
              </w:rPr>
              <w:t>污染物</w:t>
            </w:r>
          </w:p>
        </w:tc>
        <w:tc>
          <w:tcPr>
            <w:tcW w:w="1667" w:type="pct"/>
          </w:tcPr>
          <w:p>
            <w:pPr>
              <w:pStyle w:val="825"/>
              <w:rPr>
                <w:rFonts w:ascii="Times New Roman" w:hAnsi="Times New Roman"/>
                <w:color w:val="auto"/>
                <w:sz w:val="21"/>
                <w:szCs w:val="21"/>
              </w:rPr>
            </w:pPr>
            <w:r>
              <w:rPr>
                <w:rFonts w:ascii="Times New Roman" w:hAnsi="Times New Roman"/>
                <w:color w:val="auto"/>
                <w:sz w:val="21"/>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825"/>
              <w:rPr>
                <w:rFonts w:ascii="Times New Roman" w:hAnsi="Times New Roman"/>
                <w:color w:val="auto"/>
                <w:sz w:val="21"/>
                <w:szCs w:val="21"/>
              </w:rPr>
            </w:pPr>
            <w:r>
              <w:rPr>
                <w:rFonts w:ascii="Times New Roman" w:hAnsi="Times New Roman"/>
                <w:color w:val="auto"/>
                <w:sz w:val="21"/>
                <w:szCs w:val="21"/>
              </w:rPr>
              <w:t>1</w:t>
            </w:r>
          </w:p>
        </w:tc>
        <w:tc>
          <w:tcPr>
            <w:tcW w:w="1667" w:type="pct"/>
            <w:vAlign w:val="center"/>
          </w:tcPr>
          <w:p>
            <w:pPr>
              <w:pStyle w:val="825"/>
              <w:rPr>
                <w:rFonts w:ascii="Times New Roman" w:hAnsi="Times New Roman"/>
                <w:color w:val="auto"/>
                <w:sz w:val="21"/>
                <w:szCs w:val="21"/>
              </w:rPr>
            </w:pPr>
            <w:r>
              <w:rPr>
                <w:rFonts w:ascii="Times New Roman" w:hAnsi="Times New Roman"/>
                <w:color w:val="auto"/>
                <w:sz w:val="21"/>
                <w:szCs w:val="21"/>
              </w:rPr>
              <w:t>铅及其化合物</w:t>
            </w:r>
          </w:p>
        </w:tc>
        <w:tc>
          <w:tcPr>
            <w:tcW w:w="1667" w:type="pct"/>
            <w:vAlign w:val="center"/>
          </w:tcPr>
          <w:p>
            <w:pPr>
              <w:pStyle w:val="825"/>
              <w:rPr>
                <w:rFonts w:ascii="Times New Roman" w:hAnsi="Times New Roman"/>
                <w:color w:val="auto"/>
                <w:sz w:val="21"/>
                <w:szCs w:val="21"/>
              </w:rPr>
            </w:pPr>
            <w:r>
              <w:rPr>
                <w:rFonts w:ascii="Times New Roman" w:hAnsi="Times New Roman"/>
                <w:color w:val="auto"/>
                <w:sz w:val="21"/>
                <w:szCs w:val="21"/>
              </w:rPr>
              <w:t>0.0</w:t>
            </w:r>
            <w:r>
              <w:rPr>
                <w:rFonts w:hint="eastAsia" w:ascii="Times New Roman" w:hAnsi="Times New Roman"/>
                <w:color w:val="auto"/>
                <w:sz w:val="21"/>
                <w:szCs w:val="21"/>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2</w:t>
            </w:r>
          </w:p>
        </w:tc>
        <w:tc>
          <w:tcPr>
            <w:tcW w:w="1667" w:type="pct"/>
            <w:vAlign w:val="center"/>
          </w:tcPr>
          <w:p>
            <w:pPr>
              <w:pStyle w:val="186"/>
            </w:pPr>
            <w:r>
              <w:rPr>
                <w:rFonts w:hint="eastAsia"/>
              </w:rPr>
              <w:t>镉及其化合物</w:t>
            </w:r>
          </w:p>
        </w:tc>
        <w:tc>
          <w:tcPr>
            <w:tcW w:w="1667"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3</w:t>
            </w:r>
          </w:p>
        </w:tc>
        <w:tc>
          <w:tcPr>
            <w:tcW w:w="1667" w:type="pct"/>
            <w:vAlign w:val="center"/>
          </w:tcPr>
          <w:p>
            <w:pPr>
              <w:pStyle w:val="186"/>
            </w:pPr>
            <w:r>
              <w:rPr>
                <w:rFonts w:hint="eastAsia"/>
              </w:rPr>
              <w:t>铅+镉及其化合物</w:t>
            </w:r>
          </w:p>
        </w:tc>
        <w:tc>
          <w:tcPr>
            <w:tcW w:w="1667"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0.02796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4</w:t>
            </w:r>
          </w:p>
        </w:tc>
        <w:tc>
          <w:tcPr>
            <w:tcW w:w="1667" w:type="pct"/>
            <w:vAlign w:val="center"/>
          </w:tcPr>
          <w:p>
            <w:pPr>
              <w:pStyle w:val="186"/>
            </w:pPr>
            <w:r>
              <w:rPr>
                <w:rFonts w:hint="eastAsia"/>
              </w:rPr>
              <w:t>铬及其化合物</w:t>
            </w:r>
          </w:p>
        </w:tc>
        <w:tc>
          <w:tcPr>
            <w:tcW w:w="1667" w:type="pct"/>
            <w:vAlign w:val="center"/>
          </w:tcPr>
          <w:p>
            <w:pPr>
              <w:pStyle w:val="825"/>
              <w:rPr>
                <w:rFonts w:ascii="Times New Roman" w:hAnsi="Times New Roman"/>
                <w:color w:val="auto"/>
                <w:sz w:val="21"/>
                <w:szCs w:val="21"/>
              </w:rPr>
            </w:pPr>
            <w:r>
              <w:rPr>
                <w:rFonts w:hint="eastAsia" w:ascii="Times New Roman" w:hAnsi="Times New Roman"/>
                <w:color w:val="auto"/>
                <w:sz w:val="21"/>
                <w:szCs w:val="21"/>
              </w:rPr>
              <w:t>4.1×10</w:t>
            </w:r>
            <w:r>
              <w:rPr>
                <w:rFonts w:hint="eastAsia" w:ascii="Times New Roman" w:hAnsi="Times New Roman"/>
                <w:color w:val="auto"/>
                <w:sz w:val="21"/>
                <w:szCs w:val="21"/>
                <w:vertAlign w:val="superscript"/>
              </w:rPr>
              <w:t>-6</w:t>
            </w:r>
          </w:p>
        </w:tc>
      </w:tr>
    </w:tbl>
    <w:p/>
    <w:p>
      <w:pPr>
        <w:ind w:firstLine="0" w:firstLineChars="0"/>
        <w:rPr>
          <w:b/>
        </w:rPr>
      </w:pPr>
      <w:r>
        <w:rPr>
          <w:b/>
        </w:rPr>
        <w:t>4.</w:t>
      </w:r>
      <w:r>
        <w:rPr>
          <w:rFonts w:hint="eastAsia"/>
          <w:b/>
        </w:rPr>
        <w:t>1</w:t>
      </w:r>
      <w:r>
        <w:rPr>
          <w:b/>
        </w:rPr>
        <w:t>.6大气环境影响评价自查表</w:t>
      </w:r>
    </w:p>
    <w:p>
      <w:pPr>
        <w:adjustRightInd w:val="0"/>
      </w:pPr>
      <w:r>
        <w:rPr>
          <w:rFonts w:hint="eastAsia"/>
        </w:rPr>
        <w:t>大气环境影响评价自查表见专项表4.1-4。</w:t>
      </w:r>
    </w:p>
    <w:p>
      <w:pPr>
        <w:pStyle w:val="178"/>
        <w:ind w:firstLine="420"/>
        <w:rPr>
          <w:rFonts w:eastAsia="宋体"/>
          <w:color w:val="auto"/>
          <w:szCs w:val="21"/>
        </w:rPr>
      </w:pPr>
      <w:r>
        <w:rPr>
          <w:rFonts w:hint="eastAsia" w:eastAsia="宋体"/>
          <w:color w:val="auto"/>
          <w:szCs w:val="21"/>
        </w:rPr>
        <w:t>专项表4.1-4   建设项目大气环境影响评价自查表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5"/>
        <w:gridCol w:w="1578"/>
        <w:gridCol w:w="935"/>
        <w:gridCol w:w="662"/>
        <w:gridCol w:w="78"/>
        <w:gridCol w:w="225"/>
        <w:gridCol w:w="112"/>
        <w:gridCol w:w="18"/>
        <w:gridCol w:w="475"/>
        <w:gridCol w:w="436"/>
        <w:gridCol w:w="294"/>
        <w:gridCol w:w="12"/>
        <w:gridCol w:w="531"/>
        <w:gridCol w:w="692"/>
        <w:gridCol w:w="361"/>
        <w:gridCol w:w="94"/>
        <w:gridCol w:w="184"/>
        <w:gridCol w:w="193"/>
        <w:gridCol w:w="365"/>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Header/>
          <w:jc w:val="center"/>
        </w:trPr>
        <w:tc>
          <w:tcPr>
            <w:tcW w:w="1374" w:type="pct"/>
            <w:gridSpan w:val="2"/>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工作内容</w:t>
            </w:r>
          </w:p>
        </w:tc>
        <w:tc>
          <w:tcPr>
            <w:tcW w:w="3626" w:type="pct"/>
            <w:gridSpan w:val="18"/>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rPr>
              <w:t>自查</w:t>
            </w:r>
            <w:r>
              <w:rPr>
                <w:rFonts w:ascii="Times New Roman" w:hAnsi="Times New Roman"/>
                <w:color w:val="auto"/>
                <w:sz w:val="21"/>
                <w:szCs w:val="21"/>
                <w:lang w:val="zh-TW" w:eastAsia="zh-TW"/>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blHeader/>
          <w:jc w:val="center"/>
        </w:trPr>
        <w:tc>
          <w:tcPr>
            <w:tcW w:w="483" w:type="pct"/>
            <w:vMerge w:val="restart"/>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评价等级</w:t>
            </w:r>
            <w:r>
              <w:rPr>
                <w:rFonts w:ascii="Times New Roman" w:hAnsi="Times New Roman"/>
                <w:color w:val="auto"/>
                <w:sz w:val="21"/>
                <w:szCs w:val="21"/>
                <w:lang w:val="zh-TW"/>
              </w:rPr>
              <w:t>与范围</w:t>
            </w:r>
          </w:p>
        </w:tc>
        <w:tc>
          <w:tcPr>
            <w:tcW w:w="890" w:type="pct"/>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评价等级</w:t>
            </w:r>
          </w:p>
        </w:tc>
        <w:tc>
          <w:tcPr>
            <w:tcW w:w="1414" w:type="pct"/>
            <w:gridSpan w:val="7"/>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rPr>
              <w:t>一</w:t>
            </w:r>
            <w:r>
              <w:rPr>
                <w:rFonts w:ascii="Times New Roman" w:hAnsi="Times New Roman"/>
                <w:color w:val="auto"/>
                <w:sz w:val="21"/>
                <w:szCs w:val="21"/>
                <w:lang w:val="zh-TW" w:eastAsia="zh-TW"/>
              </w:rPr>
              <w:t>级口</w:t>
            </w:r>
          </w:p>
        </w:tc>
        <w:tc>
          <w:tcPr>
            <w:tcW w:w="1367" w:type="pct"/>
            <w:gridSpan w:val="7"/>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二级口</w:t>
            </w:r>
          </w:p>
        </w:tc>
        <w:tc>
          <w:tcPr>
            <w:tcW w:w="846" w:type="pct"/>
            <w:gridSpan w:val="4"/>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rPr>
              <w:t>三</w:t>
            </w:r>
            <w:r>
              <w:rPr>
                <w:rFonts w:ascii="Times New Roman" w:hAnsi="Times New Roman"/>
                <w:color w:val="auto"/>
                <w:sz w:val="21"/>
                <w:szCs w:val="21"/>
                <w:lang w:val="zh-TW" w:eastAsia="zh-TW"/>
              </w:rPr>
              <w:t>级</w:t>
            </w:r>
            <w:r>
              <w:rPr>
                <w:rFonts w:ascii="Wingdings 2" w:hAnsi="Wingdings 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blHeader/>
          <w:jc w:val="center"/>
        </w:trPr>
        <w:tc>
          <w:tcPr>
            <w:tcW w:w="483" w:type="pct"/>
            <w:vMerge w:val="continue"/>
            <w:shd w:val="clear" w:color="auto" w:fill="auto"/>
            <w:vAlign w:val="center"/>
          </w:tcPr>
          <w:p>
            <w:pPr>
              <w:pStyle w:val="825"/>
              <w:rPr>
                <w:rFonts w:ascii="Times New Roman" w:hAnsi="Times New Roman" w:eastAsia="Times New Roman"/>
                <w:color w:val="auto"/>
                <w:sz w:val="21"/>
                <w:szCs w:val="21"/>
              </w:rPr>
            </w:pPr>
          </w:p>
        </w:tc>
        <w:tc>
          <w:tcPr>
            <w:tcW w:w="890" w:type="pct"/>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评价</w:t>
            </w:r>
            <w:r>
              <w:rPr>
                <w:rFonts w:ascii="Times New Roman" w:hAnsi="Times New Roman"/>
                <w:color w:val="auto"/>
                <w:sz w:val="21"/>
                <w:szCs w:val="21"/>
                <w:lang w:val="zh-TW"/>
              </w:rPr>
              <w:t>范围</w:t>
            </w:r>
          </w:p>
        </w:tc>
        <w:tc>
          <w:tcPr>
            <w:tcW w:w="1414" w:type="pct"/>
            <w:gridSpan w:val="7"/>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边长</w:t>
            </w:r>
            <w:r>
              <w:rPr>
                <w:rFonts w:ascii="Times New Roman" w:hAnsi="Times New Roman" w:eastAsia="Times New Roman"/>
                <w:color w:val="auto"/>
                <w:sz w:val="21"/>
                <w:szCs w:val="21"/>
                <w:lang w:eastAsia="en-US"/>
              </w:rPr>
              <w:t>=50km</w:t>
            </w:r>
            <w:r>
              <w:rPr>
                <w:rFonts w:ascii="Times New Roman" w:hAnsi="Times New Roman"/>
                <w:color w:val="auto"/>
                <w:sz w:val="21"/>
                <w:szCs w:val="21"/>
                <w:lang w:val="zh-TW" w:eastAsia="zh-TW"/>
              </w:rPr>
              <w:t>口</w:t>
            </w:r>
          </w:p>
        </w:tc>
        <w:tc>
          <w:tcPr>
            <w:tcW w:w="1367" w:type="pct"/>
            <w:gridSpan w:val="7"/>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边长</w:t>
            </w:r>
            <w:r>
              <w:rPr>
                <w:rFonts w:ascii="Times New Roman" w:hAnsi="Times New Roman" w:eastAsia="Times New Roman"/>
                <w:color w:val="auto"/>
                <w:sz w:val="21"/>
                <w:szCs w:val="21"/>
                <w:lang w:val="zh-TW" w:eastAsia="zh-TW"/>
              </w:rPr>
              <w:t>5</w:t>
            </w:r>
            <w:r>
              <w:rPr>
                <w:rFonts w:ascii="Times New Roman" w:hAnsi="Times New Roman" w:eastAsia="MS Mincho"/>
                <w:color w:val="auto"/>
                <w:sz w:val="21"/>
                <w:szCs w:val="21"/>
                <w:lang w:val="zh-TW" w:eastAsia="zh-TW"/>
              </w:rPr>
              <w:t>〜</w:t>
            </w:r>
            <w:r>
              <w:rPr>
                <w:rFonts w:ascii="Times New Roman" w:hAnsi="Times New Roman" w:eastAsia="Times New Roman"/>
                <w:color w:val="auto"/>
                <w:sz w:val="21"/>
                <w:szCs w:val="21"/>
                <w:lang w:eastAsia="en-US"/>
              </w:rPr>
              <w:t>50km</w:t>
            </w:r>
            <w:r>
              <w:rPr>
                <w:rFonts w:ascii="Times New Roman" w:hAnsi="Times New Roman"/>
                <w:color w:val="auto"/>
                <w:sz w:val="21"/>
                <w:szCs w:val="21"/>
                <w:lang w:val="zh-TW" w:eastAsia="zh-TW"/>
              </w:rPr>
              <w:t>口</w:t>
            </w:r>
          </w:p>
        </w:tc>
        <w:tc>
          <w:tcPr>
            <w:tcW w:w="846" w:type="pct"/>
            <w:gridSpan w:val="4"/>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边长</w:t>
            </w:r>
            <w:r>
              <w:rPr>
                <w:rFonts w:ascii="Times New Roman" w:hAnsi="Times New Roman" w:eastAsia="Times New Roman"/>
                <w:color w:val="auto"/>
                <w:sz w:val="21"/>
                <w:szCs w:val="21"/>
                <w:lang w:val="zh-TW" w:eastAsia="zh-TW"/>
              </w:rPr>
              <w:t>=5</w:t>
            </w:r>
            <w:r>
              <w:rPr>
                <w:rFonts w:ascii="Times New Roman" w:hAnsi="Times New Roman" w:eastAsia="Times New Roman"/>
                <w:color w:val="auto"/>
                <w:sz w:val="21"/>
                <w:szCs w:val="21"/>
                <w:lang w:eastAsia="en-US"/>
              </w:rPr>
              <w:t>km</w:t>
            </w:r>
            <w:r>
              <w:rPr>
                <w:rFonts w:ascii="Times New Roman" w:hAnsi="Times New Roman"/>
                <w:color w:val="auto"/>
                <w:sz w:val="21"/>
                <w:szCs w:val="21"/>
                <w:lang w:val="zh-TW" w:eastAsia="zh-TW"/>
              </w:rPr>
              <w:t>口</w:t>
            </w:r>
            <w:r>
              <w:rPr>
                <w:rFonts w:ascii="Times New Roman" w:hAnsi="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blHeader/>
          <w:jc w:val="center"/>
        </w:trPr>
        <w:tc>
          <w:tcPr>
            <w:tcW w:w="483" w:type="pct"/>
            <w:vMerge w:val="restart"/>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评价</w:t>
            </w:r>
            <w:r>
              <w:rPr>
                <w:rFonts w:ascii="Times New Roman" w:hAnsi="Times New Roman"/>
                <w:color w:val="auto"/>
                <w:sz w:val="21"/>
                <w:szCs w:val="21"/>
              </w:rPr>
              <w:t>因子</w:t>
            </w:r>
          </w:p>
        </w:tc>
        <w:tc>
          <w:tcPr>
            <w:tcW w:w="890" w:type="pct"/>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rPr>
              <w:t>SO</w:t>
            </w:r>
            <w:r>
              <w:rPr>
                <w:rFonts w:ascii="Times New Roman" w:hAnsi="Times New Roman"/>
                <w:color w:val="auto"/>
                <w:sz w:val="21"/>
                <w:szCs w:val="21"/>
                <w:vertAlign w:val="subscript"/>
              </w:rPr>
              <w:t>2</w:t>
            </w:r>
            <w:r>
              <w:rPr>
                <w:rFonts w:ascii="Times New Roman" w:hAnsi="Times New Roman"/>
                <w:color w:val="auto"/>
                <w:sz w:val="21"/>
                <w:szCs w:val="21"/>
              </w:rPr>
              <w:t>+NO</w:t>
            </w:r>
            <w:r>
              <w:rPr>
                <w:rFonts w:ascii="Times New Roman" w:hAnsi="Times New Roman"/>
                <w:color w:val="auto"/>
                <w:sz w:val="21"/>
                <w:szCs w:val="21"/>
                <w:vertAlign w:val="subscript"/>
              </w:rPr>
              <w:t>x</w:t>
            </w:r>
            <w:r>
              <w:rPr>
                <w:rFonts w:ascii="Times New Roman" w:hAnsi="Times New Roman"/>
                <w:color w:val="auto"/>
                <w:sz w:val="21"/>
                <w:szCs w:val="21"/>
                <w:lang w:val="zh-TW" w:eastAsia="zh-TW"/>
              </w:rPr>
              <w:t>放量</w:t>
            </w:r>
          </w:p>
        </w:tc>
        <w:tc>
          <w:tcPr>
            <w:tcW w:w="1073" w:type="pct"/>
            <w:gridSpan w:val="4"/>
            <w:shd w:val="clear" w:color="auto" w:fill="auto"/>
            <w:vAlign w:val="center"/>
          </w:tcPr>
          <w:p>
            <w:pPr>
              <w:pStyle w:val="825"/>
              <w:rPr>
                <w:rFonts w:ascii="Times New Roman" w:hAnsi="Times New Roman" w:eastAsia="Times New Roman"/>
                <w:color w:val="auto"/>
                <w:sz w:val="21"/>
                <w:szCs w:val="21"/>
              </w:rPr>
            </w:pPr>
            <w:r>
              <w:rPr>
                <w:rFonts w:ascii="Times New Roman" w:hAnsi="Times New Roman" w:eastAsia="Times New Roman"/>
                <w:color w:val="auto"/>
                <w:sz w:val="21"/>
                <w:szCs w:val="21"/>
                <w:lang w:val="zh-TW" w:eastAsia="zh-TW"/>
              </w:rPr>
              <w:t>≥</w:t>
            </w:r>
            <w:r>
              <w:rPr>
                <w:rFonts w:ascii="Times New Roman" w:hAnsi="Times New Roman" w:eastAsia="Times New Roman"/>
                <w:color w:val="auto"/>
                <w:sz w:val="21"/>
                <w:szCs w:val="21"/>
                <w:lang w:eastAsia="en-US"/>
              </w:rPr>
              <w:t>2000t</w:t>
            </w:r>
            <w:r>
              <w:rPr>
                <w:rFonts w:ascii="Times New Roman" w:hAnsi="Times New Roman"/>
                <w:color w:val="auto"/>
                <w:sz w:val="21"/>
                <w:szCs w:val="21"/>
              </w:rPr>
              <w:t>/</w:t>
            </w:r>
            <w:r>
              <w:rPr>
                <w:rFonts w:ascii="Times New Roman" w:hAnsi="Times New Roman" w:eastAsia="Times New Roman"/>
                <w:color w:val="auto"/>
                <w:sz w:val="21"/>
                <w:szCs w:val="21"/>
                <w:lang w:eastAsia="en-US"/>
              </w:rPr>
              <w:t>a</w:t>
            </w:r>
            <w:r>
              <w:rPr>
                <w:rFonts w:ascii="Times New Roman" w:hAnsi="Times New Roman"/>
                <w:color w:val="auto"/>
                <w:sz w:val="21"/>
                <w:szCs w:val="21"/>
                <w:lang w:val="zh-TW" w:eastAsia="zh-TW"/>
              </w:rPr>
              <w:t>口</w:t>
            </w:r>
          </w:p>
        </w:tc>
        <w:tc>
          <w:tcPr>
            <w:tcW w:w="1708" w:type="pct"/>
            <w:gridSpan w:val="10"/>
            <w:shd w:val="clear" w:color="auto" w:fill="auto"/>
            <w:vAlign w:val="center"/>
          </w:tcPr>
          <w:p>
            <w:pPr>
              <w:pStyle w:val="825"/>
              <w:rPr>
                <w:rFonts w:ascii="Times New Roman" w:hAnsi="Times New Roman" w:eastAsia="Times New Roman"/>
                <w:color w:val="auto"/>
                <w:sz w:val="21"/>
                <w:szCs w:val="21"/>
              </w:rPr>
            </w:pPr>
            <w:r>
              <w:rPr>
                <w:rFonts w:ascii="Times New Roman" w:hAnsi="Times New Roman" w:eastAsia="Times New Roman"/>
                <w:color w:val="auto"/>
                <w:sz w:val="21"/>
                <w:szCs w:val="21"/>
                <w:lang w:eastAsia="en-US"/>
              </w:rPr>
              <w:t>500~ 2000t</w:t>
            </w:r>
            <w:r>
              <w:rPr>
                <w:rFonts w:ascii="Times New Roman" w:hAnsi="Times New Roman"/>
                <w:color w:val="auto"/>
                <w:sz w:val="21"/>
                <w:szCs w:val="21"/>
              </w:rPr>
              <w:t>/</w:t>
            </w:r>
            <w:r>
              <w:rPr>
                <w:rFonts w:ascii="Times New Roman" w:hAnsi="Times New Roman" w:eastAsia="Times New Roman"/>
                <w:color w:val="auto"/>
                <w:sz w:val="21"/>
                <w:szCs w:val="21"/>
                <w:lang w:eastAsia="en-US"/>
              </w:rPr>
              <w:t>a</w:t>
            </w:r>
            <w:r>
              <w:rPr>
                <w:rFonts w:ascii="Times New Roman" w:hAnsi="Times New Roman"/>
                <w:color w:val="auto"/>
                <w:sz w:val="21"/>
                <w:szCs w:val="21"/>
                <w:lang w:val="zh-TW" w:eastAsia="zh-TW"/>
              </w:rPr>
              <w:t>口</w:t>
            </w:r>
          </w:p>
        </w:tc>
        <w:tc>
          <w:tcPr>
            <w:tcW w:w="846" w:type="pct"/>
            <w:gridSpan w:val="4"/>
            <w:shd w:val="clear" w:color="auto" w:fill="auto"/>
            <w:vAlign w:val="center"/>
          </w:tcPr>
          <w:p>
            <w:pPr>
              <w:pStyle w:val="825"/>
              <w:rPr>
                <w:rFonts w:ascii="Times New Roman" w:hAnsi="Times New Roman" w:eastAsia="Times New Roman"/>
                <w:color w:val="auto"/>
                <w:sz w:val="21"/>
                <w:szCs w:val="21"/>
              </w:rPr>
            </w:pPr>
            <w:r>
              <w:rPr>
                <w:rFonts w:ascii="Times New Roman" w:hAnsi="Times New Roman" w:eastAsia="Times New Roman"/>
                <w:color w:val="auto"/>
                <w:sz w:val="21"/>
                <w:szCs w:val="21"/>
                <w:lang w:val="zh-TW" w:eastAsia="zh-TW"/>
              </w:rPr>
              <w:t>&lt;500</w:t>
            </w:r>
            <w:r>
              <w:rPr>
                <w:rFonts w:ascii="Times New Roman" w:hAnsi="Times New Roman"/>
                <w:color w:val="auto"/>
                <w:sz w:val="21"/>
                <w:szCs w:val="21"/>
              </w:rPr>
              <w:t>t/</w:t>
            </w:r>
            <w:r>
              <w:rPr>
                <w:rFonts w:ascii="Times New Roman" w:hAnsi="Times New Roman" w:eastAsia="Times New Roman"/>
                <w:color w:val="auto"/>
                <w:sz w:val="21"/>
                <w:szCs w:val="21"/>
                <w:lang w:eastAsia="en-US"/>
              </w:rPr>
              <w:t>a</w:t>
            </w:r>
            <w:r>
              <w:rPr>
                <w:rFonts w:ascii="Wingdings 2" w:hAnsi="Wingdings 2"/>
                <w:color w:val="auto"/>
                <w:sz w:val="21"/>
                <w:szCs w:val="21"/>
              </w:rPr>
              <w:t></w:t>
            </w:r>
            <w:r>
              <w:rPr>
                <w:rFonts w:ascii="Times New Roman" w:hAnsi="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blHeader/>
          <w:jc w:val="center"/>
        </w:trPr>
        <w:tc>
          <w:tcPr>
            <w:tcW w:w="483" w:type="pct"/>
            <w:vMerge w:val="continue"/>
            <w:shd w:val="clear" w:color="auto" w:fill="auto"/>
            <w:vAlign w:val="center"/>
          </w:tcPr>
          <w:p>
            <w:pPr>
              <w:pStyle w:val="825"/>
              <w:rPr>
                <w:rFonts w:ascii="Times New Roman" w:hAnsi="Times New Roman" w:eastAsia="Times New Roman"/>
                <w:color w:val="auto"/>
                <w:sz w:val="21"/>
                <w:szCs w:val="21"/>
              </w:rPr>
            </w:pPr>
          </w:p>
        </w:tc>
        <w:tc>
          <w:tcPr>
            <w:tcW w:w="890" w:type="pct"/>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评价</w:t>
            </w:r>
            <w:r>
              <w:rPr>
                <w:rFonts w:ascii="Times New Roman" w:hAnsi="Times New Roman"/>
                <w:color w:val="auto"/>
                <w:sz w:val="21"/>
                <w:szCs w:val="21"/>
              </w:rPr>
              <w:t>因子</w:t>
            </w:r>
          </w:p>
        </w:tc>
        <w:tc>
          <w:tcPr>
            <w:tcW w:w="2133" w:type="pct"/>
            <w:gridSpan w:val="11"/>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其</w:t>
            </w:r>
            <w:r>
              <w:rPr>
                <w:rFonts w:ascii="Times New Roman" w:hAnsi="Times New Roman"/>
                <w:color w:val="auto"/>
                <w:sz w:val="21"/>
                <w:szCs w:val="21"/>
              </w:rPr>
              <w:t>他</w:t>
            </w:r>
            <w:r>
              <w:rPr>
                <w:rFonts w:ascii="Times New Roman" w:hAnsi="Times New Roman"/>
                <w:color w:val="auto"/>
                <w:sz w:val="21"/>
                <w:szCs w:val="21"/>
                <w:lang w:val="zh-TW" w:eastAsia="zh-TW"/>
              </w:rPr>
              <w:t>污染物</w:t>
            </w:r>
            <w:r>
              <w:rPr>
                <w:rFonts w:ascii="Times New Roman" w:hAnsi="Times New Roman"/>
                <w:color w:val="auto"/>
                <w:sz w:val="21"/>
                <w:szCs w:val="21"/>
              </w:rPr>
              <w:t>（</w:t>
            </w:r>
            <w:r>
              <w:rPr>
                <w:rFonts w:hint="eastAsia" w:ascii="Times New Roman" w:hAnsi="Times New Roman"/>
                <w:color w:val="auto"/>
                <w:sz w:val="21"/>
                <w:szCs w:val="21"/>
              </w:rPr>
              <w:t>颗粒物</w:t>
            </w:r>
            <w:r>
              <w:rPr>
                <w:rFonts w:ascii="Times New Roman" w:hAnsi="Times New Roman"/>
                <w:color w:val="auto"/>
                <w:sz w:val="21"/>
                <w:szCs w:val="21"/>
              </w:rPr>
              <w:t>、</w:t>
            </w:r>
            <w:r>
              <w:rPr>
                <w:rFonts w:hint="eastAsia" w:ascii="Times New Roman" w:hAnsi="Times New Roman"/>
                <w:color w:val="auto"/>
                <w:sz w:val="21"/>
                <w:szCs w:val="21"/>
              </w:rPr>
              <w:t>铅、镉、铬及其化合物</w:t>
            </w:r>
            <w:r>
              <w:rPr>
                <w:rFonts w:ascii="Times New Roman" w:hAnsi="Times New Roman"/>
                <w:color w:val="auto"/>
                <w:sz w:val="21"/>
                <w:szCs w:val="21"/>
              </w:rPr>
              <w:t>）</w:t>
            </w:r>
          </w:p>
        </w:tc>
        <w:tc>
          <w:tcPr>
            <w:tcW w:w="1494" w:type="pct"/>
            <w:gridSpan w:val="7"/>
            <w:shd w:val="clear" w:color="auto" w:fill="auto"/>
            <w:vAlign w:val="center"/>
          </w:tcPr>
          <w:p>
            <w:pPr>
              <w:pStyle w:val="825"/>
              <w:rPr>
                <w:rFonts w:ascii="Times New Roman" w:hAnsi="Times New Roman"/>
                <w:color w:val="auto"/>
                <w:sz w:val="21"/>
                <w:szCs w:val="21"/>
                <w:lang w:val="zh-TW"/>
              </w:rPr>
            </w:pPr>
            <w:r>
              <w:rPr>
                <w:rFonts w:ascii="Times New Roman" w:hAnsi="Times New Roman"/>
                <w:color w:val="auto"/>
                <w:sz w:val="21"/>
                <w:szCs w:val="21"/>
                <w:lang w:val="zh-TW" w:eastAsia="zh-TW"/>
              </w:rPr>
              <w:t>包括二次</w:t>
            </w:r>
            <w:r>
              <w:rPr>
                <w:rFonts w:ascii="Times New Roman" w:hAnsi="Times New Roman" w:eastAsia="Times New Roman"/>
                <w:color w:val="auto"/>
                <w:sz w:val="21"/>
                <w:szCs w:val="21"/>
                <w:lang w:eastAsia="en-US"/>
              </w:rPr>
              <w:t>PM</w:t>
            </w:r>
            <w:r>
              <w:rPr>
                <w:rFonts w:ascii="Times New Roman" w:hAnsi="Times New Roman" w:eastAsia="Times New Roman"/>
                <w:color w:val="auto"/>
                <w:sz w:val="21"/>
                <w:szCs w:val="21"/>
                <w:vertAlign w:val="subscript"/>
                <w:lang w:eastAsia="en-US"/>
              </w:rPr>
              <w:t>2</w:t>
            </w:r>
            <w:r>
              <w:rPr>
                <w:rFonts w:ascii="Times New Roman" w:hAnsi="Times New Roman"/>
                <w:color w:val="auto"/>
                <w:sz w:val="21"/>
                <w:szCs w:val="21"/>
                <w:vertAlign w:val="subscript"/>
              </w:rPr>
              <w:t>.5</w:t>
            </w:r>
            <w:r>
              <w:rPr>
                <w:rFonts w:ascii="Times New Roman" w:hAnsi="Times New Roman"/>
                <w:color w:val="auto"/>
                <w:sz w:val="21"/>
                <w:szCs w:val="21"/>
                <w:lang w:val="zh-TW" w:eastAsia="zh-TW"/>
              </w:rPr>
              <w:t>口</w:t>
            </w:r>
          </w:p>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不包括二次</w:t>
            </w:r>
            <w:r>
              <w:rPr>
                <w:rFonts w:ascii="Times New Roman" w:hAnsi="Times New Roman" w:eastAsia="Times New Roman"/>
                <w:color w:val="auto"/>
                <w:sz w:val="21"/>
                <w:szCs w:val="21"/>
                <w:lang w:eastAsia="en-US"/>
              </w:rPr>
              <w:t>PM</w:t>
            </w:r>
            <w:r>
              <w:rPr>
                <w:rFonts w:ascii="Times New Roman" w:hAnsi="Times New Roman"/>
                <w:color w:val="auto"/>
                <w:sz w:val="21"/>
                <w:szCs w:val="21"/>
                <w:vertAlign w:val="subscript"/>
              </w:rPr>
              <w:t>2.5</w:t>
            </w:r>
            <w:r>
              <w:rPr>
                <w:rFonts w:ascii="Wingdings 2" w:hAnsi="Wingdings 2"/>
                <w:color w:val="auto"/>
                <w:sz w:val="21"/>
                <w:szCs w:val="21"/>
              </w:rPr>
              <w:t></w:t>
            </w:r>
            <w:r>
              <w:rPr>
                <w:rFonts w:ascii="Times New Roman" w:hAnsi="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blHeader/>
          <w:jc w:val="center"/>
        </w:trPr>
        <w:tc>
          <w:tcPr>
            <w:tcW w:w="483"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评价标准</w:t>
            </w:r>
          </w:p>
        </w:tc>
        <w:tc>
          <w:tcPr>
            <w:tcW w:w="890"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评价标准</w:t>
            </w:r>
          </w:p>
        </w:tc>
        <w:tc>
          <w:tcPr>
            <w:tcW w:w="946" w:type="pct"/>
            <w:gridSpan w:val="3"/>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rPr>
              <w:t>国家标准</w:t>
            </w:r>
            <w:r>
              <w:rPr>
                <w:rFonts w:ascii="Wingdings 2" w:hAnsi="Wingdings 2"/>
                <w:color w:val="auto"/>
                <w:sz w:val="21"/>
                <w:szCs w:val="21"/>
              </w:rPr>
              <w:t></w:t>
            </w:r>
            <w:r>
              <w:rPr>
                <w:rFonts w:ascii="Times New Roman" w:hAnsi="Times New Roman"/>
                <w:color w:val="auto"/>
                <w:sz w:val="21"/>
                <w:szCs w:val="21"/>
              </w:rPr>
              <w:t></w:t>
            </w:r>
          </w:p>
        </w:tc>
        <w:tc>
          <w:tcPr>
            <w:tcW w:w="1186" w:type="pct"/>
            <w:gridSpan w:val="8"/>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地方标准</w:t>
            </w:r>
            <w:r>
              <w:rPr>
                <w:rFonts w:ascii="Wingdings 2" w:hAnsi="Wingdings 2"/>
                <w:color w:val="auto"/>
                <w:sz w:val="21"/>
                <w:szCs w:val="21"/>
              </w:rPr>
              <w:t></w:t>
            </w:r>
            <w:r>
              <w:rPr>
                <w:rFonts w:ascii="Times New Roman" w:hAnsi="Times New Roman"/>
                <w:color w:val="auto"/>
                <w:sz w:val="21"/>
                <w:szCs w:val="21"/>
              </w:rPr>
              <w:t></w:t>
            </w:r>
          </w:p>
        </w:tc>
        <w:tc>
          <w:tcPr>
            <w:tcW w:w="752" w:type="pct"/>
            <w:gridSpan w:val="4"/>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附录</w:t>
            </w:r>
            <w:r>
              <w:rPr>
                <w:rFonts w:ascii="Times New Roman" w:hAnsi="Times New Roman" w:eastAsia="Times New Roman"/>
                <w:color w:val="auto"/>
                <w:sz w:val="21"/>
                <w:szCs w:val="21"/>
                <w:lang w:eastAsia="en-US"/>
              </w:rPr>
              <w:t>D</w:t>
            </w:r>
            <w:r>
              <w:rPr>
                <w:rFonts w:ascii="Times New Roman" w:hAnsi="Times New Roman"/>
                <w:color w:val="auto"/>
                <w:sz w:val="21"/>
                <w:szCs w:val="21"/>
              </w:rPr>
              <w:t></w:t>
            </w:r>
          </w:p>
        </w:tc>
        <w:tc>
          <w:tcPr>
            <w:tcW w:w="741" w:type="pct"/>
            <w:gridSpan w:val="3"/>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其他标准</w:t>
            </w:r>
            <w:r>
              <w:rPr>
                <w:rFonts w:ascii="Wingdings 2" w:hAnsi="Wingdings 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blHeader/>
          <w:jc w:val="center"/>
        </w:trPr>
        <w:tc>
          <w:tcPr>
            <w:tcW w:w="483" w:type="pct"/>
            <w:vMerge w:val="restart"/>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rPr>
              <w:t>现</w:t>
            </w:r>
            <w:r>
              <w:rPr>
                <w:rFonts w:ascii="Times New Roman" w:hAnsi="Times New Roman"/>
                <w:color w:val="auto"/>
                <w:sz w:val="21"/>
                <w:szCs w:val="21"/>
                <w:lang w:val="zh-TW" w:eastAsia="zh-TW"/>
              </w:rPr>
              <w:t>状评价</w:t>
            </w:r>
          </w:p>
        </w:tc>
        <w:tc>
          <w:tcPr>
            <w:tcW w:w="890" w:type="pct"/>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环境功能区</w:t>
            </w:r>
          </w:p>
        </w:tc>
        <w:tc>
          <w:tcPr>
            <w:tcW w:w="1136" w:type="pct"/>
            <w:gridSpan w:val="5"/>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一类区</w:t>
            </w:r>
            <w:r>
              <w:rPr>
                <w:rFonts w:ascii="Times New Roman" w:hAnsi="Times New Roman"/>
                <w:color w:val="auto"/>
                <w:sz w:val="21"/>
                <w:szCs w:val="21"/>
                <w:lang w:val="zh-TW" w:eastAsia="zh-TW"/>
              </w:rPr>
              <w:t>口</w:t>
            </w:r>
          </w:p>
        </w:tc>
        <w:tc>
          <w:tcPr>
            <w:tcW w:w="1388" w:type="pct"/>
            <w:gridSpan w:val="7"/>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二类区</w:t>
            </w:r>
            <w:r>
              <w:rPr>
                <w:rFonts w:ascii="Wingdings 2" w:hAnsi="Wingdings 2"/>
                <w:color w:val="auto"/>
                <w:sz w:val="21"/>
                <w:szCs w:val="21"/>
              </w:rPr>
              <w:t></w:t>
            </w:r>
            <w:r>
              <w:rPr>
                <w:rFonts w:ascii="Times New Roman" w:hAnsi="Times New Roman"/>
                <w:color w:val="auto"/>
                <w:sz w:val="21"/>
                <w:szCs w:val="21"/>
              </w:rPr>
              <w:t></w:t>
            </w:r>
          </w:p>
        </w:tc>
        <w:tc>
          <w:tcPr>
            <w:tcW w:w="1103" w:type="pct"/>
            <w:gridSpan w:val="6"/>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一类区和二类区</w:t>
            </w:r>
            <w:r>
              <w:rPr>
                <w:rFonts w:ascii="Times New Roman" w:hAnsi="Times New Roman"/>
                <w:color w:val="auto"/>
                <w:sz w:val="21"/>
                <w:szCs w:val="21"/>
                <w:lang w:val="zh-TW" w:eastAsia="zh-TW"/>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blHeader/>
          <w:jc w:val="center"/>
        </w:trPr>
        <w:tc>
          <w:tcPr>
            <w:tcW w:w="483" w:type="pct"/>
            <w:vMerge w:val="continue"/>
            <w:shd w:val="clear" w:color="auto" w:fill="auto"/>
            <w:vAlign w:val="center"/>
          </w:tcPr>
          <w:p>
            <w:pPr>
              <w:pStyle w:val="825"/>
              <w:rPr>
                <w:rFonts w:ascii="Times New Roman" w:hAnsi="Times New Roman" w:eastAsia="Times New Roman"/>
                <w:color w:val="auto"/>
                <w:sz w:val="21"/>
                <w:szCs w:val="21"/>
              </w:rPr>
            </w:pPr>
          </w:p>
        </w:tc>
        <w:tc>
          <w:tcPr>
            <w:tcW w:w="890" w:type="pct"/>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评价基准年</w:t>
            </w:r>
          </w:p>
        </w:tc>
        <w:tc>
          <w:tcPr>
            <w:tcW w:w="3626" w:type="pct"/>
            <w:gridSpan w:val="18"/>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rPr>
              <w:t>（202</w:t>
            </w:r>
            <w:r>
              <w:rPr>
                <w:rFonts w:hint="eastAsia" w:ascii="Times New Roman" w:hAnsi="Times New Roman"/>
                <w:color w:val="auto"/>
                <w:sz w:val="21"/>
                <w:szCs w:val="21"/>
                <w:lang w:val="zh-TW"/>
              </w:rPr>
              <w:t>2</w:t>
            </w:r>
            <w:r>
              <w:rPr>
                <w:rFonts w:ascii="Times New Roman" w:hAnsi="Times New Roman"/>
                <w:color w:val="auto"/>
                <w:sz w:val="21"/>
                <w:szCs w:val="21"/>
                <w:lang w:val="zh-TW"/>
              </w:rPr>
              <w:t>）</w:t>
            </w:r>
            <w:r>
              <w:rPr>
                <w:rFonts w:ascii="Times New Roman" w:hAnsi="Times New Roman"/>
                <w:color w:val="auto"/>
                <w:sz w:val="21"/>
                <w:szCs w:val="21"/>
                <w:lang w:val="zh-TW" w:eastAsia="zh-TW"/>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blHeader/>
          <w:jc w:val="center"/>
        </w:trPr>
        <w:tc>
          <w:tcPr>
            <w:tcW w:w="483" w:type="pct"/>
            <w:vMerge w:val="restart"/>
            <w:tcBorders>
              <w:top w:val="nil"/>
              <w:left w:val="single" w:color="auto" w:sz="4" w:space="0"/>
              <w:bottom w:val="nil"/>
              <w:right w:val="nil"/>
            </w:tcBorders>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现状评价</w:t>
            </w:r>
          </w:p>
        </w:tc>
        <w:tc>
          <w:tcPr>
            <w:tcW w:w="890"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环境空气</w:t>
            </w:r>
            <w:r>
              <w:rPr>
                <w:rFonts w:ascii="Times New Roman" w:hAnsi="Times New Roman"/>
                <w:color w:val="auto"/>
                <w:sz w:val="21"/>
                <w:szCs w:val="21"/>
                <w:lang w:val="zh-TW"/>
              </w:rPr>
              <w:t>质量现状调查数据来源</w:t>
            </w:r>
          </w:p>
        </w:tc>
        <w:tc>
          <w:tcPr>
            <w:tcW w:w="1414" w:type="pct"/>
            <w:gridSpan w:val="7"/>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长期例行</w:t>
            </w:r>
            <w:r>
              <w:rPr>
                <w:rFonts w:ascii="Times New Roman" w:hAnsi="Times New Roman"/>
                <w:color w:val="auto"/>
                <w:sz w:val="21"/>
                <w:szCs w:val="21"/>
                <w:lang w:val="zh-TW"/>
              </w:rPr>
              <w:t>监测数据</w:t>
            </w:r>
            <w:r>
              <w:rPr>
                <w:rFonts w:ascii="Times New Roman" w:hAnsi="Times New Roman"/>
                <w:color w:val="auto"/>
                <w:sz w:val="21"/>
                <w:szCs w:val="21"/>
                <w:lang w:val="zh-TW" w:eastAsia="zh-TW"/>
              </w:rPr>
              <w:t>口</w:t>
            </w:r>
          </w:p>
        </w:tc>
        <w:tc>
          <w:tcPr>
            <w:tcW w:w="1367" w:type="pct"/>
            <w:gridSpan w:val="7"/>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主管部门发布的</w:t>
            </w:r>
            <w:r>
              <w:rPr>
                <w:rFonts w:ascii="Times New Roman" w:hAnsi="Times New Roman"/>
                <w:color w:val="auto"/>
                <w:sz w:val="21"/>
                <w:szCs w:val="21"/>
                <w:lang w:val="zh-TW"/>
              </w:rPr>
              <w:t>数据</w:t>
            </w:r>
            <w:r>
              <w:rPr>
                <w:rFonts w:ascii="Wingdings 2" w:hAnsi="Wingdings 2"/>
                <w:color w:val="auto"/>
                <w:sz w:val="21"/>
                <w:szCs w:val="21"/>
              </w:rPr>
              <w:t></w:t>
            </w:r>
            <w:r>
              <w:rPr>
                <w:rFonts w:ascii="Times New Roman" w:hAnsi="Times New Roman"/>
                <w:color w:val="auto"/>
                <w:sz w:val="21"/>
                <w:szCs w:val="21"/>
              </w:rPr>
              <w:t></w:t>
            </w:r>
          </w:p>
        </w:tc>
        <w:tc>
          <w:tcPr>
            <w:tcW w:w="846" w:type="pct"/>
            <w:gridSpan w:val="4"/>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rPr>
              <w:t>现状</w:t>
            </w:r>
            <w:r>
              <w:rPr>
                <w:rFonts w:ascii="Times New Roman" w:hAnsi="Times New Roman"/>
                <w:color w:val="auto"/>
                <w:sz w:val="21"/>
                <w:szCs w:val="21"/>
                <w:lang w:val="zh-TW" w:eastAsia="zh-TW"/>
              </w:rPr>
              <w:t>补充监测</w:t>
            </w:r>
            <w:r>
              <w:rPr>
                <w:rFonts w:ascii="Wingdings 2" w:hAnsi="Wingdings 2"/>
                <w:color w:val="auto"/>
                <w:sz w:val="21"/>
                <w:szCs w:val="21"/>
              </w:rPr>
              <w:t></w:t>
            </w:r>
            <w:r>
              <w:rPr>
                <w:rFonts w:ascii="Times New Roman" w:hAnsi="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tblHeader/>
          <w:jc w:val="center"/>
        </w:trPr>
        <w:tc>
          <w:tcPr>
            <w:tcW w:w="483" w:type="pct"/>
            <w:vMerge w:val="continue"/>
            <w:tcBorders>
              <w:top w:val="nil"/>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p>
        </w:tc>
        <w:tc>
          <w:tcPr>
            <w:tcW w:w="890"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现状评价</w:t>
            </w:r>
          </w:p>
        </w:tc>
        <w:tc>
          <w:tcPr>
            <w:tcW w:w="2133" w:type="pct"/>
            <w:gridSpan w:val="11"/>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rPr>
              <w:t>达标区</w:t>
            </w:r>
            <w:r>
              <w:rPr>
                <w:rFonts w:ascii="Wingdings 2" w:hAnsi="Wingdings 2"/>
                <w:color w:val="auto"/>
                <w:sz w:val="21"/>
                <w:szCs w:val="21"/>
              </w:rPr>
              <w:t></w:t>
            </w:r>
            <w:r>
              <w:rPr>
                <w:rFonts w:ascii="Times New Roman" w:hAnsi="Times New Roman"/>
                <w:color w:val="auto"/>
                <w:sz w:val="21"/>
                <w:szCs w:val="21"/>
              </w:rPr>
              <w:t></w:t>
            </w:r>
          </w:p>
        </w:tc>
        <w:tc>
          <w:tcPr>
            <w:tcW w:w="1494" w:type="pct"/>
            <w:gridSpan w:val="7"/>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rPr>
              <w:t>不达标区</w:t>
            </w:r>
            <w:r>
              <w:rPr>
                <w:rFonts w:ascii="Times New Roman" w:hAnsi="Times New Roman"/>
                <w:color w:val="auto"/>
                <w:sz w:val="21"/>
                <w:szCs w:val="21"/>
                <w:lang w:val="zh-TW" w:eastAsia="zh-TW"/>
              </w:rPr>
              <w:t>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blHeader/>
          <w:jc w:val="center"/>
        </w:trPr>
        <w:tc>
          <w:tcPr>
            <w:tcW w:w="483"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color w:val="auto"/>
                <w:sz w:val="21"/>
                <w:szCs w:val="21"/>
                <w:lang w:val="zh-TW"/>
              </w:rPr>
            </w:pPr>
            <w:r>
              <w:rPr>
                <w:rFonts w:ascii="Times New Roman" w:hAnsi="Times New Roman"/>
                <w:color w:val="auto"/>
                <w:sz w:val="21"/>
                <w:szCs w:val="21"/>
                <w:lang w:val="zh-TW" w:eastAsia="zh-TW"/>
              </w:rPr>
              <w:t>污染源</w:t>
            </w:r>
          </w:p>
          <w:p>
            <w:pPr>
              <w:pStyle w:val="825"/>
              <w:rPr>
                <w:rFonts w:ascii="Times New Roman" w:hAnsi="Times New Roman" w:eastAsia="Times New Roman"/>
                <w:color w:val="auto"/>
                <w:sz w:val="21"/>
                <w:szCs w:val="21"/>
              </w:rPr>
            </w:pPr>
            <w:r>
              <w:rPr>
                <w:rFonts w:ascii="Times New Roman" w:hAnsi="Times New Roman"/>
                <w:color w:val="auto"/>
                <w:sz w:val="21"/>
                <w:szCs w:val="21"/>
                <w:lang w:val="zh-TW"/>
              </w:rPr>
              <w:t>调查</w:t>
            </w:r>
          </w:p>
        </w:tc>
        <w:tc>
          <w:tcPr>
            <w:tcW w:w="890"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调</w:t>
            </w:r>
            <w:r>
              <w:rPr>
                <w:rFonts w:ascii="Times New Roman" w:hAnsi="Times New Roman"/>
                <w:color w:val="auto"/>
                <w:sz w:val="21"/>
                <w:szCs w:val="21"/>
                <w:lang w:val="zh-TW"/>
              </w:rPr>
              <w:t>查</w:t>
            </w:r>
            <w:r>
              <w:rPr>
                <w:rFonts w:ascii="Times New Roman" w:hAnsi="Times New Roman"/>
                <w:color w:val="auto"/>
                <w:sz w:val="21"/>
                <w:szCs w:val="21"/>
                <w:lang w:val="zh-TW" w:eastAsia="zh-TW"/>
              </w:rPr>
              <w:t>内容</w:t>
            </w:r>
          </w:p>
        </w:tc>
        <w:tc>
          <w:tcPr>
            <w:tcW w:w="1146" w:type="pct"/>
            <w:gridSpan w:val="6"/>
            <w:tcBorders>
              <w:top w:val="single" w:color="auto" w:sz="4" w:space="0"/>
              <w:left w:val="single" w:color="auto" w:sz="4" w:space="0"/>
              <w:bottom w:val="nil"/>
              <w:right w:val="nil"/>
            </w:tcBorders>
            <w:shd w:val="clear" w:color="auto" w:fill="auto"/>
            <w:vAlign w:val="center"/>
          </w:tcPr>
          <w:p>
            <w:pPr>
              <w:pStyle w:val="186"/>
              <w:rPr>
                <w:lang w:val="zh-TW"/>
              </w:rPr>
            </w:pPr>
            <w:r>
              <w:rPr>
                <w:rFonts w:hint="eastAsia"/>
              </w:rPr>
              <w:t>本项目正常排放源</w:t>
            </w:r>
            <w:r>
              <w:rPr>
                <w:rFonts w:ascii="Wingdings 2" w:hAnsi="Wingdings 2"/>
              </w:rPr>
              <w:t></w:t>
            </w:r>
          </w:p>
          <w:p>
            <w:pPr>
              <w:pStyle w:val="825"/>
              <w:rPr>
                <w:rFonts w:ascii="Times New Roman" w:hAnsi="Times New Roman"/>
                <w:color w:val="auto"/>
                <w:sz w:val="21"/>
                <w:szCs w:val="21"/>
                <w:lang w:val="zh-TW"/>
              </w:rPr>
            </w:pPr>
            <w:r>
              <w:rPr>
                <w:rFonts w:hint="eastAsia"/>
                <w:color w:val="auto"/>
                <w:sz w:val="21"/>
                <w:szCs w:val="21"/>
                <w:lang w:val="zh-TW"/>
              </w:rPr>
              <w:t>本项目非正常排放源</w:t>
            </w:r>
            <w:r>
              <w:rPr>
                <w:rFonts w:ascii="Wingdings 2" w:hAnsi="Wingdings 2"/>
                <w:color w:val="auto"/>
                <w:sz w:val="21"/>
                <w:szCs w:val="21"/>
              </w:rPr>
              <w:t></w:t>
            </w:r>
            <w:r>
              <w:rPr>
                <w:rFonts w:hint="eastAsia"/>
                <w:color w:val="auto"/>
                <w:sz w:val="21"/>
                <w:szCs w:val="21"/>
                <w:lang w:val="zh-TW"/>
              </w:rPr>
              <w:t>现有污染源</w:t>
            </w:r>
            <w:r>
              <w:rPr>
                <w:color w:val="auto"/>
                <w:sz w:val="21"/>
                <w:szCs w:val="21"/>
                <w:lang w:val="zh-TW" w:eastAsia="zh-TW"/>
              </w:rPr>
              <w:t>口</w:t>
            </w:r>
          </w:p>
        </w:tc>
        <w:tc>
          <w:tcPr>
            <w:tcW w:w="986" w:type="pct"/>
            <w:gridSpan w:val="5"/>
            <w:tcBorders>
              <w:top w:val="single" w:color="auto" w:sz="4" w:space="0"/>
              <w:left w:val="single" w:color="auto" w:sz="4" w:space="0"/>
              <w:bottom w:val="nil"/>
              <w:right w:val="nil"/>
            </w:tcBorders>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拟替代的污染源</w:t>
            </w:r>
            <w:r>
              <w:rPr>
                <w:rFonts w:ascii="Times New Roman" w:hAnsi="Times New Roman"/>
                <w:color w:val="auto"/>
                <w:sz w:val="21"/>
                <w:szCs w:val="21"/>
                <w:lang w:val="zh-TW" w:eastAsia="zh-TW"/>
              </w:rPr>
              <w:t>口</w:t>
            </w:r>
          </w:p>
        </w:tc>
        <w:tc>
          <w:tcPr>
            <w:tcW w:w="861" w:type="pct"/>
            <w:gridSpan w:val="5"/>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rPr>
              <w:t>其他在建、拟建项目污染源</w:t>
            </w:r>
            <w:r>
              <w:rPr>
                <w:rFonts w:ascii="Times New Roman" w:hAnsi="Times New Roman"/>
                <w:color w:val="auto"/>
                <w:sz w:val="21"/>
                <w:szCs w:val="21"/>
                <w:lang w:val="zh-TW" w:eastAsia="zh-TW"/>
              </w:rPr>
              <w:t>口</w:t>
            </w:r>
            <w:r>
              <w:rPr>
                <w:rFonts w:ascii="Times New Roman" w:hAnsi="Times New Roman"/>
                <w:color w:val="auto"/>
                <w:sz w:val="21"/>
                <w:szCs w:val="21"/>
              </w:rPr>
              <w:t></w:t>
            </w:r>
          </w:p>
        </w:tc>
        <w:tc>
          <w:tcPr>
            <w:tcW w:w="633" w:type="pct"/>
            <w:gridSpan w:val="2"/>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rPr>
              <w:t>区域污染源</w:t>
            </w:r>
            <w:r>
              <w:rPr>
                <w:rFonts w:ascii="Times New Roman" w:hAnsi="Times New Roman"/>
                <w:color w:val="auto"/>
                <w:sz w:val="21"/>
                <w:szCs w:val="21"/>
                <w:lang w:val="zh-TW" w:eastAsia="zh-TW"/>
              </w:rPr>
              <w:t>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blHeader/>
          <w:jc w:val="center"/>
        </w:trPr>
        <w:tc>
          <w:tcPr>
            <w:tcW w:w="483" w:type="pct"/>
            <w:vMerge w:val="restar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大气环境影响</w:t>
            </w:r>
            <w:r>
              <w:rPr>
                <w:rFonts w:ascii="Times New Roman" w:hAnsi="Times New Roman"/>
                <w:color w:val="auto"/>
                <w:sz w:val="21"/>
                <w:szCs w:val="21"/>
                <w:lang w:val="zh-TW"/>
              </w:rPr>
              <w:t>预测与评价</w:t>
            </w:r>
          </w:p>
        </w:tc>
        <w:tc>
          <w:tcPr>
            <w:tcW w:w="890"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rPr>
              <w:t>预测模型</w:t>
            </w:r>
          </w:p>
        </w:tc>
        <w:tc>
          <w:tcPr>
            <w:tcW w:w="528"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eastAsia="Times New Roman"/>
                <w:color w:val="auto"/>
                <w:sz w:val="21"/>
                <w:szCs w:val="21"/>
                <w:lang w:eastAsia="en-US"/>
              </w:rPr>
              <w:t>AERMOD</w:t>
            </w:r>
          </w:p>
          <w:p>
            <w:pPr>
              <w:pStyle w:val="825"/>
              <w:rPr>
                <w:rFonts w:ascii="Times New Roman" w:hAnsi="Times New Roman" w:eastAsia="Times New Roman"/>
                <w:color w:val="auto"/>
                <w:sz w:val="21"/>
                <w:szCs w:val="21"/>
              </w:rPr>
            </w:pPr>
            <w:r>
              <w:rPr>
                <w:rFonts w:ascii="Times New Roman" w:hAnsi="Times New Roman"/>
                <w:color w:val="auto"/>
                <w:sz w:val="21"/>
                <w:szCs w:val="21"/>
              </w:rPr>
              <w:t></w:t>
            </w:r>
          </w:p>
        </w:tc>
        <w:tc>
          <w:tcPr>
            <w:tcW w:w="618" w:type="pct"/>
            <w:gridSpan w:val="5"/>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eastAsia="Times New Roman"/>
                <w:color w:val="auto"/>
                <w:sz w:val="21"/>
                <w:szCs w:val="21"/>
                <w:lang w:eastAsia="en-US"/>
              </w:rPr>
              <w:t>ADMS</w:t>
            </w:r>
            <w:r>
              <w:rPr>
                <w:rFonts w:ascii="Times New Roman" w:hAnsi="Times New Roman"/>
                <w:color w:val="auto"/>
                <w:sz w:val="21"/>
                <w:szCs w:val="21"/>
                <w:lang w:val="zh-TW" w:eastAsia="zh-TW"/>
              </w:rPr>
              <w:t>口</w:t>
            </w:r>
          </w:p>
        </w:tc>
        <w:tc>
          <w:tcPr>
            <w:tcW w:w="686" w:type="pct"/>
            <w:gridSpan w:val="4"/>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rPr>
              <w:t>A</w:t>
            </w:r>
            <w:r>
              <w:rPr>
                <w:rFonts w:ascii="Times New Roman" w:hAnsi="Times New Roman" w:eastAsia="Times New Roman"/>
                <w:color w:val="auto"/>
                <w:sz w:val="21"/>
                <w:szCs w:val="21"/>
                <w:lang w:eastAsia="en-US"/>
              </w:rPr>
              <w:t>USIAL2000</w:t>
            </w:r>
            <w:r>
              <w:rPr>
                <w:rFonts w:ascii="Times New Roman" w:hAnsi="Times New Roman"/>
                <w:color w:val="auto"/>
                <w:sz w:val="21"/>
                <w:szCs w:val="21"/>
                <w:lang w:val="zh-TW" w:eastAsia="zh-TW"/>
              </w:rPr>
              <w:t>口</w:t>
            </w:r>
          </w:p>
        </w:tc>
        <w:tc>
          <w:tcPr>
            <w:tcW w:w="948" w:type="pct"/>
            <w:gridSpan w:val="4"/>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rPr>
              <w:t>E</w:t>
            </w:r>
            <w:r>
              <w:rPr>
                <w:rFonts w:ascii="Times New Roman" w:hAnsi="Times New Roman" w:eastAsia="Times New Roman"/>
                <w:color w:val="auto"/>
                <w:sz w:val="21"/>
                <w:szCs w:val="21"/>
                <w:lang w:eastAsia="en-US"/>
              </w:rPr>
              <w:t>DMS/AEDT CALP</w:t>
            </w:r>
            <w:r>
              <w:rPr>
                <w:rFonts w:ascii="Times New Roman" w:hAnsi="Times New Roman" w:eastAsiaTheme="minorEastAsia"/>
                <w:color w:val="auto"/>
                <w:sz w:val="21"/>
                <w:szCs w:val="21"/>
              </w:rPr>
              <w:t>UFF</w:t>
            </w:r>
            <w:r>
              <w:rPr>
                <w:rFonts w:ascii="Times New Roman" w:hAnsi="Times New Roman"/>
                <w:color w:val="auto"/>
                <w:sz w:val="21"/>
                <w:szCs w:val="21"/>
                <w:lang w:val="zh-TW" w:eastAsia="zh-TW"/>
              </w:rPr>
              <w:t>口</w:t>
            </w:r>
          </w:p>
        </w:tc>
        <w:tc>
          <w:tcPr>
            <w:tcW w:w="419" w:type="pct"/>
            <w:gridSpan w:val="3"/>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网格模型口</w:t>
            </w:r>
          </w:p>
        </w:tc>
        <w:tc>
          <w:tcPr>
            <w:tcW w:w="427" w:type="pct"/>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其他</w:t>
            </w:r>
            <w:r>
              <w:rPr>
                <w:rFonts w:ascii="Wingdings 2" w:hAnsi="Wingdings 2"/>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tblHeader/>
          <w:jc w:val="center"/>
        </w:trPr>
        <w:tc>
          <w:tcPr>
            <w:tcW w:w="483" w:type="pct"/>
            <w:vMerge w:val="continue"/>
            <w:tcBorders>
              <w:top w:val="nil"/>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p>
        </w:tc>
        <w:tc>
          <w:tcPr>
            <w:tcW w:w="890"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预测范围</w:t>
            </w:r>
          </w:p>
        </w:tc>
        <w:tc>
          <w:tcPr>
            <w:tcW w:w="1146" w:type="pct"/>
            <w:gridSpan w:val="6"/>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边长</w:t>
            </w:r>
            <w:r>
              <w:rPr>
                <w:rFonts w:ascii="Times New Roman" w:hAnsi="Times New Roman" w:eastAsia="Times New Roman"/>
                <w:color w:val="auto"/>
                <w:sz w:val="21"/>
                <w:szCs w:val="21"/>
                <w:lang w:val="zh-TW" w:eastAsia="zh-TW"/>
              </w:rPr>
              <w:t>≥</w:t>
            </w:r>
            <w:r>
              <w:rPr>
                <w:rFonts w:ascii="Times New Roman" w:hAnsi="Times New Roman"/>
                <w:color w:val="auto"/>
                <w:sz w:val="21"/>
                <w:szCs w:val="21"/>
                <w:lang w:val="zh-TW"/>
              </w:rPr>
              <w:t>50km</w:t>
            </w:r>
            <w:r>
              <w:rPr>
                <w:rFonts w:ascii="Times New Roman" w:hAnsi="Times New Roman"/>
                <w:color w:val="auto"/>
                <w:sz w:val="21"/>
                <w:szCs w:val="21"/>
                <w:lang w:val="zh-TW" w:eastAsia="zh-TW"/>
              </w:rPr>
              <w:t>口</w:t>
            </w:r>
          </w:p>
        </w:tc>
        <w:tc>
          <w:tcPr>
            <w:tcW w:w="1634" w:type="pct"/>
            <w:gridSpan w:val="8"/>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边长</w:t>
            </w:r>
            <w:r>
              <w:rPr>
                <w:rFonts w:ascii="Times New Roman" w:hAnsi="Times New Roman" w:eastAsia="Times New Roman"/>
                <w:color w:val="auto"/>
                <w:sz w:val="21"/>
                <w:szCs w:val="21"/>
                <w:lang w:val="zh-TW" w:eastAsia="zh-TW"/>
              </w:rPr>
              <w:t>5</w:t>
            </w:r>
            <w:r>
              <w:rPr>
                <w:rFonts w:ascii="Times New Roman" w:hAnsi="Times New Roman" w:eastAsia="MS Mincho"/>
                <w:color w:val="auto"/>
                <w:sz w:val="21"/>
                <w:szCs w:val="21"/>
                <w:lang w:val="zh-TW" w:eastAsia="zh-TW"/>
              </w:rPr>
              <w:t>〜</w:t>
            </w:r>
            <w:r>
              <w:rPr>
                <w:rFonts w:ascii="Times New Roman" w:hAnsi="Times New Roman" w:eastAsia="Times New Roman"/>
                <w:color w:val="auto"/>
                <w:sz w:val="21"/>
                <w:szCs w:val="21"/>
                <w:lang w:eastAsia="en-US"/>
              </w:rPr>
              <w:t>50km</w:t>
            </w:r>
            <w:r>
              <w:rPr>
                <w:rFonts w:ascii="Times New Roman" w:hAnsi="Times New Roman"/>
                <w:color w:val="auto"/>
                <w:sz w:val="21"/>
                <w:szCs w:val="21"/>
                <w:lang w:val="zh-TW" w:eastAsia="zh-TW"/>
              </w:rPr>
              <w:t>口</w:t>
            </w:r>
          </w:p>
        </w:tc>
        <w:tc>
          <w:tcPr>
            <w:tcW w:w="846" w:type="pct"/>
            <w:gridSpan w:val="4"/>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边长</w:t>
            </w:r>
            <w:r>
              <w:rPr>
                <w:rFonts w:ascii="Times New Roman" w:hAnsi="Times New Roman" w:eastAsia="Times New Roman"/>
                <w:color w:val="auto"/>
                <w:sz w:val="21"/>
                <w:szCs w:val="21"/>
                <w:lang w:val="zh-TW" w:eastAsia="zh-TW"/>
              </w:rPr>
              <w:t>=5</w:t>
            </w:r>
            <w:r>
              <w:rPr>
                <w:rFonts w:ascii="Times New Roman" w:hAnsi="Times New Roman" w:eastAsia="Times New Roman"/>
                <w:color w:val="auto"/>
                <w:sz w:val="21"/>
                <w:szCs w:val="21"/>
                <w:lang w:eastAsia="en-US"/>
              </w:rPr>
              <w:t>km</w:t>
            </w:r>
            <w:r>
              <w:rPr>
                <w:rFonts w:ascii="Times New Roman" w:hAnsi="Times New Roman"/>
                <w:color w:val="auto"/>
                <w:sz w:val="21"/>
                <w:szCs w:val="21"/>
                <w:lang w:val="zh-TW" w:eastAsia="zh-TW"/>
              </w:rPr>
              <w:t>口</w:t>
            </w:r>
            <w:r>
              <w:rPr>
                <w:rFonts w:ascii="Times New Roman" w:hAnsi="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blHeader/>
          <w:jc w:val="center"/>
        </w:trPr>
        <w:tc>
          <w:tcPr>
            <w:tcW w:w="483" w:type="pct"/>
            <w:vMerge w:val="continue"/>
            <w:tcBorders>
              <w:top w:val="nil"/>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p>
        </w:tc>
        <w:tc>
          <w:tcPr>
            <w:tcW w:w="890"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rPr>
              <w:t>预测因子</w:t>
            </w:r>
          </w:p>
        </w:tc>
        <w:tc>
          <w:tcPr>
            <w:tcW w:w="2133" w:type="pct"/>
            <w:gridSpan w:val="11"/>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rPr>
              <w:t>预测因子（</w:t>
            </w:r>
            <w:r>
              <w:rPr>
                <w:rFonts w:hint="eastAsia" w:ascii="Times New Roman" w:hAnsi="Times New Roman"/>
                <w:color w:val="auto"/>
                <w:sz w:val="21"/>
                <w:szCs w:val="21"/>
              </w:rPr>
              <w:t>铅、镉、铬及其化合物</w:t>
            </w:r>
            <w:r>
              <w:rPr>
                <w:rFonts w:ascii="Times New Roman" w:hAnsi="Times New Roman"/>
                <w:color w:val="auto"/>
                <w:sz w:val="21"/>
                <w:szCs w:val="21"/>
                <w:lang w:val="zh-TW"/>
              </w:rPr>
              <w:t>）</w:t>
            </w:r>
          </w:p>
        </w:tc>
        <w:tc>
          <w:tcPr>
            <w:tcW w:w="1494" w:type="pct"/>
            <w:gridSpan w:val="7"/>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color w:val="auto"/>
                <w:sz w:val="21"/>
                <w:szCs w:val="21"/>
                <w:lang w:val="zh-TW"/>
              </w:rPr>
            </w:pPr>
            <w:r>
              <w:rPr>
                <w:rFonts w:ascii="Times New Roman" w:hAnsi="Times New Roman"/>
                <w:color w:val="auto"/>
                <w:sz w:val="21"/>
                <w:szCs w:val="21"/>
                <w:lang w:val="zh-TW" w:eastAsia="zh-TW"/>
              </w:rPr>
              <w:t>包括二次</w:t>
            </w:r>
            <w:r>
              <w:rPr>
                <w:rFonts w:ascii="Times New Roman" w:hAnsi="Times New Roman" w:eastAsia="Times New Roman"/>
                <w:color w:val="auto"/>
                <w:sz w:val="21"/>
                <w:szCs w:val="21"/>
                <w:lang w:eastAsia="en-US"/>
              </w:rPr>
              <w:t>PM</w:t>
            </w:r>
            <w:r>
              <w:rPr>
                <w:rFonts w:ascii="Times New Roman" w:hAnsi="Times New Roman" w:eastAsia="Times New Roman"/>
                <w:color w:val="auto"/>
                <w:sz w:val="21"/>
                <w:szCs w:val="21"/>
                <w:vertAlign w:val="subscript"/>
                <w:lang w:eastAsia="en-US"/>
              </w:rPr>
              <w:t>2</w:t>
            </w:r>
            <w:r>
              <w:rPr>
                <w:rFonts w:ascii="Times New Roman" w:hAnsi="Times New Roman"/>
                <w:color w:val="auto"/>
                <w:sz w:val="21"/>
                <w:szCs w:val="21"/>
                <w:vertAlign w:val="subscript"/>
              </w:rPr>
              <w:t>.5</w:t>
            </w:r>
            <w:r>
              <w:rPr>
                <w:rFonts w:ascii="Times New Roman" w:hAnsi="Times New Roman"/>
                <w:color w:val="auto"/>
                <w:sz w:val="21"/>
                <w:szCs w:val="21"/>
                <w:lang w:val="zh-TW" w:eastAsia="zh-TW"/>
              </w:rPr>
              <w:t>口</w:t>
            </w:r>
          </w:p>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不包括二次</w:t>
            </w:r>
            <w:r>
              <w:rPr>
                <w:rFonts w:ascii="Times New Roman" w:hAnsi="Times New Roman" w:eastAsia="Times New Roman"/>
                <w:color w:val="auto"/>
                <w:sz w:val="21"/>
                <w:szCs w:val="21"/>
                <w:lang w:eastAsia="en-US"/>
              </w:rPr>
              <w:t>PM</w:t>
            </w:r>
            <w:r>
              <w:rPr>
                <w:rFonts w:ascii="Times New Roman" w:hAnsi="Times New Roman"/>
                <w:color w:val="auto"/>
                <w:sz w:val="21"/>
                <w:szCs w:val="21"/>
                <w:vertAlign w:val="subscript"/>
              </w:rPr>
              <w:t>2.5</w:t>
            </w:r>
            <w:r>
              <w:rPr>
                <w:rFonts w:ascii="Wingdings 2" w:hAnsi="Wingdings 2"/>
                <w:color w:val="auto"/>
                <w:sz w:val="21"/>
                <w:szCs w:val="21"/>
              </w:rPr>
              <w:t></w:t>
            </w:r>
            <w:r>
              <w:rPr>
                <w:rFonts w:ascii="Times New Roman" w:hAnsi="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blHeader/>
          <w:jc w:val="center"/>
        </w:trPr>
        <w:tc>
          <w:tcPr>
            <w:tcW w:w="483" w:type="pct"/>
            <w:vMerge w:val="continue"/>
            <w:tcBorders>
              <w:top w:val="nil"/>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p>
        </w:tc>
        <w:tc>
          <w:tcPr>
            <w:tcW w:w="890"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正常</w:t>
            </w:r>
            <w:r>
              <w:rPr>
                <w:rFonts w:ascii="Times New Roman" w:hAnsi="Times New Roman"/>
                <w:color w:val="auto"/>
                <w:sz w:val="21"/>
                <w:szCs w:val="21"/>
                <w:lang w:val="zh-TW"/>
              </w:rPr>
              <w:t>排</w:t>
            </w:r>
            <w:r>
              <w:rPr>
                <w:rFonts w:ascii="Times New Roman" w:hAnsi="Times New Roman"/>
                <w:color w:val="auto"/>
                <w:sz w:val="21"/>
                <w:szCs w:val="21"/>
                <w:lang w:val="zh-TW" w:eastAsia="zh-TW"/>
              </w:rPr>
              <w:t>放短期浓度贡献值</w:t>
            </w:r>
          </w:p>
        </w:tc>
        <w:tc>
          <w:tcPr>
            <w:tcW w:w="2133" w:type="pct"/>
            <w:gridSpan w:val="11"/>
            <w:tcBorders>
              <w:top w:val="single" w:color="auto" w:sz="4" w:space="0"/>
              <w:left w:val="single" w:color="auto" w:sz="4" w:space="0"/>
              <w:bottom w:val="nil"/>
              <w:right w:val="nil"/>
            </w:tcBorders>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C</w:t>
            </w:r>
            <w:r>
              <w:rPr>
                <w:rFonts w:ascii="Times New Roman" w:hAnsi="Times New Roman"/>
                <w:color w:val="auto"/>
                <w:sz w:val="21"/>
                <w:szCs w:val="21"/>
                <w:vertAlign w:val="subscript"/>
              </w:rPr>
              <w:t>本项目</w:t>
            </w:r>
            <w:r>
              <w:rPr>
                <w:rFonts w:ascii="Times New Roman" w:hAnsi="Times New Roman"/>
                <w:color w:val="auto"/>
                <w:sz w:val="21"/>
                <w:szCs w:val="21"/>
              </w:rPr>
              <w:t>最大占标率≤100%</w:t>
            </w:r>
            <w:r>
              <w:rPr>
                <w:rFonts w:ascii="Wingdings 2" w:hAnsi="Wingdings 2"/>
                <w:color w:val="auto"/>
                <w:sz w:val="21"/>
                <w:szCs w:val="21"/>
              </w:rPr>
              <w:t></w:t>
            </w:r>
            <w:r>
              <w:rPr>
                <w:rFonts w:ascii="Times New Roman" w:hAnsi="Times New Roman"/>
                <w:color w:val="auto"/>
                <w:sz w:val="21"/>
                <w:szCs w:val="21"/>
              </w:rPr>
              <w:t></w:t>
            </w:r>
          </w:p>
        </w:tc>
        <w:tc>
          <w:tcPr>
            <w:tcW w:w="1494" w:type="pct"/>
            <w:gridSpan w:val="7"/>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rPr>
              <w:t>C</w:t>
            </w:r>
            <w:r>
              <w:rPr>
                <w:rFonts w:ascii="Times New Roman" w:hAnsi="Times New Roman"/>
                <w:color w:val="auto"/>
                <w:sz w:val="21"/>
                <w:szCs w:val="21"/>
                <w:vertAlign w:val="subscript"/>
              </w:rPr>
              <w:t>本项目</w:t>
            </w:r>
            <w:r>
              <w:rPr>
                <w:rFonts w:ascii="Times New Roman" w:hAnsi="Times New Roman"/>
                <w:color w:val="auto"/>
                <w:sz w:val="21"/>
                <w:szCs w:val="21"/>
              </w:rPr>
              <w:t>最大占标率&gt;100%</w:t>
            </w:r>
            <w:r>
              <w:rPr>
                <w:rFonts w:ascii="Times New Roman" w:hAnsi="Times New Roman"/>
                <w:color w:val="auto"/>
                <w:sz w:val="21"/>
                <w:szCs w:val="21"/>
                <w:lang w:val="zh-TW" w:eastAsia="zh-TW"/>
              </w:rPr>
              <w:t>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blHeader/>
          <w:jc w:val="center"/>
        </w:trPr>
        <w:tc>
          <w:tcPr>
            <w:tcW w:w="483" w:type="pct"/>
            <w:vMerge w:val="continue"/>
            <w:tcBorders>
              <w:top w:val="nil"/>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p>
        </w:tc>
        <w:tc>
          <w:tcPr>
            <w:tcW w:w="890" w:type="pct"/>
            <w:vMerge w:val="restar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正常</w:t>
            </w:r>
            <w:r>
              <w:rPr>
                <w:rFonts w:ascii="Times New Roman" w:hAnsi="Times New Roman"/>
                <w:color w:val="auto"/>
                <w:sz w:val="21"/>
                <w:szCs w:val="21"/>
                <w:lang w:val="zh-TW"/>
              </w:rPr>
              <w:t>排放</w:t>
            </w:r>
            <w:r>
              <w:rPr>
                <w:rFonts w:ascii="Times New Roman" w:hAnsi="Times New Roman"/>
                <w:color w:val="auto"/>
                <w:sz w:val="21"/>
                <w:szCs w:val="21"/>
                <w:lang w:val="zh-TW" w:eastAsia="zh-TW"/>
              </w:rPr>
              <w:t>年均浓度贡献值</w:t>
            </w:r>
          </w:p>
        </w:tc>
        <w:tc>
          <w:tcPr>
            <w:tcW w:w="528"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一类区</w:t>
            </w:r>
          </w:p>
        </w:tc>
        <w:tc>
          <w:tcPr>
            <w:tcW w:w="1605" w:type="pct"/>
            <w:gridSpan w:val="10"/>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rPr>
              <w:t>C</w:t>
            </w:r>
            <w:r>
              <w:rPr>
                <w:rFonts w:ascii="Times New Roman" w:hAnsi="Times New Roman"/>
                <w:color w:val="auto"/>
                <w:sz w:val="21"/>
                <w:szCs w:val="21"/>
                <w:vertAlign w:val="subscript"/>
              </w:rPr>
              <w:t>本项目</w:t>
            </w:r>
            <w:r>
              <w:rPr>
                <w:rFonts w:ascii="Times New Roman" w:hAnsi="Times New Roman"/>
                <w:color w:val="auto"/>
                <w:sz w:val="21"/>
                <w:szCs w:val="21"/>
              </w:rPr>
              <w:t>最大占标率≤10%</w:t>
            </w:r>
            <w:r>
              <w:rPr>
                <w:rFonts w:ascii="Times New Roman" w:hAnsi="Times New Roman"/>
                <w:color w:val="auto"/>
                <w:sz w:val="21"/>
                <w:szCs w:val="21"/>
                <w:lang w:val="zh-TW" w:eastAsia="zh-TW"/>
              </w:rPr>
              <w:t>口</w:t>
            </w:r>
          </w:p>
        </w:tc>
        <w:tc>
          <w:tcPr>
            <w:tcW w:w="1494" w:type="pct"/>
            <w:gridSpan w:val="7"/>
            <w:tcBorders>
              <w:top w:val="single" w:color="auto" w:sz="4" w:space="0"/>
              <w:left w:val="single" w:color="auto" w:sz="4" w:space="0"/>
              <w:bottom w:val="nil"/>
              <w:right w:val="single" w:color="auto" w:sz="4" w:space="0"/>
            </w:tcBorders>
            <w:shd w:val="clear" w:color="auto" w:fill="auto"/>
          </w:tcPr>
          <w:p>
            <w:pPr>
              <w:pStyle w:val="825"/>
              <w:rPr>
                <w:rFonts w:ascii="Times New Roman" w:hAnsi="Times New Roman" w:eastAsia="Times New Roman"/>
                <w:color w:val="auto"/>
                <w:sz w:val="21"/>
                <w:szCs w:val="21"/>
              </w:rPr>
            </w:pPr>
            <w:r>
              <w:rPr>
                <w:rFonts w:ascii="Times New Roman" w:hAnsi="Times New Roman"/>
                <w:color w:val="auto"/>
                <w:sz w:val="21"/>
                <w:szCs w:val="21"/>
              </w:rPr>
              <w:t>C</w:t>
            </w:r>
            <w:r>
              <w:rPr>
                <w:rFonts w:ascii="Times New Roman" w:hAnsi="Times New Roman"/>
                <w:color w:val="auto"/>
                <w:sz w:val="21"/>
                <w:szCs w:val="21"/>
                <w:vertAlign w:val="subscript"/>
              </w:rPr>
              <w:t>本项目</w:t>
            </w:r>
            <w:r>
              <w:rPr>
                <w:rFonts w:ascii="Times New Roman" w:hAnsi="Times New Roman"/>
                <w:color w:val="auto"/>
                <w:sz w:val="21"/>
                <w:szCs w:val="21"/>
              </w:rPr>
              <w:t>最大占标率&gt;10%</w:t>
            </w:r>
            <w:r>
              <w:rPr>
                <w:rFonts w:ascii="Times New Roman" w:hAnsi="Times New Roman"/>
                <w:color w:val="auto"/>
                <w:sz w:val="21"/>
                <w:szCs w:val="21"/>
                <w:lang w:val="zh-TW" w:eastAsia="zh-TW"/>
              </w:rPr>
              <w:t>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Header/>
          <w:jc w:val="center"/>
        </w:trPr>
        <w:tc>
          <w:tcPr>
            <w:tcW w:w="483" w:type="pct"/>
            <w:vMerge w:val="continue"/>
            <w:tcBorders>
              <w:top w:val="nil"/>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p>
        </w:tc>
        <w:tc>
          <w:tcPr>
            <w:tcW w:w="890" w:type="pct"/>
            <w:vMerge w:val="continue"/>
            <w:tcBorders>
              <w:top w:val="nil"/>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p>
        </w:tc>
        <w:tc>
          <w:tcPr>
            <w:tcW w:w="528"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二类区</w:t>
            </w:r>
          </w:p>
        </w:tc>
        <w:tc>
          <w:tcPr>
            <w:tcW w:w="1605" w:type="pct"/>
            <w:gridSpan w:val="10"/>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rPr>
              <w:t>C</w:t>
            </w:r>
            <w:r>
              <w:rPr>
                <w:rFonts w:ascii="Times New Roman" w:hAnsi="Times New Roman"/>
                <w:color w:val="auto"/>
                <w:sz w:val="21"/>
                <w:szCs w:val="21"/>
                <w:vertAlign w:val="subscript"/>
              </w:rPr>
              <w:t>本项目</w:t>
            </w:r>
            <w:r>
              <w:rPr>
                <w:rFonts w:ascii="Times New Roman" w:hAnsi="Times New Roman"/>
                <w:color w:val="auto"/>
                <w:sz w:val="21"/>
                <w:szCs w:val="21"/>
              </w:rPr>
              <w:t>最大占标率≤30%</w:t>
            </w:r>
            <w:r>
              <w:rPr>
                <w:rFonts w:ascii="Wingdings 2" w:hAnsi="Wingdings 2"/>
                <w:color w:val="auto"/>
                <w:sz w:val="21"/>
                <w:szCs w:val="21"/>
              </w:rPr>
              <w:t></w:t>
            </w:r>
            <w:r>
              <w:rPr>
                <w:rFonts w:ascii="Times New Roman" w:hAnsi="Times New Roman"/>
                <w:color w:val="auto"/>
                <w:sz w:val="21"/>
                <w:szCs w:val="21"/>
              </w:rPr>
              <w:t></w:t>
            </w:r>
          </w:p>
        </w:tc>
        <w:tc>
          <w:tcPr>
            <w:tcW w:w="1494" w:type="pct"/>
            <w:gridSpan w:val="7"/>
            <w:tcBorders>
              <w:top w:val="single" w:color="auto" w:sz="4" w:space="0"/>
              <w:left w:val="single" w:color="auto" w:sz="4" w:space="0"/>
              <w:bottom w:val="nil"/>
              <w:right w:val="single" w:color="auto" w:sz="4" w:space="0"/>
            </w:tcBorders>
            <w:shd w:val="clear" w:color="auto" w:fill="auto"/>
          </w:tcPr>
          <w:p>
            <w:pPr>
              <w:pStyle w:val="825"/>
              <w:rPr>
                <w:rFonts w:ascii="Times New Roman" w:hAnsi="Times New Roman" w:eastAsia="Times New Roman"/>
                <w:color w:val="auto"/>
                <w:sz w:val="21"/>
                <w:szCs w:val="21"/>
              </w:rPr>
            </w:pPr>
            <w:r>
              <w:rPr>
                <w:rFonts w:ascii="Times New Roman" w:hAnsi="Times New Roman"/>
                <w:color w:val="auto"/>
                <w:sz w:val="21"/>
                <w:szCs w:val="21"/>
              </w:rPr>
              <w:t>C</w:t>
            </w:r>
            <w:r>
              <w:rPr>
                <w:rFonts w:ascii="Times New Roman" w:hAnsi="Times New Roman"/>
                <w:color w:val="auto"/>
                <w:sz w:val="21"/>
                <w:szCs w:val="21"/>
                <w:vertAlign w:val="subscript"/>
              </w:rPr>
              <w:t>本项目</w:t>
            </w:r>
            <w:r>
              <w:rPr>
                <w:rFonts w:ascii="Times New Roman" w:hAnsi="Times New Roman"/>
                <w:color w:val="auto"/>
                <w:sz w:val="21"/>
                <w:szCs w:val="21"/>
              </w:rPr>
              <w:t>最大占标率&gt;30%</w:t>
            </w:r>
            <w:r>
              <w:rPr>
                <w:rFonts w:ascii="Times New Roman" w:hAnsi="Times New Roman"/>
                <w:color w:val="auto"/>
                <w:sz w:val="21"/>
                <w:szCs w:val="21"/>
                <w:lang w:val="zh-TW" w:eastAsia="zh-TW"/>
              </w:rPr>
              <w:t>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blHeader/>
          <w:jc w:val="center"/>
        </w:trPr>
        <w:tc>
          <w:tcPr>
            <w:tcW w:w="483" w:type="pct"/>
            <w:vMerge w:val="continue"/>
            <w:tcBorders>
              <w:top w:val="nil"/>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p>
        </w:tc>
        <w:tc>
          <w:tcPr>
            <w:tcW w:w="890"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非正常</w:t>
            </w:r>
            <w:r>
              <w:rPr>
                <w:rFonts w:ascii="Times New Roman" w:hAnsi="Times New Roman"/>
                <w:color w:val="auto"/>
                <w:sz w:val="21"/>
                <w:szCs w:val="21"/>
                <w:lang w:val="zh-TW"/>
              </w:rPr>
              <w:t>排</w:t>
            </w:r>
            <w:r>
              <w:rPr>
                <w:rFonts w:ascii="Times New Roman" w:hAnsi="Times New Roman"/>
                <w:color w:val="auto"/>
                <w:sz w:val="21"/>
                <w:szCs w:val="21"/>
                <w:lang w:val="zh-TW" w:eastAsia="zh-TW"/>
              </w:rPr>
              <w:t>放</w:t>
            </w:r>
            <w:r>
              <w:rPr>
                <w:rFonts w:ascii="Times New Roman" w:hAnsi="Times New Roman" w:eastAsia="Times New Roman"/>
                <w:color w:val="auto"/>
                <w:sz w:val="21"/>
                <w:szCs w:val="21"/>
              </w:rPr>
              <w:t>lh</w:t>
            </w:r>
            <w:r>
              <w:rPr>
                <w:rFonts w:ascii="Times New Roman" w:hAnsi="Times New Roman"/>
                <w:color w:val="auto"/>
                <w:sz w:val="21"/>
                <w:szCs w:val="21"/>
                <w:lang w:val="zh-TW" w:eastAsia="zh-TW"/>
              </w:rPr>
              <w:t>浓</w:t>
            </w:r>
            <w:r>
              <w:rPr>
                <w:rFonts w:ascii="Times New Roman" w:hAnsi="Times New Roman"/>
                <w:color w:val="auto"/>
                <w:sz w:val="21"/>
                <w:szCs w:val="21"/>
                <w:lang w:val="zh-TW"/>
              </w:rPr>
              <w:t>度</w:t>
            </w:r>
            <w:r>
              <w:rPr>
                <w:rFonts w:ascii="Times New Roman" w:hAnsi="Times New Roman"/>
                <w:color w:val="auto"/>
                <w:sz w:val="21"/>
                <w:szCs w:val="21"/>
                <w:lang w:val="zh-TW" w:eastAsia="zh-TW"/>
              </w:rPr>
              <w:t>贡献值</w:t>
            </w:r>
          </w:p>
        </w:tc>
        <w:tc>
          <w:tcPr>
            <w:tcW w:w="1136" w:type="pct"/>
            <w:gridSpan w:val="5"/>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非正常持续时长（）h</w:t>
            </w:r>
          </w:p>
        </w:tc>
        <w:tc>
          <w:tcPr>
            <w:tcW w:w="1388" w:type="pct"/>
            <w:gridSpan w:val="7"/>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rPr>
              <w:t>C</w:t>
            </w:r>
            <w:r>
              <w:rPr>
                <w:rFonts w:ascii="Times New Roman" w:hAnsi="Times New Roman"/>
                <w:color w:val="auto"/>
                <w:sz w:val="21"/>
                <w:szCs w:val="21"/>
                <w:vertAlign w:val="subscript"/>
              </w:rPr>
              <w:t>非正常</w:t>
            </w:r>
            <w:r>
              <w:rPr>
                <w:rFonts w:ascii="Times New Roman" w:hAnsi="Times New Roman"/>
                <w:color w:val="auto"/>
                <w:sz w:val="21"/>
                <w:szCs w:val="21"/>
              </w:rPr>
              <w:t>占标率≤100%</w:t>
            </w:r>
            <w:r>
              <w:rPr>
                <w:rFonts w:ascii="Times New Roman" w:hAnsi="Times New Roman"/>
                <w:color w:val="auto"/>
                <w:sz w:val="21"/>
                <w:szCs w:val="21"/>
                <w:lang w:val="zh-TW" w:eastAsia="zh-TW"/>
              </w:rPr>
              <w:t>口</w:t>
            </w:r>
            <w:r>
              <w:rPr>
                <w:rFonts w:ascii="Times New Roman" w:hAnsi="Times New Roman"/>
                <w:color w:val="auto"/>
                <w:sz w:val="21"/>
                <w:szCs w:val="21"/>
              </w:rPr>
              <w:t></w:t>
            </w:r>
          </w:p>
        </w:tc>
        <w:tc>
          <w:tcPr>
            <w:tcW w:w="1103" w:type="pct"/>
            <w:gridSpan w:val="6"/>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rPr>
              <w:t>C</w:t>
            </w:r>
            <w:r>
              <w:rPr>
                <w:rFonts w:ascii="Times New Roman" w:hAnsi="Times New Roman"/>
                <w:color w:val="auto"/>
                <w:sz w:val="21"/>
                <w:szCs w:val="21"/>
                <w:vertAlign w:val="subscript"/>
              </w:rPr>
              <w:t>非正常</w:t>
            </w:r>
            <w:r>
              <w:rPr>
                <w:rFonts w:ascii="Times New Roman" w:hAnsi="Times New Roman"/>
                <w:color w:val="auto"/>
                <w:sz w:val="21"/>
                <w:szCs w:val="21"/>
              </w:rPr>
              <w:t>占标率&gt;100%</w:t>
            </w:r>
            <w:r>
              <w:rPr>
                <w:rFonts w:ascii="Times New Roman" w:hAnsi="Times New Roman"/>
                <w:color w:val="auto"/>
                <w:sz w:val="21"/>
                <w:szCs w:val="21"/>
                <w:lang w:val="zh-TW" w:eastAsia="zh-TW"/>
              </w:rPr>
              <w:t>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blHeader/>
          <w:jc w:val="center"/>
        </w:trPr>
        <w:tc>
          <w:tcPr>
            <w:tcW w:w="483" w:type="pct"/>
            <w:vMerge w:val="continue"/>
            <w:tcBorders>
              <w:top w:val="nil"/>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p>
        </w:tc>
        <w:tc>
          <w:tcPr>
            <w:tcW w:w="890"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保证率日均浓度和年平均浓度叠加值</w:t>
            </w:r>
          </w:p>
        </w:tc>
        <w:tc>
          <w:tcPr>
            <w:tcW w:w="1833" w:type="pct"/>
            <w:gridSpan w:val="10"/>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rPr>
              <w:t>C</w:t>
            </w:r>
            <w:r>
              <w:rPr>
                <w:rFonts w:ascii="Times New Roman" w:hAnsi="Times New Roman"/>
                <w:color w:val="auto"/>
                <w:sz w:val="21"/>
                <w:szCs w:val="21"/>
                <w:vertAlign w:val="subscript"/>
              </w:rPr>
              <w:t>叠加</w:t>
            </w:r>
            <w:r>
              <w:rPr>
                <w:rFonts w:ascii="Times New Roman" w:hAnsi="Times New Roman"/>
                <w:color w:val="auto"/>
                <w:sz w:val="21"/>
                <w:szCs w:val="21"/>
              </w:rPr>
              <w:t>达标</w:t>
            </w:r>
            <w:r>
              <w:rPr>
                <w:rFonts w:ascii="Times New Roman" w:hAnsi="Times New Roman"/>
                <w:color w:val="auto"/>
                <w:sz w:val="21"/>
                <w:szCs w:val="21"/>
                <w:lang w:val="zh-TW" w:eastAsia="zh-TW"/>
              </w:rPr>
              <w:t>口</w:t>
            </w:r>
            <w:r>
              <w:rPr>
                <w:rFonts w:ascii="Times New Roman" w:hAnsi="Times New Roman"/>
                <w:color w:val="auto"/>
                <w:sz w:val="21"/>
                <w:szCs w:val="21"/>
              </w:rPr>
              <w:t></w:t>
            </w:r>
          </w:p>
        </w:tc>
        <w:tc>
          <w:tcPr>
            <w:tcW w:w="1793" w:type="pct"/>
            <w:gridSpan w:val="8"/>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rPr>
              <w:t>C</w:t>
            </w:r>
            <w:r>
              <w:rPr>
                <w:rFonts w:ascii="Times New Roman" w:hAnsi="Times New Roman"/>
                <w:color w:val="auto"/>
                <w:sz w:val="21"/>
                <w:szCs w:val="21"/>
                <w:vertAlign w:val="subscript"/>
              </w:rPr>
              <w:t>叠加</w:t>
            </w:r>
            <w:r>
              <w:rPr>
                <w:rFonts w:ascii="Times New Roman" w:hAnsi="Times New Roman"/>
                <w:color w:val="auto"/>
                <w:sz w:val="21"/>
                <w:szCs w:val="21"/>
              </w:rPr>
              <w:t>不达标</w:t>
            </w:r>
            <w:r>
              <w:rPr>
                <w:rFonts w:ascii="Times New Roman" w:hAnsi="Times New Roman"/>
                <w:color w:val="auto"/>
                <w:sz w:val="21"/>
                <w:szCs w:val="21"/>
                <w:lang w:val="zh-TW" w:eastAsia="zh-TW"/>
              </w:rPr>
              <w:t>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blHeader/>
          <w:jc w:val="center"/>
        </w:trPr>
        <w:tc>
          <w:tcPr>
            <w:tcW w:w="483" w:type="pct"/>
            <w:vMerge w:val="continue"/>
            <w:tcBorders>
              <w:top w:val="nil"/>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p>
        </w:tc>
        <w:tc>
          <w:tcPr>
            <w:tcW w:w="890"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rPr>
              <w:t>区域环境质量的整体变化的情况</w:t>
            </w:r>
          </w:p>
        </w:tc>
        <w:tc>
          <w:tcPr>
            <w:tcW w:w="1833" w:type="pct"/>
            <w:gridSpan w:val="10"/>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eastAsia="Times New Roman"/>
                <w:color w:val="auto"/>
                <w:sz w:val="21"/>
                <w:szCs w:val="21"/>
                <w:lang w:eastAsia="en-US"/>
              </w:rPr>
              <w:t>k</w:t>
            </w:r>
            <w:r>
              <w:rPr>
                <w:rFonts w:ascii="Times New Roman" w:hAnsi="Times New Roman"/>
                <w:color w:val="auto"/>
                <w:sz w:val="21"/>
                <w:szCs w:val="21"/>
              </w:rPr>
              <w:t>≤</w:t>
            </w:r>
            <w:r>
              <w:rPr>
                <w:rFonts w:ascii="Times New Roman" w:hAnsi="Times New Roman" w:eastAsia="Times New Roman"/>
                <w:color w:val="auto"/>
                <w:sz w:val="21"/>
                <w:szCs w:val="21"/>
                <w:lang w:eastAsia="en-US"/>
              </w:rPr>
              <w:t>-20%</w:t>
            </w:r>
            <w:r>
              <w:rPr>
                <w:rFonts w:ascii="Times New Roman" w:hAnsi="Times New Roman"/>
                <w:color w:val="auto"/>
                <w:sz w:val="21"/>
                <w:szCs w:val="21"/>
                <w:lang w:val="zh-TW" w:eastAsia="zh-TW"/>
              </w:rPr>
              <w:t>口</w:t>
            </w:r>
          </w:p>
        </w:tc>
        <w:tc>
          <w:tcPr>
            <w:tcW w:w="1793" w:type="pct"/>
            <w:gridSpan w:val="8"/>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eastAsia="Times New Roman"/>
                <w:color w:val="auto"/>
                <w:sz w:val="21"/>
                <w:szCs w:val="21"/>
                <w:lang w:eastAsia="en-US"/>
              </w:rPr>
              <w:t>k</w:t>
            </w:r>
            <w:r>
              <w:rPr>
                <w:rFonts w:ascii="Times New Roman" w:hAnsi="Times New Roman" w:eastAsia="Times New Roman"/>
                <w:color w:val="auto"/>
                <w:sz w:val="21"/>
                <w:szCs w:val="21"/>
                <w:lang w:val="zh-TW" w:eastAsia="zh-TW"/>
              </w:rPr>
              <w:t>≥</w:t>
            </w:r>
            <w:r>
              <w:rPr>
                <w:rFonts w:ascii="Times New Roman" w:hAnsi="Times New Roman" w:eastAsia="Times New Roman"/>
                <w:color w:val="auto"/>
                <w:sz w:val="21"/>
                <w:szCs w:val="21"/>
                <w:lang w:eastAsia="en-US"/>
              </w:rPr>
              <w:t>-20</w:t>
            </w:r>
            <w:r>
              <w:rPr>
                <w:rFonts w:ascii="Times New Roman" w:hAnsi="Times New Roman"/>
                <w:color w:val="auto"/>
                <w:sz w:val="21"/>
                <w:szCs w:val="21"/>
              </w:rPr>
              <w:t>%</w:t>
            </w:r>
            <w:r>
              <w:rPr>
                <w:rFonts w:ascii="Times New Roman" w:hAnsi="Times New Roman"/>
                <w:color w:val="auto"/>
                <w:sz w:val="21"/>
                <w:szCs w:val="21"/>
                <w:lang w:val="zh-TW" w:eastAsia="zh-TW"/>
              </w:rPr>
              <w:t>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blHeader/>
          <w:jc w:val="center"/>
        </w:trPr>
        <w:tc>
          <w:tcPr>
            <w:tcW w:w="483" w:type="pct"/>
            <w:vMerge w:val="restar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环境计划</w:t>
            </w:r>
          </w:p>
        </w:tc>
        <w:tc>
          <w:tcPr>
            <w:tcW w:w="890"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污染源监测</w:t>
            </w:r>
          </w:p>
        </w:tc>
        <w:tc>
          <w:tcPr>
            <w:tcW w:w="1660" w:type="pct"/>
            <w:gridSpan w:val="8"/>
            <w:tcBorders>
              <w:top w:val="single" w:color="auto" w:sz="4" w:space="0"/>
              <w:left w:val="single" w:color="auto" w:sz="4" w:space="0"/>
              <w:bottom w:val="nil"/>
              <w:right w:val="nil"/>
            </w:tcBorders>
            <w:shd w:val="clear" w:color="auto" w:fill="auto"/>
            <w:vAlign w:val="center"/>
          </w:tcPr>
          <w:p>
            <w:pPr>
              <w:pStyle w:val="825"/>
              <w:rPr>
                <w:rFonts w:ascii="Times New Roman" w:hAnsi="Times New Roman"/>
                <w:color w:val="auto"/>
                <w:sz w:val="21"/>
                <w:szCs w:val="21"/>
                <w:lang w:val="zh-TW"/>
              </w:rPr>
            </w:pPr>
            <w:r>
              <w:rPr>
                <w:rFonts w:ascii="Times New Roman" w:hAnsi="Times New Roman"/>
                <w:color w:val="auto"/>
                <w:sz w:val="21"/>
                <w:szCs w:val="21"/>
                <w:lang w:val="zh-TW"/>
              </w:rPr>
              <w:t>监测因子：</w:t>
            </w:r>
          </w:p>
          <w:p>
            <w:pPr>
              <w:pStyle w:val="825"/>
              <w:rPr>
                <w:rFonts w:ascii="Times New Roman" w:hAnsi="Times New Roman" w:eastAsia="Times New Roman"/>
                <w:color w:val="auto"/>
                <w:sz w:val="21"/>
                <w:szCs w:val="21"/>
              </w:rPr>
            </w:pPr>
            <w:r>
              <w:rPr>
                <w:rFonts w:ascii="Times New Roman" w:hAnsi="Times New Roman"/>
                <w:color w:val="auto"/>
                <w:sz w:val="21"/>
                <w:szCs w:val="21"/>
                <w:lang w:val="zh-TW"/>
              </w:rPr>
              <w:t>（</w:t>
            </w:r>
            <w:r>
              <w:rPr>
                <w:rFonts w:ascii="Times New Roman" w:hAnsi="Times New Roman"/>
                <w:color w:val="auto"/>
                <w:sz w:val="21"/>
                <w:szCs w:val="21"/>
              </w:rPr>
              <w:t>颗粒物、</w:t>
            </w:r>
            <w:r>
              <w:rPr>
                <w:rFonts w:hint="eastAsia" w:ascii="Times New Roman" w:hAnsi="Times New Roman"/>
                <w:color w:val="auto"/>
                <w:sz w:val="21"/>
                <w:szCs w:val="21"/>
              </w:rPr>
              <w:t>铅及其化合物</w:t>
            </w:r>
            <w:r>
              <w:rPr>
                <w:rFonts w:ascii="Times New Roman" w:hAnsi="Times New Roman"/>
                <w:color w:val="auto"/>
                <w:sz w:val="21"/>
                <w:szCs w:val="21"/>
                <w:lang w:val="zh-TW"/>
              </w:rPr>
              <w:t>）</w:t>
            </w:r>
          </w:p>
        </w:tc>
        <w:tc>
          <w:tcPr>
            <w:tcW w:w="1334" w:type="pct"/>
            <w:gridSpan w:val="8"/>
            <w:tcBorders>
              <w:top w:val="single" w:color="auto" w:sz="4" w:space="0"/>
              <w:left w:val="single" w:color="auto" w:sz="4" w:space="0"/>
              <w:bottom w:val="nil"/>
              <w:right w:val="nil"/>
            </w:tcBorders>
            <w:shd w:val="clear" w:color="auto" w:fill="auto"/>
            <w:vAlign w:val="center"/>
          </w:tcPr>
          <w:p>
            <w:pPr>
              <w:pStyle w:val="825"/>
              <w:rPr>
                <w:rFonts w:ascii="Times New Roman" w:hAnsi="Times New Roman"/>
                <w:color w:val="auto"/>
                <w:sz w:val="21"/>
                <w:szCs w:val="21"/>
                <w:lang w:val="zh-TW"/>
              </w:rPr>
            </w:pPr>
            <w:r>
              <w:rPr>
                <w:rFonts w:ascii="Times New Roman" w:hAnsi="Times New Roman"/>
                <w:color w:val="auto"/>
                <w:sz w:val="21"/>
                <w:szCs w:val="21"/>
              </w:rPr>
              <w:t>有组织废气监测</w:t>
            </w:r>
            <w:r>
              <w:rPr>
                <w:rFonts w:ascii="Times New Roman" w:hAnsi="Times New Roman"/>
                <w:color w:val="auto"/>
                <w:sz w:val="21"/>
                <w:szCs w:val="21"/>
                <w:lang w:val="zh-TW" w:eastAsia="zh-TW"/>
              </w:rPr>
              <w:t>口</w:t>
            </w:r>
            <w:r>
              <w:rPr>
                <w:rFonts w:ascii="Times New Roman" w:hAnsi="Times New Roman"/>
                <w:color w:val="auto"/>
                <w:sz w:val="21"/>
                <w:szCs w:val="21"/>
              </w:rPr>
              <w:t></w:t>
            </w:r>
          </w:p>
          <w:p>
            <w:pPr>
              <w:pStyle w:val="825"/>
              <w:rPr>
                <w:rFonts w:ascii="Times New Roman" w:hAnsi="Times New Roman"/>
                <w:color w:val="auto"/>
                <w:sz w:val="21"/>
                <w:szCs w:val="21"/>
              </w:rPr>
            </w:pPr>
            <w:r>
              <w:rPr>
                <w:rFonts w:ascii="Times New Roman" w:hAnsi="Times New Roman"/>
                <w:color w:val="auto"/>
                <w:sz w:val="21"/>
                <w:szCs w:val="21"/>
              </w:rPr>
              <w:t>无组织废气监测</w:t>
            </w:r>
            <w:r>
              <w:rPr>
                <w:rFonts w:ascii="Times New Roman" w:hAnsi="Times New Roman"/>
                <w:color w:val="auto"/>
                <w:sz w:val="21"/>
                <w:szCs w:val="21"/>
                <w:lang w:val="zh-TW" w:eastAsia="zh-TW"/>
              </w:rPr>
              <w:t>口</w:t>
            </w:r>
            <w:r>
              <w:rPr>
                <w:rFonts w:ascii="Times New Roman" w:hAnsi="Times New Roman"/>
                <w:color w:val="auto"/>
                <w:sz w:val="21"/>
                <w:szCs w:val="21"/>
              </w:rPr>
              <w:t></w:t>
            </w:r>
          </w:p>
        </w:tc>
        <w:tc>
          <w:tcPr>
            <w:tcW w:w="633" w:type="pct"/>
            <w:gridSpan w:val="2"/>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无监测口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tblHeader/>
          <w:jc w:val="center"/>
        </w:trPr>
        <w:tc>
          <w:tcPr>
            <w:tcW w:w="483" w:type="pct"/>
            <w:vMerge w:val="continue"/>
            <w:tcBorders>
              <w:top w:val="nil"/>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p>
        </w:tc>
        <w:tc>
          <w:tcPr>
            <w:tcW w:w="890"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环境质量监测</w:t>
            </w:r>
          </w:p>
        </w:tc>
        <w:tc>
          <w:tcPr>
            <w:tcW w:w="1660" w:type="pct"/>
            <w:gridSpan w:val="8"/>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rPr>
              <w:t>监测因子：（</w:t>
            </w:r>
            <w:r>
              <w:rPr>
                <w:rFonts w:ascii="Times New Roman" w:hAnsi="Times New Roman"/>
                <w:color w:val="auto"/>
                <w:sz w:val="21"/>
                <w:szCs w:val="21"/>
              </w:rPr>
              <w:t xml:space="preserve"> </w:t>
            </w:r>
            <w:r>
              <w:rPr>
                <w:rFonts w:ascii="Times New Roman" w:hAnsi="Times New Roman"/>
                <w:color w:val="auto"/>
                <w:sz w:val="21"/>
                <w:szCs w:val="21"/>
                <w:lang w:val="zh-TW"/>
              </w:rPr>
              <w:t>）</w:t>
            </w:r>
          </w:p>
        </w:tc>
        <w:tc>
          <w:tcPr>
            <w:tcW w:w="1334" w:type="pct"/>
            <w:gridSpan w:val="8"/>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监测点位数</w:t>
            </w:r>
            <w:r>
              <w:rPr>
                <w:rFonts w:ascii="Times New Roman" w:hAnsi="Times New Roman"/>
                <w:color w:val="auto"/>
                <w:sz w:val="21"/>
                <w:szCs w:val="21"/>
                <w:lang w:eastAsia="en-US"/>
              </w:rPr>
              <w:t>（</w:t>
            </w:r>
            <w:r>
              <w:rPr>
                <w:rFonts w:ascii="Times New Roman" w:hAnsi="Times New Roman"/>
                <w:color w:val="auto"/>
                <w:sz w:val="21"/>
                <w:szCs w:val="21"/>
              </w:rPr>
              <w:t xml:space="preserve"> </w:t>
            </w:r>
            <w:r>
              <w:rPr>
                <w:rFonts w:ascii="Times New Roman" w:hAnsi="Times New Roman"/>
                <w:color w:val="auto"/>
                <w:sz w:val="21"/>
                <w:szCs w:val="21"/>
                <w:lang w:eastAsia="en-US"/>
              </w:rPr>
              <w:t>）</w:t>
            </w:r>
          </w:p>
        </w:tc>
        <w:tc>
          <w:tcPr>
            <w:tcW w:w="633" w:type="pct"/>
            <w:gridSpan w:val="2"/>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无监测口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blHeader/>
          <w:jc w:val="center"/>
        </w:trPr>
        <w:tc>
          <w:tcPr>
            <w:tcW w:w="483" w:type="pct"/>
            <w:vMerge w:val="restart"/>
            <w:tcBorders>
              <w:top w:val="single" w:color="auto" w:sz="4" w:space="0"/>
              <w:left w:val="single" w:color="auto" w:sz="4" w:space="0"/>
              <w:right w:val="nil"/>
            </w:tcBorders>
            <w:shd w:val="clear" w:color="auto" w:fill="auto"/>
            <w:vAlign w:val="center"/>
          </w:tcPr>
          <w:p>
            <w:pPr>
              <w:pStyle w:val="825"/>
              <w:rPr>
                <w:rFonts w:ascii="Times New Roman" w:hAnsi="Times New Roman"/>
                <w:color w:val="auto"/>
                <w:sz w:val="21"/>
                <w:szCs w:val="21"/>
                <w:lang w:val="zh-TW"/>
              </w:rPr>
            </w:pPr>
            <w:r>
              <w:rPr>
                <w:rFonts w:ascii="Times New Roman" w:hAnsi="Times New Roman"/>
                <w:color w:val="auto"/>
                <w:sz w:val="21"/>
                <w:szCs w:val="21"/>
                <w:lang w:val="zh-TW" w:eastAsia="zh-TW"/>
              </w:rPr>
              <w:t>评价</w:t>
            </w:r>
          </w:p>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结论</w:t>
            </w:r>
          </w:p>
        </w:tc>
        <w:tc>
          <w:tcPr>
            <w:tcW w:w="890"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环境影响</w:t>
            </w:r>
          </w:p>
        </w:tc>
        <w:tc>
          <w:tcPr>
            <w:tcW w:w="3626" w:type="pct"/>
            <w:gridSpan w:val="18"/>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lang w:val="zh-TW" w:eastAsia="zh-TW"/>
              </w:rPr>
              <w:t>可以接受</w:t>
            </w:r>
            <w:r>
              <w:rPr>
                <w:rFonts w:ascii="Wingdings 2" w:hAnsi="Wingdings 2"/>
                <w:color w:val="auto"/>
                <w:sz w:val="21"/>
                <w:szCs w:val="21"/>
              </w:rPr>
              <w:t></w:t>
            </w:r>
            <w:r>
              <w:rPr>
                <w:rFonts w:ascii="Times New Roman" w:hAnsi="Times New Roman"/>
                <w:color w:val="auto"/>
                <w:sz w:val="21"/>
                <w:szCs w:val="21"/>
              </w:rPr>
              <w:t></w:t>
            </w:r>
            <w:r>
              <w:rPr>
                <w:rFonts w:ascii="Times New Roman" w:hAnsi="Times New Roman"/>
                <w:color w:val="auto"/>
                <w:sz w:val="21"/>
                <w:szCs w:val="21"/>
                <w:lang w:val="zh-TW" w:eastAsia="zh-TW"/>
              </w:rPr>
              <w:t>不可以接受口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Header/>
          <w:jc w:val="center"/>
        </w:trPr>
        <w:tc>
          <w:tcPr>
            <w:tcW w:w="483" w:type="pct"/>
            <w:vMerge w:val="continue"/>
            <w:tcBorders>
              <w:left w:val="single" w:color="auto" w:sz="4" w:space="0"/>
              <w:right w:val="nil"/>
            </w:tcBorders>
            <w:shd w:val="clear" w:color="auto" w:fill="auto"/>
            <w:vAlign w:val="center"/>
          </w:tcPr>
          <w:p>
            <w:pPr>
              <w:pStyle w:val="825"/>
              <w:rPr>
                <w:rFonts w:ascii="Times New Roman" w:hAnsi="Times New Roman" w:eastAsia="Times New Roman"/>
                <w:color w:val="auto"/>
                <w:sz w:val="21"/>
                <w:szCs w:val="21"/>
              </w:rPr>
            </w:pPr>
          </w:p>
        </w:tc>
        <w:tc>
          <w:tcPr>
            <w:tcW w:w="890" w:type="pct"/>
            <w:tcBorders>
              <w:top w:val="single" w:color="auto" w:sz="4" w:space="0"/>
              <w:left w:val="single" w:color="auto" w:sz="4" w:space="0"/>
              <w:bottom w:val="nil"/>
              <w:right w:val="nil"/>
            </w:tcBorders>
            <w:shd w:val="clear" w:color="auto" w:fill="auto"/>
            <w:vAlign w:val="center"/>
          </w:tcPr>
          <w:p>
            <w:pPr>
              <w:pStyle w:val="825"/>
              <w:rPr>
                <w:rFonts w:ascii="Times New Roman" w:hAnsi="Times New Roman" w:eastAsia="Times New Roman"/>
                <w:color w:val="auto"/>
                <w:sz w:val="21"/>
                <w:szCs w:val="21"/>
              </w:rPr>
            </w:pPr>
            <w:r>
              <w:rPr>
                <w:rFonts w:ascii="Times New Roman" w:hAnsi="Times New Roman"/>
                <w:color w:val="auto"/>
                <w:sz w:val="21"/>
                <w:szCs w:val="21"/>
                <w:lang w:val="zh-TW" w:eastAsia="zh-TW"/>
              </w:rPr>
              <w:t>大气环境防</w:t>
            </w:r>
            <w:r>
              <w:rPr>
                <w:rFonts w:ascii="Times New Roman" w:hAnsi="Times New Roman"/>
                <w:color w:val="auto"/>
                <w:sz w:val="21"/>
                <w:szCs w:val="21"/>
                <w:lang w:val="zh-TW"/>
              </w:rPr>
              <w:t>护</w:t>
            </w:r>
            <w:r>
              <w:rPr>
                <w:rFonts w:ascii="Times New Roman" w:hAnsi="Times New Roman"/>
                <w:color w:val="auto"/>
                <w:sz w:val="21"/>
                <w:szCs w:val="21"/>
                <w:lang w:val="zh-TW" w:eastAsia="zh-TW"/>
              </w:rPr>
              <w:t>距离</w:t>
            </w:r>
          </w:p>
        </w:tc>
        <w:tc>
          <w:tcPr>
            <w:tcW w:w="3626" w:type="pct"/>
            <w:gridSpan w:val="18"/>
            <w:tcBorders>
              <w:top w:val="single" w:color="auto" w:sz="4" w:space="0"/>
              <w:left w:val="single" w:color="auto" w:sz="4" w:space="0"/>
              <w:bottom w:val="nil"/>
              <w:right w:val="single" w:color="auto" w:sz="4" w:space="0"/>
            </w:tcBorders>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距（）厂界最远（）m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Header/>
          <w:jc w:val="center"/>
        </w:trPr>
        <w:tc>
          <w:tcPr>
            <w:tcW w:w="483" w:type="pct"/>
            <w:vMerge w:val="continue"/>
            <w:tcBorders>
              <w:left w:val="single" w:color="auto" w:sz="4" w:space="0"/>
              <w:right w:val="nil"/>
            </w:tcBorders>
            <w:shd w:val="clear" w:color="auto" w:fill="auto"/>
            <w:vAlign w:val="center"/>
          </w:tcPr>
          <w:p>
            <w:pPr>
              <w:pStyle w:val="825"/>
              <w:rPr>
                <w:rFonts w:ascii="Times New Roman" w:hAnsi="Times New Roman" w:eastAsia="Times New Roman"/>
                <w:color w:val="auto"/>
                <w:sz w:val="21"/>
                <w:szCs w:val="21"/>
              </w:rPr>
            </w:pPr>
          </w:p>
        </w:tc>
        <w:tc>
          <w:tcPr>
            <w:tcW w:w="890" w:type="pct"/>
            <w:tcBorders>
              <w:top w:val="single" w:color="auto" w:sz="4" w:space="0"/>
              <w:left w:val="single" w:color="auto" w:sz="4" w:space="0"/>
              <w:right w:val="nil"/>
            </w:tcBorders>
            <w:shd w:val="clear" w:color="auto" w:fill="auto"/>
            <w:vAlign w:val="center"/>
          </w:tcPr>
          <w:p>
            <w:pPr>
              <w:pStyle w:val="825"/>
              <w:rPr>
                <w:rFonts w:ascii="Times New Roman" w:hAnsi="Times New Roman"/>
                <w:color w:val="auto"/>
                <w:sz w:val="21"/>
                <w:szCs w:val="21"/>
              </w:rPr>
            </w:pPr>
            <w:r>
              <w:rPr>
                <w:rFonts w:ascii="Times New Roman" w:hAnsi="Times New Roman"/>
                <w:color w:val="auto"/>
                <w:sz w:val="21"/>
                <w:szCs w:val="21"/>
              </w:rPr>
              <w:t>污染源年排放量</w:t>
            </w:r>
          </w:p>
        </w:tc>
        <w:tc>
          <w:tcPr>
            <w:tcW w:w="9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铅及其化合物</w:t>
            </w:r>
            <w:r>
              <w:rPr>
                <w:rFonts w:ascii="Times New Roman" w:hAnsi="Times New Roman"/>
                <w:color w:val="auto"/>
                <w:sz w:val="21"/>
                <w:szCs w:val="21"/>
              </w:rPr>
              <w:t>:0.0</w:t>
            </w:r>
            <w:r>
              <w:rPr>
                <w:rFonts w:hint="eastAsia" w:ascii="Times New Roman" w:hAnsi="Times New Roman"/>
                <w:color w:val="auto"/>
                <w:sz w:val="21"/>
                <w:szCs w:val="21"/>
              </w:rPr>
              <w:t>254</w:t>
            </w:r>
            <w:r>
              <w:rPr>
                <w:rFonts w:ascii="Times New Roman" w:hAnsi="Times New Roman"/>
                <w:color w:val="auto"/>
                <w:sz w:val="21"/>
                <w:szCs w:val="21"/>
              </w:rPr>
              <w:t>t/a</w:t>
            </w:r>
          </w:p>
        </w:tc>
        <w:tc>
          <w:tcPr>
            <w:tcW w:w="924"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825"/>
              <w:rPr>
                <w:rFonts w:ascii="Times New Roman" w:hAnsi="Times New Roman"/>
                <w:color w:val="auto"/>
                <w:sz w:val="21"/>
                <w:szCs w:val="21"/>
              </w:rPr>
            </w:pPr>
            <w:r>
              <w:rPr>
                <w:rFonts w:hint="eastAsia" w:ascii="Times New Roman" w:hAnsi="Times New Roman"/>
                <w:color w:val="auto"/>
                <w:sz w:val="21"/>
                <w:szCs w:val="21"/>
              </w:rPr>
              <w:t>镉及其化合物：0.00256t/a</w:t>
            </w:r>
          </w:p>
        </w:tc>
        <w:tc>
          <w:tcPr>
            <w:tcW w:w="90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铅+镉及其化合物：0.02796t/a</w:t>
            </w:r>
          </w:p>
        </w:tc>
        <w:tc>
          <w:tcPr>
            <w:tcW w:w="89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825"/>
              <w:rPr>
                <w:rFonts w:ascii="Times New Roman" w:hAnsi="Times New Roman"/>
                <w:color w:val="auto"/>
                <w:sz w:val="21"/>
                <w:szCs w:val="21"/>
              </w:rPr>
            </w:pPr>
            <w:r>
              <w:rPr>
                <w:rFonts w:hint="eastAsia" w:ascii="Times New Roman" w:hAnsi="Times New Roman"/>
                <w:color w:val="auto"/>
                <w:sz w:val="21"/>
                <w:szCs w:val="21"/>
              </w:rPr>
              <w:t>铬及其化合物：4.1×10</w:t>
            </w:r>
            <w:r>
              <w:rPr>
                <w:rFonts w:hint="eastAsia" w:ascii="Times New Roman" w:hAnsi="Times New Roman"/>
                <w:color w:val="auto"/>
                <w:sz w:val="21"/>
                <w:szCs w:val="21"/>
                <w:vertAlign w:val="superscript"/>
              </w:rPr>
              <w:t>-6</w:t>
            </w:r>
            <w:r>
              <w:rPr>
                <w:rFonts w:hint="eastAsia" w:ascii="Times New Roman" w:hAnsi="Times New Roman"/>
                <w:color w:val="auto"/>
                <w:sz w:val="21"/>
                <w:szCs w:val="21"/>
              </w:rPr>
              <w:t>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blHeader/>
          <w:jc w:val="center"/>
        </w:trPr>
        <w:tc>
          <w:tcPr>
            <w:tcW w:w="5000" w:type="pct"/>
            <w:gridSpan w:val="20"/>
            <w:tcBorders>
              <w:top w:val="single" w:color="auto" w:sz="4" w:space="0"/>
              <w:left w:val="single" w:color="auto" w:sz="4" w:space="0"/>
              <w:bottom w:val="single" w:color="auto" w:sz="4" w:space="0"/>
              <w:right w:val="single" w:color="auto" w:sz="4" w:space="0"/>
            </w:tcBorders>
            <w:shd w:val="clear" w:color="auto" w:fill="auto"/>
            <w:vAlign w:val="center"/>
          </w:tcPr>
          <w:p>
            <w:pPr>
              <w:pStyle w:val="825"/>
              <w:rPr>
                <w:rFonts w:ascii="Times New Roman" w:hAnsi="Times New Roman"/>
                <w:color w:val="auto"/>
                <w:sz w:val="21"/>
                <w:szCs w:val="21"/>
                <w:lang w:val="zh-TW" w:eastAsia="zh-TW"/>
              </w:rPr>
            </w:pPr>
            <w:r>
              <w:rPr>
                <w:rFonts w:ascii="Times New Roman" w:hAnsi="Times New Roman"/>
                <w:color w:val="auto"/>
                <w:sz w:val="21"/>
                <w:szCs w:val="21"/>
                <w:lang w:val="zh-TW" w:eastAsia="zh-TW"/>
              </w:rPr>
              <w:t>注</w:t>
            </w:r>
            <w:r>
              <w:rPr>
                <w:rFonts w:ascii="Times New Roman" w:hAnsi="Times New Roman"/>
                <w:color w:val="auto"/>
                <w:sz w:val="21"/>
                <w:szCs w:val="21"/>
                <w:vertAlign w:val="subscript"/>
                <w:lang w:val="zh-TW"/>
              </w:rPr>
              <w:t>：</w:t>
            </w:r>
            <w:r>
              <w:rPr>
                <w:rFonts w:ascii="Times New Roman" w:hAnsi="Times New Roman"/>
                <w:color w:val="auto"/>
                <w:sz w:val="21"/>
                <w:szCs w:val="21"/>
                <w:lang w:val="zh-TW"/>
              </w:rPr>
              <w:t>“</w:t>
            </w:r>
            <w:r>
              <w:rPr>
                <w:rFonts w:ascii="Times New Roman" w:hAnsi="Times New Roman" w:eastAsia="Times New Roman"/>
                <w:color w:val="auto"/>
                <w:sz w:val="21"/>
                <w:szCs w:val="21"/>
                <w:lang w:val="zh-TW" w:eastAsia="zh-TW"/>
              </w:rPr>
              <w:t>□</w:t>
            </w:r>
            <w:r>
              <w:rPr>
                <w:rFonts w:ascii="Times New Roman" w:hAnsi="Times New Roman"/>
                <w:color w:val="auto"/>
                <w:sz w:val="21"/>
                <w:szCs w:val="21"/>
                <w:lang w:val="zh-TW"/>
              </w:rPr>
              <w:t>”</w:t>
            </w:r>
            <w:r>
              <w:rPr>
                <w:rFonts w:ascii="Times New Roman" w:hAnsi="Times New Roman"/>
                <w:color w:val="auto"/>
                <w:sz w:val="21"/>
                <w:szCs w:val="21"/>
                <w:lang w:val="zh-TW" w:eastAsia="zh-TW"/>
              </w:rPr>
              <w:t>为勾选项，填</w:t>
            </w:r>
            <w:r>
              <w:rPr>
                <w:rFonts w:ascii="Times New Roman" w:hAnsi="Times New Roman"/>
                <w:color w:val="auto"/>
                <w:sz w:val="21"/>
                <w:szCs w:val="21"/>
                <w:lang w:val="zh-TW"/>
              </w:rPr>
              <w:t>“√”；“</w:t>
            </w:r>
            <w:r>
              <w:rPr>
                <w:rFonts w:ascii="Times New Roman" w:hAnsi="Times New Roman"/>
                <w:color w:val="auto"/>
                <w:sz w:val="21"/>
                <w:szCs w:val="21"/>
              </w:rPr>
              <w:t>（）”</w:t>
            </w:r>
            <w:r>
              <w:rPr>
                <w:rFonts w:ascii="Times New Roman" w:hAnsi="Times New Roman"/>
                <w:color w:val="auto"/>
                <w:sz w:val="21"/>
                <w:szCs w:val="21"/>
                <w:lang w:val="zh-TW" w:eastAsia="zh-TW"/>
              </w:rPr>
              <w:t>为内容填写项</w:t>
            </w:r>
          </w:p>
        </w:tc>
      </w:tr>
    </w:tbl>
    <w:p/>
    <w:p/>
    <w:p>
      <w:pPr>
        <w:ind w:firstLine="0" w:firstLineChars="0"/>
        <w:rPr>
          <w:b/>
          <w:sz w:val="28"/>
          <w:szCs w:val="28"/>
        </w:rPr>
      </w:pPr>
      <w:r>
        <w:rPr>
          <w:rFonts w:hint="eastAsia"/>
          <w:b/>
          <w:sz w:val="28"/>
          <w:szCs w:val="28"/>
        </w:rPr>
        <w:t>4.2废气治理措施可行性分析</w:t>
      </w:r>
    </w:p>
    <w:p>
      <w:pPr>
        <w:ind w:firstLine="0" w:firstLineChars="0"/>
        <w:rPr>
          <w:b/>
        </w:rPr>
      </w:pPr>
      <w:r>
        <w:rPr>
          <w:rFonts w:hint="eastAsia"/>
          <w:b/>
        </w:rPr>
        <w:t>4.2.1废气治理措施</w:t>
      </w:r>
    </w:p>
    <w:p>
      <w:r>
        <w:rPr>
          <w:rFonts w:hint="eastAsia"/>
        </w:rPr>
        <w:t>（1）有组织废气</w:t>
      </w:r>
    </w:p>
    <w:p>
      <w:r>
        <w:rPr>
          <w:rFonts w:hint="eastAsia"/>
        </w:rPr>
        <w:t>本项目除尘灰回炉利用废气处理情况及排气筒布置情况如下：</w:t>
      </w:r>
    </w:p>
    <w:p>
      <w:r>
        <w:rPr>
          <w:rFonts w:hint="eastAsia"/>
        </w:rPr>
        <w:drawing>
          <wp:anchor distT="0" distB="0" distL="114300" distR="114300" simplePos="0" relativeHeight="251662336" behindDoc="0" locked="0" layoutInCell="1" allowOverlap="1">
            <wp:simplePos x="0" y="0"/>
            <wp:positionH relativeFrom="column">
              <wp:posOffset>-58420</wp:posOffset>
            </wp:positionH>
            <wp:positionV relativeFrom="paragraph">
              <wp:posOffset>100965</wp:posOffset>
            </wp:positionV>
            <wp:extent cx="5914390" cy="619125"/>
            <wp:effectExtent l="0" t="0" r="0" b="0"/>
            <wp:wrapNone/>
            <wp:docPr id="1" name="图片 1" descr="C:\Users\Administrator\Desktop\足航公司除尘灰资源化利用项目\废气处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足航公司除尘灰资源化利用项目\废气处理流程图.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914555" cy="619125"/>
                    </a:xfrm>
                    <a:prstGeom prst="rect">
                      <a:avLst/>
                    </a:prstGeom>
                    <a:noFill/>
                    <a:ln>
                      <a:noFill/>
                    </a:ln>
                  </pic:spPr>
                </pic:pic>
              </a:graphicData>
            </a:graphic>
          </wp:anchor>
        </w:drawing>
      </w:r>
    </w:p>
    <w:p/>
    <w:p/>
    <w:p>
      <w:r>
        <w:rPr>
          <w:rFonts w:hint="eastAsia"/>
        </w:rPr>
        <mc:AlternateContent>
          <mc:Choice Requires="wps">
            <w:drawing>
              <wp:anchor distT="0" distB="0" distL="114300" distR="114300" simplePos="0" relativeHeight="251663360" behindDoc="0" locked="0" layoutInCell="1" allowOverlap="1">
                <wp:simplePos x="0" y="0"/>
                <wp:positionH relativeFrom="column">
                  <wp:posOffset>1104265</wp:posOffset>
                </wp:positionH>
                <wp:positionV relativeFrom="paragraph">
                  <wp:posOffset>17145</wp:posOffset>
                </wp:positionV>
                <wp:extent cx="3438525" cy="3619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385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专项图4.2-1   项目废气处理系统示意图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95pt;margin-top:1.35pt;height:28.5pt;width:270.75pt;z-index:251663360;mso-width-relative:page;mso-height-relative:page;" filled="f" stroked="f" coordsize="21600,21600" o:gfxdata="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HfceraAAAACAEAAA8AAAAAAAAAAQAgAAAA&#10;IgAAAGRycy9kb3ducmV2LnhtbFBLAQIUABQAAAAIAIdO4kAiZ7wkQgIAAHQEAAAOAAAAAAAAAAEA&#10;IAAAACkBAABkcnMvZTJvRG9jLnhtbFBLBQYAAAAABgAGAFkBAADdBQAAAAA=&#10;">
                <v:fill on="f" focussize="0,0"/>
                <v:stroke on="f" weight="0.5pt"/>
                <v:imagedata o:title=""/>
                <o:lock v:ext="edit" aspectratio="f"/>
                <v:textbox>
                  <w:txbxContent>
                    <w:p>
                      <w:r>
                        <w:rPr>
                          <w:rFonts w:hint="eastAsia"/>
                        </w:rPr>
                        <w:t>专项图4.2-1   项目废气处理系统示意图</w:t>
                      </w:r>
                    </w:p>
                  </w:txbxContent>
                </v:textbox>
              </v:shape>
            </w:pict>
          </mc:Fallback>
        </mc:AlternateContent>
      </w:r>
    </w:p>
    <w:p/>
    <w:p>
      <w:r>
        <w:rPr>
          <w:rFonts w:hint="eastAsia"/>
        </w:rPr>
        <w:t>（2）无组织废气</w:t>
      </w:r>
    </w:p>
    <w:p>
      <w:r>
        <w:rPr>
          <w:rFonts w:hint="eastAsia"/>
        </w:rPr>
        <w:t>为了减小无组织排放废气对周围环境空气敏感点的影响，保护人群健康，主要采取以下措施减少项目无组织排放。</w:t>
      </w:r>
    </w:p>
    <w:p>
      <w:r>
        <w:rPr>
          <w:rFonts w:hint="eastAsia" w:ascii="宋体" w:hAnsi="宋体"/>
        </w:rPr>
        <w:t>①加强规范化生产操作、定期检查上料隧道及进料口排烟管密封性能等措施来减少烟气逸出量；</w:t>
      </w:r>
    </w:p>
    <w:p>
      <w:pPr>
        <w:rPr>
          <w:rFonts w:ascii="宋体" w:hAnsi="宋体"/>
        </w:rPr>
      </w:pPr>
      <w:r>
        <w:rPr>
          <w:rFonts w:hint="eastAsia" w:ascii="宋体" w:hAnsi="宋体"/>
        </w:rPr>
        <w:t>②强化废气收集措施，通过调节风机风量维持系统负压环境，加强废气收集管网密封性能来提高收集效率，最大程度降低废气逸散量；</w:t>
      </w:r>
    </w:p>
    <w:p>
      <w:r>
        <w:rPr>
          <w:rFonts w:hint="eastAsia" w:ascii="宋体" w:hAnsi="宋体"/>
        </w:rPr>
        <w:t>③通过强化人员意识、规范管理等措施，减少因操作失误等因素造成的废气无组织排放。</w:t>
      </w:r>
    </w:p>
    <w:p>
      <w:pPr>
        <w:ind w:firstLine="0" w:firstLineChars="0"/>
        <w:rPr>
          <w:b/>
        </w:rPr>
      </w:pPr>
      <w:r>
        <w:rPr>
          <w:rFonts w:hint="eastAsia"/>
          <w:b/>
        </w:rPr>
        <w:t>4.2.2治理措施可行性分析</w:t>
      </w:r>
    </w:p>
    <w:p>
      <w:pPr>
        <w:rPr>
          <w:lang w:val="zh-CN"/>
        </w:rPr>
      </w:pPr>
      <w:r>
        <w:rPr>
          <w:rFonts w:hint="eastAsia"/>
        </w:rPr>
        <w:t>除尘灰回炉利用产生的高温烟气</w:t>
      </w:r>
      <w:r>
        <w:rPr>
          <w:rFonts w:hint="eastAsia"/>
          <w:lang w:val="zh-CN"/>
        </w:rPr>
        <w:t>经</w:t>
      </w:r>
      <w:r>
        <w:rPr>
          <w:rFonts w:hint="eastAsia"/>
        </w:rPr>
        <w:t>进料口</w:t>
      </w:r>
      <w:r>
        <w:rPr>
          <w:rFonts w:hint="eastAsia"/>
          <w:lang w:val="zh-CN"/>
        </w:rPr>
        <w:t>排出</w:t>
      </w:r>
      <w:r>
        <w:rPr>
          <w:rFonts w:hint="eastAsia"/>
        </w:rPr>
        <w:t>进入上料隧道，对原料废钢进行加热，预热废钢至200℃左右，烟气进入沉降室，温度降至</w:t>
      </w:r>
      <w:r>
        <w:rPr>
          <w:rFonts w:hint="eastAsia"/>
          <w:lang w:val="zh-CN"/>
        </w:rPr>
        <w:t>约650℃，再经隔热烟道进入极力强制风冷器对烟气进行急冷，烟气温度下降至</w:t>
      </w:r>
      <w:r>
        <w:rPr>
          <w:rFonts w:hint="eastAsia"/>
        </w:rPr>
        <w:t>200℃以下，烟气再</w:t>
      </w:r>
      <w:r>
        <w:rPr>
          <w:rFonts w:hint="eastAsia"/>
          <w:lang w:val="zh-CN"/>
        </w:rPr>
        <w:t>与屋顶罩捕集的烟气混合后使温度降至110℃以下进入CC塔除尘系统；除尘系统选用高效、低阻、耐磨，高强度涤纶水刺毡滤料，并通过优化除尘器气流分布和脉冲喷吹清灰系统等措施，确保除尘器的高效去除率。</w:t>
      </w:r>
    </w:p>
    <w:p>
      <w:pPr>
        <w:rPr>
          <w:lang w:val="zh-CN"/>
        </w:rPr>
      </w:pPr>
      <w:r>
        <w:rPr>
          <w:rFonts w:hint="eastAsia"/>
          <w:lang w:val="zh-CN"/>
        </w:rPr>
        <w:t>布袋除尘器是利用袋式过滤元件来捕集含尘气体中固体颗粒物，除尘效率很高，一般可达99.9％以上；适应力强，可处理不同类型的颗粒物，且对10 微米以下尤其1 微米以下的亚微粒颗物有较好的捕集效果，是捕集细颗粒粉尘的重要手段。由于袋式除尘在净化效率、运行能耗、设备造价、占地面积等方面的优势，广泛用于国内电炉烟气处理。</w:t>
      </w:r>
    </w:p>
    <w:p>
      <w:r>
        <w:rPr>
          <w:rFonts w:hint="eastAsia"/>
          <w:lang w:val="zh-CN"/>
        </w:rPr>
        <w:t>项目采用的</w:t>
      </w:r>
      <w:r>
        <w:rPr>
          <w:rFonts w:hint="eastAsia"/>
        </w:rPr>
        <w:t>CC塔除尘系统对比传统布袋除尘器，在除尘器、风机站、排气筒结构设计与布置形式进行了优化。除尘器外形为园形，除尘工艺由短流程取代长流程，清灰工艺由动态喷吹取代静态喷吹，风机站、排气筒由除尘器投影面外集成至除尘器投影面内，除尘器整体结构设计高度集成，使设备阻损及电耗均降低，并减少了许多设备故障点，占地面积大幅降低，节省了一次性投资和后续运行管理费用。除尘单元外形为圆筒形，进、出风管集中在CC塔圆心部位，极大地降低了CC塔占地。净气室改变传统矩形除尘器的分仓结构，为一个完整的圆环净气仓，内部安装一套回转的离线脉冲喷吹机构，处于离线喷吹机构覆盖面的滤袋即实现离线喷吹清灰。从而彻底去除了数十套甚至数百套固定安装的喷吹管件。 除尘器、风机站、排气筒“三合一”，风机站设置在机组灰斗下方，排气筒设置在机组内部，省去了常规系统的风机房、落地排气筒，简化了连接管道。</w:t>
      </w:r>
    </w:p>
    <w:p>
      <w:r>
        <w:rPr>
          <w:rFonts w:hint="eastAsia"/>
          <w:lang w:val="zh-CN"/>
        </w:rPr>
        <w:t>根据《钢铁行业炼钢工艺污染防治最佳可行技术指南》（试行）</w:t>
      </w:r>
      <w:r>
        <w:rPr>
          <w:rFonts w:hint="eastAsia"/>
        </w:rPr>
        <w:t>，袋式除尘技术是利用纤维织物的过滤作用对含尘气体进行净化，该技术除尘效率高，适用范围广，可同时去除烟气中的氟化物、二噁英和重金属。</w:t>
      </w:r>
      <w:r>
        <w:rPr>
          <w:rFonts w:hint="eastAsia"/>
          <w:lang w:val="zh-CN"/>
        </w:rPr>
        <w:t>布袋除尘器对铅、镉和铬及其化合物去除效率大于60%，经处理后的污染物排放浓度均能够</w:t>
      </w:r>
      <w:r>
        <w:rPr>
          <w:rFonts w:hint="eastAsia"/>
        </w:rPr>
        <w:t>满足《水泥窑协同处置固体废物污染控制标准》（</w:t>
      </w:r>
      <w:r>
        <w:t>GB 30485-2013</w:t>
      </w:r>
      <w:r>
        <w:rPr>
          <w:rFonts w:hint="eastAsia"/>
        </w:rPr>
        <w:t>）中的相关要求</w:t>
      </w:r>
      <w:r>
        <w:rPr>
          <w:rFonts w:hint="eastAsia"/>
          <w:lang w:val="zh-CN"/>
        </w:rPr>
        <w:t>，净化后的废气通过排气筒高空达标排放。</w:t>
      </w:r>
    </w:p>
    <w:p>
      <w:pPr>
        <w:rPr>
          <w:lang w:val="zh-CN"/>
        </w:rPr>
      </w:pPr>
      <w:r>
        <w:rPr>
          <w:rFonts w:hint="eastAsia"/>
          <w:lang w:val="zh-CN"/>
        </w:rPr>
        <w:t>本项目采取的“</w:t>
      </w:r>
      <w:r>
        <w:rPr>
          <w:rFonts w:hint="eastAsia"/>
        </w:rPr>
        <w:t>第四孔排烟+密闭罩+屋顶罩+袋式除尘器</w:t>
      </w:r>
      <w:r>
        <w:rPr>
          <w:rFonts w:hint="eastAsia"/>
          <w:lang w:val="zh-CN"/>
        </w:rPr>
        <w:t>”属于《钢铁行业炼钢工艺污染防治最佳可行技术指南（试行）》中的最佳可行技术，控制措施成熟可行，运行经济稳定，可满足达标排放的要求。</w:t>
      </w: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spacing w:line="480" w:lineRule="auto"/>
        <w:ind w:firstLine="643"/>
        <w:jc w:val="center"/>
        <w:rPr>
          <w:b/>
          <w:sz w:val="32"/>
          <w:szCs w:val="32"/>
        </w:rPr>
      </w:pPr>
      <w:r>
        <w:rPr>
          <w:rFonts w:hint="eastAsia"/>
          <w:b/>
          <w:sz w:val="32"/>
          <w:szCs w:val="32"/>
        </w:rPr>
        <w:t>5   监测计划</w:t>
      </w:r>
    </w:p>
    <w:p>
      <w:pPr>
        <w:rPr>
          <w:snapToGrid w:val="0"/>
        </w:rPr>
      </w:pPr>
      <w:r>
        <w:rPr>
          <w:bCs/>
          <w:snapToGrid w:val="0"/>
        </w:rPr>
        <w:t>项目建成后</w:t>
      </w:r>
      <w:r>
        <w:rPr>
          <w:rFonts w:hint="eastAsia"/>
          <w:bCs/>
          <w:snapToGrid w:val="0"/>
        </w:rPr>
        <w:t>应定期开展污染源监测，</w:t>
      </w:r>
      <w:r>
        <w:rPr>
          <w:rFonts w:hint="eastAsia"/>
          <w:bCs/>
          <w:snapToGrid w:val="0"/>
          <w:lang w:val="en-GB"/>
        </w:rPr>
        <w:t>企业可委托具有能力和资质的第三方检测机构对项目进行监测。</w:t>
      </w:r>
      <w:r>
        <w:rPr>
          <w:rFonts w:hint="eastAsia"/>
          <w:bCs/>
          <w:snapToGrid w:val="0"/>
        </w:rPr>
        <w:t>根据《排污单位自行监测技术指南</w:t>
      </w:r>
      <w:r>
        <w:rPr>
          <w:bCs/>
          <w:snapToGrid w:val="0"/>
        </w:rPr>
        <w:t xml:space="preserve"> </w:t>
      </w:r>
      <w:r>
        <w:rPr>
          <w:rFonts w:hint="eastAsia"/>
          <w:bCs/>
          <w:snapToGrid w:val="0"/>
        </w:rPr>
        <w:t>总则》（HJ 819-2017）和《排污单位自行监测技术指南</w:t>
      </w:r>
      <w:r>
        <w:rPr>
          <w:bCs/>
          <w:snapToGrid w:val="0"/>
        </w:rPr>
        <w:t xml:space="preserve"> </w:t>
      </w:r>
      <w:r>
        <w:rPr>
          <w:rFonts w:hint="eastAsia"/>
          <w:bCs/>
          <w:snapToGrid w:val="0"/>
        </w:rPr>
        <w:t>钢铁工业及炼焦化学工业》（HJ 878-2017）的相关要求，本项目废气</w:t>
      </w:r>
      <w:r>
        <w:rPr>
          <w:rFonts w:hint="eastAsia"/>
          <w:snapToGrid w:val="0"/>
        </w:rPr>
        <w:t>监测计划见专项表5-1。</w:t>
      </w:r>
    </w:p>
    <w:p>
      <w:pPr>
        <w:pStyle w:val="178"/>
        <w:ind w:firstLine="420"/>
        <w:rPr>
          <w:rFonts w:eastAsia="宋体"/>
          <w:color w:val="auto"/>
          <w:szCs w:val="21"/>
        </w:rPr>
      </w:pPr>
      <w:r>
        <w:rPr>
          <w:rFonts w:hint="eastAsia" w:eastAsia="宋体"/>
          <w:color w:val="auto"/>
          <w:szCs w:val="21"/>
        </w:rPr>
        <w:t>专项表5-1   废气监测计划一览表</w:t>
      </w:r>
    </w:p>
    <w:tbl>
      <w:tblPr>
        <w:tblStyle w:val="88"/>
        <w:tblW w:w="850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97"/>
        <w:gridCol w:w="2105"/>
        <w:gridCol w:w="1824"/>
        <w:gridCol w:w="2691"/>
        <w:gridCol w:w="11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9" w:hRule="atLeast"/>
        </w:trPr>
        <w:tc>
          <w:tcPr>
            <w:tcW w:w="697" w:type="dxa"/>
            <w:shd w:val="clear" w:color="auto" w:fill="auto"/>
            <w:noWrap/>
            <w:vAlign w:val="center"/>
          </w:tcPr>
          <w:p>
            <w:pPr>
              <w:pStyle w:val="169"/>
            </w:pPr>
            <w:r>
              <w:rPr>
                <w:rFonts w:hint="eastAsia"/>
              </w:rPr>
              <w:t>类别</w:t>
            </w:r>
          </w:p>
        </w:tc>
        <w:tc>
          <w:tcPr>
            <w:tcW w:w="2105" w:type="dxa"/>
            <w:shd w:val="clear" w:color="auto" w:fill="auto"/>
            <w:noWrap/>
            <w:vAlign w:val="center"/>
          </w:tcPr>
          <w:p>
            <w:pPr>
              <w:pStyle w:val="169"/>
            </w:pPr>
            <w:r>
              <w:rPr>
                <w:rFonts w:hint="eastAsia"/>
              </w:rPr>
              <w:t>监测点位</w:t>
            </w:r>
          </w:p>
        </w:tc>
        <w:tc>
          <w:tcPr>
            <w:tcW w:w="1824" w:type="dxa"/>
            <w:shd w:val="clear" w:color="auto" w:fill="auto"/>
            <w:noWrap/>
            <w:vAlign w:val="center"/>
          </w:tcPr>
          <w:p>
            <w:pPr>
              <w:pStyle w:val="169"/>
            </w:pPr>
            <w:r>
              <w:rPr>
                <w:rFonts w:hint="eastAsia"/>
              </w:rPr>
              <w:t>测点数</w:t>
            </w:r>
          </w:p>
        </w:tc>
        <w:tc>
          <w:tcPr>
            <w:tcW w:w="2691" w:type="dxa"/>
            <w:shd w:val="clear" w:color="auto" w:fill="auto"/>
            <w:noWrap/>
            <w:vAlign w:val="center"/>
          </w:tcPr>
          <w:p>
            <w:pPr>
              <w:pStyle w:val="169"/>
            </w:pPr>
            <w:r>
              <w:rPr>
                <w:rFonts w:hint="eastAsia"/>
              </w:rPr>
              <w:t>监测项目</w:t>
            </w:r>
          </w:p>
        </w:tc>
        <w:tc>
          <w:tcPr>
            <w:tcW w:w="0" w:type="auto"/>
            <w:shd w:val="clear" w:color="auto" w:fill="auto"/>
            <w:noWrap/>
            <w:vAlign w:val="center"/>
          </w:tcPr>
          <w:p>
            <w:pPr>
              <w:pStyle w:val="169"/>
            </w:pPr>
            <w:r>
              <w:rPr>
                <w:rFonts w:hint="eastAsia"/>
              </w:rPr>
              <w:t>监测频率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9" w:hRule="atLeast"/>
        </w:trPr>
        <w:tc>
          <w:tcPr>
            <w:tcW w:w="697" w:type="dxa"/>
            <w:vMerge w:val="restart"/>
            <w:shd w:val="clear" w:color="auto" w:fill="auto"/>
            <w:noWrap/>
            <w:vAlign w:val="center"/>
          </w:tcPr>
          <w:p>
            <w:pPr>
              <w:pStyle w:val="169"/>
            </w:pPr>
            <w:r>
              <w:rPr>
                <w:rFonts w:hint="eastAsia"/>
              </w:rPr>
              <w:t>废气</w:t>
            </w:r>
          </w:p>
        </w:tc>
        <w:tc>
          <w:tcPr>
            <w:tcW w:w="2105" w:type="dxa"/>
            <w:shd w:val="clear" w:color="auto" w:fill="auto"/>
            <w:noWrap/>
            <w:vAlign w:val="center"/>
          </w:tcPr>
          <w:p>
            <w:pPr>
              <w:pStyle w:val="169"/>
            </w:pPr>
            <w:r>
              <w:rPr>
                <w:rFonts w:hint="eastAsia"/>
              </w:rPr>
              <w:t>1#电炉排气筒出口</w:t>
            </w:r>
          </w:p>
        </w:tc>
        <w:tc>
          <w:tcPr>
            <w:tcW w:w="1824" w:type="dxa"/>
            <w:shd w:val="clear" w:color="auto" w:fill="auto"/>
            <w:noWrap/>
            <w:vAlign w:val="center"/>
          </w:tcPr>
          <w:p>
            <w:pPr>
              <w:pStyle w:val="169"/>
            </w:pPr>
            <w:r>
              <w:rPr>
                <w:rFonts w:hint="eastAsia"/>
              </w:rPr>
              <w:t>1</w:t>
            </w:r>
          </w:p>
        </w:tc>
        <w:tc>
          <w:tcPr>
            <w:tcW w:w="2691" w:type="dxa"/>
            <w:shd w:val="clear" w:color="auto" w:fill="auto"/>
            <w:noWrap/>
            <w:vAlign w:val="center"/>
          </w:tcPr>
          <w:p>
            <w:pPr>
              <w:pStyle w:val="169"/>
            </w:pPr>
            <w:r>
              <w:rPr>
                <w:rFonts w:hint="eastAsia"/>
              </w:rPr>
              <w:t>铅+镉及其化合物、铬及其化合物</w:t>
            </w:r>
          </w:p>
        </w:tc>
        <w:tc>
          <w:tcPr>
            <w:tcW w:w="0" w:type="auto"/>
            <w:shd w:val="clear" w:color="auto" w:fill="auto"/>
            <w:noWrap/>
            <w:vAlign w:val="center"/>
          </w:tcPr>
          <w:p>
            <w:pPr>
              <w:pStyle w:val="169"/>
            </w:pPr>
            <w:r>
              <w:t>1</w:t>
            </w:r>
            <w:r>
              <w:rPr>
                <w:rFonts w:hint="eastAsia"/>
              </w:rPr>
              <w:t>次</w:t>
            </w:r>
            <w:r>
              <w:t>/</w:t>
            </w:r>
            <w:r>
              <w:rPr>
                <w:rFonts w:hint="eastAsia"/>
              </w:rPr>
              <w:t>季度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9" w:hRule="atLeast"/>
        </w:trPr>
        <w:tc>
          <w:tcPr>
            <w:tcW w:w="697" w:type="dxa"/>
            <w:vMerge w:val="continue"/>
            <w:vAlign w:val="center"/>
          </w:tcPr>
          <w:p>
            <w:pPr>
              <w:pStyle w:val="169"/>
            </w:pPr>
          </w:p>
        </w:tc>
        <w:tc>
          <w:tcPr>
            <w:tcW w:w="2105" w:type="dxa"/>
            <w:shd w:val="clear" w:color="auto" w:fill="auto"/>
            <w:noWrap/>
            <w:vAlign w:val="center"/>
          </w:tcPr>
          <w:p>
            <w:pPr>
              <w:pStyle w:val="169"/>
            </w:pPr>
            <w:r>
              <w:rPr>
                <w:rFonts w:hint="eastAsia" w:eastAsiaTheme="minorEastAsia"/>
                <w:szCs w:val="21"/>
              </w:rPr>
              <w:t>2#电炉排气筒1出口</w:t>
            </w:r>
          </w:p>
        </w:tc>
        <w:tc>
          <w:tcPr>
            <w:tcW w:w="1824" w:type="dxa"/>
            <w:shd w:val="clear" w:color="auto" w:fill="auto"/>
            <w:noWrap/>
            <w:vAlign w:val="center"/>
          </w:tcPr>
          <w:p>
            <w:pPr>
              <w:pStyle w:val="169"/>
            </w:pPr>
            <w:r>
              <w:rPr>
                <w:rFonts w:hint="eastAsia"/>
              </w:rPr>
              <w:t>1</w:t>
            </w:r>
          </w:p>
        </w:tc>
        <w:tc>
          <w:tcPr>
            <w:tcW w:w="2691" w:type="dxa"/>
            <w:shd w:val="clear" w:color="auto" w:fill="auto"/>
            <w:noWrap/>
            <w:vAlign w:val="center"/>
          </w:tcPr>
          <w:p>
            <w:pPr>
              <w:pStyle w:val="169"/>
            </w:pPr>
            <w:r>
              <w:rPr>
                <w:rFonts w:hint="eastAsia"/>
              </w:rPr>
              <w:t>铅+镉及其化合物、铬及其化合物</w:t>
            </w:r>
          </w:p>
        </w:tc>
        <w:tc>
          <w:tcPr>
            <w:tcW w:w="0" w:type="auto"/>
            <w:shd w:val="clear" w:color="auto" w:fill="auto"/>
            <w:noWrap/>
            <w:vAlign w:val="center"/>
          </w:tcPr>
          <w:p>
            <w:pPr>
              <w:pStyle w:val="169"/>
            </w:pPr>
            <w:r>
              <w:t>1</w:t>
            </w:r>
            <w:r>
              <w:rPr>
                <w:rFonts w:hint="eastAsia"/>
              </w:rPr>
              <w:t>次</w:t>
            </w:r>
            <w:r>
              <w:t>/</w:t>
            </w:r>
            <w:r>
              <w:rPr>
                <w:rFonts w:hint="eastAsia"/>
              </w:rPr>
              <w:t>季度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9" w:hRule="atLeast"/>
        </w:trPr>
        <w:tc>
          <w:tcPr>
            <w:tcW w:w="697" w:type="dxa"/>
            <w:vMerge w:val="continue"/>
            <w:vAlign w:val="center"/>
          </w:tcPr>
          <w:p>
            <w:pPr>
              <w:pStyle w:val="169"/>
            </w:pPr>
          </w:p>
        </w:tc>
        <w:tc>
          <w:tcPr>
            <w:tcW w:w="2105" w:type="dxa"/>
            <w:shd w:val="clear" w:color="auto" w:fill="auto"/>
            <w:noWrap/>
            <w:vAlign w:val="center"/>
          </w:tcPr>
          <w:p>
            <w:pPr>
              <w:pStyle w:val="169"/>
              <w:rPr>
                <w:rFonts w:eastAsiaTheme="minorEastAsia"/>
                <w:szCs w:val="21"/>
              </w:rPr>
            </w:pPr>
            <w:r>
              <w:rPr>
                <w:rFonts w:hint="eastAsia" w:eastAsiaTheme="minorEastAsia"/>
                <w:szCs w:val="21"/>
              </w:rPr>
              <w:t>2#电炉排气筒2出口</w:t>
            </w:r>
          </w:p>
        </w:tc>
        <w:tc>
          <w:tcPr>
            <w:tcW w:w="1824" w:type="dxa"/>
            <w:shd w:val="clear" w:color="auto" w:fill="auto"/>
            <w:noWrap/>
            <w:vAlign w:val="center"/>
          </w:tcPr>
          <w:p>
            <w:pPr>
              <w:pStyle w:val="169"/>
            </w:pPr>
            <w:r>
              <w:rPr>
                <w:rFonts w:hint="eastAsia"/>
              </w:rPr>
              <w:t>1</w:t>
            </w:r>
          </w:p>
        </w:tc>
        <w:tc>
          <w:tcPr>
            <w:tcW w:w="2691" w:type="dxa"/>
            <w:shd w:val="clear" w:color="auto" w:fill="auto"/>
            <w:noWrap/>
            <w:vAlign w:val="center"/>
          </w:tcPr>
          <w:p>
            <w:pPr>
              <w:pStyle w:val="169"/>
            </w:pPr>
            <w:r>
              <w:rPr>
                <w:rFonts w:hint="eastAsia"/>
              </w:rPr>
              <w:t>铅+镉及其化合物、铬及其化合物</w:t>
            </w:r>
          </w:p>
        </w:tc>
        <w:tc>
          <w:tcPr>
            <w:tcW w:w="0" w:type="auto"/>
            <w:shd w:val="clear" w:color="auto" w:fill="auto"/>
            <w:noWrap/>
            <w:vAlign w:val="center"/>
          </w:tcPr>
          <w:p>
            <w:pPr>
              <w:pStyle w:val="169"/>
            </w:pPr>
            <w:r>
              <w:t>1</w:t>
            </w:r>
            <w:r>
              <w:rPr>
                <w:rFonts w:hint="eastAsia"/>
              </w:rPr>
              <w:t>次</w:t>
            </w:r>
            <w:r>
              <w:t>/</w:t>
            </w:r>
            <w:r>
              <w:rPr>
                <w:rFonts w:hint="eastAsia"/>
              </w:rPr>
              <w:t>季度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9" w:hRule="atLeast"/>
        </w:trPr>
        <w:tc>
          <w:tcPr>
            <w:tcW w:w="697" w:type="dxa"/>
            <w:vMerge w:val="continue"/>
            <w:vAlign w:val="center"/>
          </w:tcPr>
          <w:p>
            <w:pPr>
              <w:pStyle w:val="169"/>
            </w:pPr>
          </w:p>
        </w:tc>
        <w:tc>
          <w:tcPr>
            <w:tcW w:w="2105" w:type="dxa"/>
            <w:shd w:val="clear" w:color="auto" w:fill="auto"/>
            <w:noWrap/>
            <w:vAlign w:val="center"/>
          </w:tcPr>
          <w:p>
            <w:pPr>
              <w:pStyle w:val="169"/>
            </w:pPr>
            <w:r>
              <w:rPr>
                <w:rFonts w:hint="eastAsia"/>
              </w:rPr>
              <w:t>无组织排放监测（厂界）</w:t>
            </w:r>
          </w:p>
        </w:tc>
        <w:tc>
          <w:tcPr>
            <w:tcW w:w="1824" w:type="dxa"/>
            <w:shd w:val="clear" w:color="auto" w:fill="auto"/>
            <w:noWrap/>
            <w:vAlign w:val="center"/>
          </w:tcPr>
          <w:p>
            <w:pPr>
              <w:pStyle w:val="169"/>
            </w:pPr>
            <w:r>
              <w:rPr>
                <w:rFonts w:hint="eastAsia"/>
              </w:rPr>
              <w:t>厂区上风向</w:t>
            </w:r>
            <w:r>
              <w:t>1</w:t>
            </w:r>
            <w:r>
              <w:rPr>
                <w:rFonts w:hint="eastAsia"/>
              </w:rPr>
              <w:t>个点，下风向</w:t>
            </w:r>
            <w:r>
              <w:t>1</w:t>
            </w:r>
            <w:r>
              <w:rPr>
                <w:rFonts w:hint="eastAsia"/>
              </w:rPr>
              <w:t>个点</w:t>
            </w:r>
          </w:p>
        </w:tc>
        <w:tc>
          <w:tcPr>
            <w:tcW w:w="2691" w:type="dxa"/>
            <w:shd w:val="clear" w:color="auto" w:fill="auto"/>
            <w:noWrap/>
            <w:vAlign w:val="center"/>
          </w:tcPr>
          <w:p>
            <w:pPr>
              <w:pStyle w:val="169"/>
            </w:pPr>
            <w:r>
              <w:rPr>
                <w:rFonts w:hint="eastAsia"/>
              </w:rPr>
              <w:t>颗粒物、铅+镉及其化合物、铬及其化合物</w:t>
            </w:r>
          </w:p>
        </w:tc>
        <w:tc>
          <w:tcPr>
            <w:tcW w:w="0" w:type="auto"/>
            <w:shd w:val="clear" w:color="auto" w:fill="auto"/>
            <w:noWrap/>
            <w:vAlign w:val="center"/>
          </w:tcPr>
          <w:p>
            <w:pPr>
              <w:pStyle w:val="169"/>
            </w:pPr>
            <w:r>
              <w:t>1</w:t>
            </w:r>
            <w:r>
              <w:rPr>
                <w:rFonts w:hint="eastAsia"/>
              </w:rPr>
              <w:t>次</w:t>
            </w:r>
            <w:r>
              <w:t>/</w:t>
            </w:r>
            <w:r>
              <w:rPr>
                <w:rFonts w:hint="eastAsia"/>
              </w:rPr>
              <w:t>年</w:t>
            </w:r>
          </w:p>
        </w:tc>
      </w:tr>
    </w:tbl>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
    <w:p/>
    <w:p/>
    <w:p/>
    <w:p/>
    <w:p/>
    <w:p/>
    <w:p/>
    <w:p/>
    <w:p/>
    <w:p/>
    <w:p/>
    <w:p>
      <w:pPr>
        <w:sectPr>
          <w:pgSz w:w="11906" w:h="16838"/>
          <w:pgMar w:top="1701" w:right="1531" w:bottom="1701" w:left="1531" w:header="851" w:footer="851" w:gutter="0"/>
          <w:cols w:space="720" w:num="1"/>
          <w:docGrid w:linePitch="312" w:charSpace="0"/>
        </w:sectPr>
      </w:pPr>
    </w:p>
    <w:p>
      <w:pPr>
        <w:pStyle w:val="81"/>
        <w:rPr>
          <w:snapToGrid w:val="0"/>
        </w:rPr>
      </w:pPr>
      <w:r>
        <w:rPr>
          <w:rFonts w:hint="eastAsia"/>
          <w:snapToGrid w:val="0"/>
        </w:rPr>
        <w:t>附表</w:t>
      </w:r>
    </w:p>
    <w:p>
      <w:pPr>
        <w:pStyle w:val="81"/>
        <w:spacing w:line="240" w:lineRule="auto"/>
        <w:jc w:val="center"/>
        <w:rPr>
          <w:snapToGrid w:val="0"/>
        </w:rPr>
      </w:pPr>
      <w:r>
        <w:rPr>
          <w:rFonts w:hint="eastAsia"/>
          <w:snapToGrid w:val="0"/>
        </w:rPr>
        <w:t>建设项目污染物排放量汇总表</w:t>
      </w:r>
    </w:p>
    <w:tbl>
      <w:tblPr>
        <w:tblStyle w:val="88"/>
        <w:tblW w:w="136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400"/>
        <w:gridCol w:w="1680"/>
        <w:gridCol w:w="1261"/>
        <w:gridCol w:w="1680"/>
        <w:gridCol w:w="1540"/>
        <w:gridCol w:w="1530"/>
        <w:gridCol w:w="1842"/>
        <w:gridCol w:w="11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69" w:type="dxa"/>
            <w:tcBorders>
              <w:tl2br w:val="single" w:color="auto" w:sz="4" w:space="0"/>
            </w:tcBorders>
            <w:tcMar>
              <w:left w:w="28" w:type="dxa"/>
              <w:right w:w="28" w:type="dxa"/>
            </w:tcMar>
            <w:vAlign w:val="center"/>
          </w:tcPr>
          <w:p>
            <w:pPr>
              <w:pStyle w:val="169"/>
              <w:rPr>
                <w:snapToGrid w:val="0"/>
              </w:rPr>
            </w:pPr>
            <w:r>
              <w:rPr>
                <w:rFonts w:hint="eastAsia"/>
                <w:snapToGrid w:val="0"/>
              </w:rPr>
              <w:t>项目</w:t>
            </w:r>
          </w:p>
          <w:p>
            <w:pPr>
              <w:pStyle w:val="169"/>
              <w:rPr>
                <w:snapToGrid w:val="0"/>
              </w:rPr>
            </w:pPr>
            <w:r>
              <w:rPr>
                <w:rFonts w:hint="eastAsia"/>
                <w:snapToGrid w:val="0"/>
              </w:rPr>
              <w:t>分类</w:t>
            </w:r>
          </w:p>
        </w:tc>
        <w:tc>
          <w:tcPr>
            <w:tcW w:w="1400" w:type="dxa"/>
            <w:tcMar>
              <w:left w:w="28" w:type="dxa"/>
              <w:right w:w="28" w:type="dxa"/>
            </w:tcMar>
            <w:vAlign w:val="center"/>
          </w:tcPr>
          <w:p>
            <w:pPr>
              <w:pStyle w:val="169"/>
              <w:rPr>
                <w:snapToGrid w:val="0"/>
              </w:rPr>
            </w:pPr>
            <w:r>
              <w:rPr>
                <w:rFonts w:hint="eastAsia"/>
                <w:snapToGrid w:val="0"/>
              </w:rPr>
              <w:t>污染物名称</w:t>
            </w:r>
          </w:p>
        </w:tc>
        <w:tc>
          <w:tcPr>
            <w:tcW w:w="1680" w:type="dxa"/>
            <w:tcMar>
              <w:left w:w="28" w:type="dxa"/>
              <w:right w:w="28" w:type="dxa"/>
            </w:tcMar>
            <w:vAlign w:val="center"/>
          </w:tcPr>
          <w:p>
            <w:pPr>
              <w:pStyle w:val="169"/>
              <w:rPr>
                <w:snapToGrid w:val="0"/>
              </w:rPr>
            </w:pPr>
            <w:r>
              <w:rPr>
                <w:rFonts w:hint="eastAsia"/>
                <w:snapToGrid w:val="0"/>
              </w:rPr>
              <w:t>现有工程</w:t>
            </w:r>
          </w:p>
          <w:p>
            <w:pPr>
              <w:pStyle w:val="169"/>
              <w:rPr>
                <w:snapToGrid w:val="0"/>
              </w:rPr>
            </w:pPr>
            <w:r>
              <w:rPr>
                <w:rFonts w:hint="eastAsia"/>
                <w:snapToGrid w:val="0"/>
              </w:rPr>
              <w:t>排放量（固体废物产生量）</w:t>
            </w:r>
            <w:r>
              <w:rPr>
                <w:snapToGrid w:val="0"/>
              </w:rPr>
              <w:fldChar w:fldCharType="begin"/>
            </w:r>
            <w:r>
              <w:rPr>
                <w:snapToGrid w:val="0"/>
              </w:rPr>
              <w:instrText xml:space="preserve"> = 1 \* GB3 \* MERGEFORMAT </w:instrText>
            </w:r>
            <w:r>
              <w:rPr>
                <w:snapToGrid w:val="0"/>
              </w:rPr>
              <w:fldChar w:fldCharType="separate"/>
            </w:r>
            <w:r>
              <w:rPr>
                <w:rFonts w:hint="eastAsia" w:cs="宋体"/>
                <w:kern w:val="2"/>
              </w:rPr>
              <w:t>①</w:t>
            </w:r>
            <w:r>
              <w:rPr>
                <w:snapToGrid w:val="0"/>
              </w:rPr>
              <w:fldChar w:fldCharType="end"/>
            </w:r>
          </w:p>
        </w:tc>
        <w:tc>
          <w:tcPr>
            <w:tcW w:w="1261" w:type="dxa"/>
            <w:tcMar>
              <w:left w:w="28" w:type="dxa"/>
              <w:right w:w="28" w:type="dxa"/>
            </w:tcMar>
            <w:vAlign w:val="center"/>
          </w:tcPr>
          <w:p>
            <w:pPr>
              <w:pStyle w:val="169"/>
              <w:rPr>
                <w:snapToGrid w:val="0"/>
              </w:rPr>
            </w:pPr>
            <w:r>
              <w:rPr>
                <w:rFonts w:hint="eastAsia"/>
                <w:snapToGrid w:val="0"/>
              </w:rPr>
              <w:t>现有工程</w:t>
            </w:r>
          </w:p>
          <w:p>
            <w:pPr>
              <w:pStyle w:val="169"/>
              <w:rPr>
                <w:snapToGrid w:val="0"/>
              </w:rPr>
            </w:pPr>
            <w:r>
              <w:rPr>
                <w:rFonts w:hint="eastAsia"/>
                <w:snapToGrid w:val="0"/>
              </w:rPr>
              <w:t>许可排放量</w:t>
            </w:r>
          </w:p>
          <w:p>
            <w:pPr>
              <w:pStyle w:val="169"/>
              <w:rPr>
                <w:snapToGrid w:val="0"/>
              </w:rPr>
            </w:pPr>
            <w:r>
              <w:rPr>
                <w:snapToGrid w:val="0"/>
              </w:rPr>
              <w:fldChar w:fldCharType="begin"/>
            </w:r>
            <w:r>
              <w:rPr>
                <w:snapToGrid w:val="0"/>
              </w:rPr>
              <w:instrText xml:space="preserve"> = 2 \* GB3 \* MERGEFORMAT </w:instrText>
            </w:r>
            <w:r>
              <w:rPr>
                <w:snapToGrid w:val="0"/>
              </w:rPr>
              <w:fldChar w:fldCharType="separate"/>
            </w:r>
            <w:r>
              <w:rPr>
                <w:rFonts w:hint="eastAsia" w:cs="宋体"/>
                <w:snapToGrid w:val="0"/>
              </w:rPr>
              <w:t>②</w:t>
            </w:r>
            <w:r>
              <w:rPr>
                <w:snapToGrid w:val="0"/>
              </w:rPr>
              <w:fldChar w:fldCharType="end"/>
            </w:r>
          </w:p>
        </w:tc>
        <w:tc>
          <w:tcPr>
            <w:tcW w:w="1680" w:type="dxa"/>
            <w:tcMar>
              <w:left w:w="28" w:type="dxa"/>
              <w:right w:w="28" w:type="dxa"/>
            </w:tcMar>
            <w:vAlign w:val="center"/>
          </w:tcPr>
          <w:p>
            <w:pPr>
              <w:pStyle w:val="169"/>
              <w:rPr>
                <w:snapToGrid w:val="0"/>
              </w:rPr>
            </w:pPr>
            <w:r>
              <w:rPr>
                <w:rFonts w:hint="eastAsia"/>
                <w:snapToGrid w:val="0"/>
              </w:rPr>
              <w:t>在建工程</w:t>
            </w:r>
          </w:p>
          <w:p>
            <w:pPr>
              <w:pStyle w:val="169"/>
              <w:rPr>
                <w:snapToGrid w:val="0"/>
              </w:rPr>
            </w:pPr>
            <w:r>
              <w:rPr>
                <w:rFonts w:hint="eastAsia"/>
                <w:snapToGrid w:val="0"/>
              </w:rPr>
              <w:t>排放量（固体废物产生量）</w:t>
            </w:r>
            <w:r>
              <w:rPr>
                <w:snapToGrid w:val="0"/>
              </w:rPr>
              <w:fldChar w:fldCharType="begin"/>
            </w:r>
            <w:r>
              <w:rPr>
                <w:snapToGrid w:val="0"/>
              </w:rPr>
              <w:instrText xml:space="preserve"> = 3 \* GB3 \* MERGEFORMAT </w:instrText>
            </w:r>
            <w:r>
              <w:rPr>
                <w:snapToGrid w:val="0"/>
              </w:rPr>
              <w:fldChar w:fldCharType="separate"/>
            </w:r>
            <w:r>
              <w:rPr>
                <w:rFonts w:hint="eastAsia" w:cs="宋体"/>
                <w:kern w:val="2"/>
              </w:rPr>
              <w:t>③</w:t>
            </w:r>
            <w:r>
              <w:rPr>
                <w:snapToGrid w:val="0"/>
              </w:rPr>
              <w:fldChar w:fldCharType="end"/>
            </w:r>
          </w:p>
        </w:tc>
        <w:tc>
          <w:tcPr>
            <w:tcW w:w="1540" w:type="dxa"/>
            <w:tcMar>
              <w:left w:w="28" w:type="dxa"/>
              <w:right w:w="28" w:type="dxa"/>
            </w:tcMar>
            <w:vAlign w:val="center"/>
          </w:tcPr>
          <w:p>
            <w:pPr>
              <w:pStyle w:val="169"/>
              <w:rPr>
                <w:snapToGrid w:val="0"/>
              </w:rPr>
            </w:pPr>
            <w:r>
              <w:rPr>
                <w:rFonts w:hint="eastAsia"/>
                <w:snapToGrid w:val="0"/>
              </w:rPr>
              <w:t>本项目</w:t>
            </w:r>
          </w:p>
          <w:p>
            <w:pPr>
              <w:pStyle w:val="169"/>
              <w:rPr>
                <w:snapToGrid w:val="0"/>
              </w:rPr>
            </w:pPr>
            <w:r>
              <w:rPr>
                <w:rFonts w:hint="eastAsia"/>
                <w:snapToGrid w:val="0"/>
              </w:rPr>
              <w:t>排放量（固体废物产生量）</w:t>
            </w:r>
            <w:r>
              <w:rPr>
                <w:snapToGrid w:val="0"/>
              </w:rPr>
              <w:fldChar w:fldCharType="begin"/>
            </w:r>
            <w:r>
              <w:rPr>
                <w:snapToGrid w:val="0"/>
              </w:rPr>
              <w:instrText xml:space="preserve"> = 4 \* GB3 \* MERGEFORMAT </w:instrText>
            </w:r>
            <w:r>
              <w:rPr>
                <w:snapToGrid w:val="0"/>
              </w:rPr>
              <w:fldChar w:fldCharType="separate"/>
            </w:r>
            <w:r>
              <w:rPr>
                <w:rFonts w:hint="eastAsia" w:cs="宋体"/>
                <w:kern w:val="2"/>
              </w:rPr>
              <w:t>④</w:t>
            </w:r>
            <w:r>
              <w:rPr>
                <w:snapToGrid w:val="0"/>
              </w:rPr>
              <w:fldChar w:fldCharType="end"/>
            </w:r>
          </w:p>
        </w:tc>
        <w:tc>
          <w:tcPr>
            <w:tcW w:w="1530" w:type="dxa"/>
            <w:tcMar>
              <w:left w:w="28" w:type="dxa"/>
              <w:right w:w="28" w:type="dxa"/>
            </w:tcMar>
            <w:vAlign w:val="center"/>
          </w:tcPr>
          <w:p>
            <w:pPr>
              <w:pStyle w:val="169"/>
              <w:rPr>
                <w:snapToGrid w:val="0"/>
              </w:rPr>
            </w:pPr>
            <w:r>
              <w:rPr>
                <w:rFonts w:hint="eastAsia"/>
                <w:snapToGrid w:val="0"/>
              </w:rPr>
              <w:t>以新带老削减量</w:t>
            </w:r>
          </w:p>
          <w:p>
            <w:pPr>
              <w:pStyle w:val="169"/>
              <w:rPr>
                <w:snapToGrid w:val="0"/>
              </w:rPr>
            </w:pPr>
            <w:r>
              <w:rPr>
                <w:rFonts w:hint="eastAsia"/>
                <w:snapToGrid w:val="0"/>
              </w:rPr>
              <w:t>（新建项目不填）</w:t>
            </w:r>
            <w:r>
              <w:rPr>
                <w:snapToGrid w:val="0"/>
              </w:rPr>
              <w:fldChar w:fldCharType="begin"/>
            </w:r>
            <w:r>
              <w:rPr>
                <w:snapToGrid w:val="0"/>
              </w:rPr>
              <w:instrText xml:space="preserve"> = 5 \* GB3 \* MERGEFORMAT </w:instrText>
            </w:r>
            <w:r>
              <w:rPr>
                <w:snapToGrid w:val="0"/>
              </w:rPr>
              <w:fldChar w:fldCharType="separate"/>
            </w:r>
            <w:r>
              <w:rPr>
                <w:rFonts w:hint="eastAsia" w:cs="宋体"/>
                <w:kern w:val="2"/>
              </w:rPr>
              <w:t>⑤</w:t>
            </w:r>
            <w:r>
              <w:rPr>
                <w:snapToGrid w:val="0"/>
              </w:rPr>
              <w:fldChar w:fldCharType="end"/>
            </w:r>
          </w:p>
        </w:tc>
        <w:tc>
          <w:tcPr>
            <w:tcW w:w="1842" w:type="dxa"/>
            <w:tcMar>
              <w:left w:w="28" w:type="dxa"/>
              <w:right w:w="28" w:type="dxa"/>
            </w:tcMar>
            <w:vAlign w:val="center"/>
          </w:tcPr>
          <w:p>
            <w:pPr>
              <w:pStyle w:val="169"/>
              <w:rPr>
                <w:snapToGrid w:val="0"/>
              </w:rPr>
            </w:pPr>
            <w:r>
              <w:rPr>
                <w:rFonts w:hint="eastAsia"/>
                <w:snapToGrid w:val="0"/>
              </w:rPr>
              <w:t>本项目建成后</w:t>
            </w:r>
          </w:p>
          <w:p>
            <w:pPr>
              <w:pStyle w:val="169"/>
              <w:rPr>
                <w:snapToGrid w:val="0"/>
              </w:rPr>
            </w:pPr>
            <w:r>
              <w:rPr>
                <w:rFonts w:hint="eastAsia"/>
                <w:snapToGrid w:val="0"/>
              </w:rPr>
              <w:t>全厂排放量（固体废物产生量）</w:t>
            </w:r>
            <w:r>
              <w:rPr>
                <w:snapToGrid w:val="0"/>
              </w:rPr>
              <w:fldChar w:fldCharType="begin"/>
            </w:r>
            <w:r>
              <w:rPr>
                <w:snapToGrid w:val="0"/>
              </w:rPr>
              <w:instrText xml:space="preserve"> = 6 \* GB3 \* MERGEFORMAT </w:instrText>
            </w:r>
            <w:r>
              <w:rPr>
                <w:snapToGrid w:val="0"/>
              </w:rPr>
              <w:fldChar w:fldCharType="separate"/>
            </w:r>
            <w:r>
              <w:rPr>
                <w:rFonts w:hint="eastAsia" w:cs="宋体"/>
                <w:kern w:val="2"/>
              </w:rPr>
              <w:t>⑥</w:t>
            </w:r>
            <w:r>
              <w:rPr>
                <w:snapToGrid w:val="0"/>
              </w:rPr>
              <w:fldChar w:fldCharType="end"/>
            </w:r>
          </w:p>
        </w:tc>
        <w:tc>
          <w:tcPr>
            <w:tcW w:w="1120" w:type="dxa"/>
            <w:tcMar>
              <w:left w:w="28" w:type="dxa"/>
              <w:right w:w="28" w:type="dxa"/>
            </w:tcMar>
            <w:vAlign w:val="center"/>
          </w:tcPr>
          <w:p>
            <w:pPr>
              <w:pStyle w:val="169"/>
              <w:rPr>
                <w:snapToGrid w:val="0"/>
              </w:rPr>
            </w:pPr>
            <w:r>
              <w:rPr>
                <w:rFonts w:hint="eastAsia"/>
                <w:snapToGrid w:val="0"/>
              </w:rPr>
              <w:t>变化量</w:t>
            </w:r>
          </w:p>
          <w:p>
            <w:pPr>
              <w:pStyle w:val="169"/>
              <w:rPr>
                <w:snapToGrid w:val="0"/>
              </w:rPr>
            </w:pPr>
            <w:r>
              <w:rPr>
                <w:snapToGrid w:val="0"/>
              </w:rPr>
              <w:fldChar w:fldCharType="begin"/>
            </w:r>
            <w:r>
              <w:rPr>
                <w:snapToGrid w:val="0"/>
              </w:rPr>
              <w:instrText xml:space="preserve"> = 7 \* GB3 \* MERGEFORMAT </w:instrText>
            </w:r>
            <w:r>
              <w:rPr>
                <w:snapToGrid w:val="0"/>
              </w:rPr>
              <w:fldChar w:fldCharType="separate"/>
            </w:r>
            <w:r>
              <w:rPr>
                <w:rFonts w:hint="eastAsia" w:cs="宋体"/>
                <w:kern w:val="2"/>
              </w:rPr>
              <w:t>⑦</w:t>
            </w:r>
            <w:r>
              <w:rPr>
                <w:snapToGrid w:val="0"/>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restart"/>
            <w:vAlign w:val="center"/>
          </w:tcPr>
          <w:p>
            <w:pPr>
              <w:pStyle w:val="169"/>
              <w:rPr>
                <w:snapToGrid w:val="0"/>
              </w:rPr>
            </w:pPr>
            <w:r>
              <w:rPr>
                <w:rFonts w:hint="eastAsia"/>
                <w:snapToGrid w:val="0"/>
              </w:rPr>
              <w:t>废气</w:t>
            </w:r>
          </w:p>
        </w:tc>
        <w:tc>
          <w:tcPr>
            <w:tcW w:w="1400" w:type="dxa"/>
            <w:vAlign w:val="center"/>
          </w:tcPr>
          <w:p>
            <w:pPr>
              <w:pStyle w:val="169"/>
            </w:pPr>
            <w:r>
              <w:rPr>
                <w:rFonts w:hint="eastAsia"/>
              </w:rPr>
              <w:t>颗粒物</w:t>
            </w:r>
          </w:p>
        </w:tc>
        <w:tc>
          <w:tcPr>
            <w:tcW w:w="1680" w:type="dxa"/>
            <w:vAlign w:val="center"/>
          </w:tcPr>
          <w:p>
            <w:pPr>
              <w:pStyle w:val="169"/>
              <w:rPr>
                <w:snapToGrid w:val="0"/>
              </w:rPr>
            </w:pPr>
            <w:r>
              <w:rPr>
                <w:rFonts w:hint="eastAsia"/>
                <w:snapToGrid w:val="0"/>
              </w:rPr>
              <w:t>83t</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rPr>
                <w:snapToGrid w:val="0"/>
              </w:rPr>
            </w:pPr>
            <w:r>
              <w:rPr>
                <w:rFonts w:hint="eastAsia"/>
                <w:snapToGrid w:val="0"/>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69"/>
              <w:rPr>
                <w:snapToGrid w:val="0"/>
              </w:rPr>
            </w:pPr>
            <w:r>
              <w:rPr>
                <w:rFonts w:hint="eastAsia"/>
                <w:snapToGrid w:val="0"/>
              </w:rPr>
              <w:t>83</w:t>
            </w:r>
            <w:r>
              <w:rPr>
                <w:snapToGrid w:val="0"/>
              </w:rPr>
              <w:t>/a</w:t>
            </w:r>
          </w:p>
        </w:tc>
        <w:tc>
          <w:tcPr>
            <w:tcW w:w="1120" w:type="dxa"/>
            <w:vAlign w:val="center"/>
          </w:tcPr>
          <w:p>
            <w:pPr>
              <w:pStyle w:val="169"/>
              <w:rPr>
                <w:snapToGrid w:val="0"/>
              </w:rPr>
            </w:pPr>
            <w:r>
              <w:rPr>
                <w:rFonts w:hint="eastAsia"/>
                <w:snapToGrid w:val="0"/>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69"/>
            </w:pPr>
            <w:r>
              <w:rPr>
                <w:rFonts w:hint="eastAsia"/>
              </w:rPr>
              <w:t>二氧化硫</w:t>
            </w:r>
          </w:p>
        </w:tc>
        <w:tc>
          <w:tcPr>
            <w:tcW w:w="1680" w:type="dxa"/>
            <w:vAlign w:val="center"/>
          </w:tcPr>
          <w:p>
            <w:pPr>
              <w:pStyle w:val="169"/>
              <w:rPr>
                <w:snapToGrid w:val="0"/>
              </w:rPr>
            </w:pPr>
            <w:r>
              <w:rPr>
                <w:rFonts w:hint="eastAsia"/>
                <w:snapToGrid w:val="0"/>
              </w:rPr>
              <w:t>290.52t</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rPr>
                <w:snapToGrid w:val="0"/>
              </w:rPr>
            </w:pPr>
            <w:r>
              <w:rPr>
                <w:rFonts w:hint="eastAsia"/>
                <w:snapToGrid w:val="0"/>
                <w:spacing w:val="-1"/>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69"/>
              <w:rPr>
                <w:snapToGrid w:val="0"/>
              </w:rPr>
            </w:pPr>
            <w:r>
              <w:rPr>
                <w:rFonts w:hint="eastAsia"/>
                <w:snapToGrid w:val="0"/>
              </w:rPr>
              <w:t>290.52t</w:t>
            </w:r>
            <w:r>
              <w:rPr>
                <w:snapToGrid w:val="0"/>
              </w:rPr>
              <w:t>/a</w:t>
            </w:r>
          </w:p>
        </w:tc>
        <w:tc>
          <w:tcPr>
            <w:tcW w:w="1120" w:type="dxa"/>
            <w:vAlign w:val="center"/>
          </w:tcPr>
          <w:p>
            <w:pPr>
              <w:pStyle w:val="169"/>
              <w:rPr>
                <w:snapToGrid w:val="0"/>
              </w:rPr>
            </w:pPr>
            <w:r>
              <w:rPr>
                <w:rFonts w:hint="eastAsia"/>
                <w:snapToGrid w:val="0"/>
                <w:spacing w:val="-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69"/>
            </w:pPr>
            <w:r>
              <w:rPr>
                <w:rFonts w:hint="eastAsia"/>
              </w:rPr>
              <w:t>氮氧化物</w:t>
            </w:r>
          </w:p>
        </w:tc>
        <w:tc>
          <w:tcPr>
            <w:tcW w:w="1680" w:type="dxa"/>
            <w:vAlign w:val="center"/>
          </w:tcPr>
          <w:p>
            <w:pPr>
              <w:pStyle w:val="169"/>
              <w:rPr>
                <w:snapToGrid w:val="0"/>
              </w:rPr>
            </w:pPr>
            <w:r>
              <w:rPr>
                <w:rFonts w:hint="eastAsia"/>
                <w:snapToGrid w:val="0"/>
              </w:rPr>
              <w:t>197.61t</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rPr>
                <w:snapToGrid w:val="0"/>
                <w:spacing w:val="-1"/>
              </w:rPr>
            </w:pPr>
            <w:r>
              <w:rPr>
                <w:rFonts w:hint="eastAsia"/>
                <w:snapToGrid w:val="0"/>
                <w:spacing w:val="-1"/>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69"/>
              <w:rPr>
                <w:snapToGrid w:val="0"/>
              </w:rPr>
            </w:pPr>
            <w:r>
              <w:rPr>
                <w:rFonts w:hint="eastAsia"/>
                <w:snapToGrid w:val="0"/>
              </w:rPr>
              <w:t>197.61t</w:t>
            </w:r>
            <w:r>
              <w:rPr>
                <w:snapToGrid w:val="0"/>
              </w:rPr>
              <w:t>/a</w:t>
            </w:r>
          </w:p>
        </w:tc>
        <w:tc>
          <w:tcPr>
            <w:tcW w:w="1120" w:type="dxa"/>
            <w:vAlign w:val="center"/>
          </w:tcPr>
          <w:p>
            <w:pPr>
              <w:pStyle w:val="169"/>
              <w:rPr>
                <w:snapToGrid w:val="0"/>
                <w:spacing w:val="-1"/>
              </w:rPr>
            </w:pPr>
            <w:r>
              <w:rPr>
                <w:rFonts w:hint="eastAsia"/>
                <w:snapToGrid w:val="0"/>
                <w:spacing w:val="-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69"/>
            </w:pPr>
            <w:r>
              <w:rPr>
                <w:rFonts w:hint="eastAsia"/>
              </w:rPr>
              <w:t>二噁英</w:t>
            </w:r>
          </w:p>
        </w:tc>
        <w:tc>
          <w:tcPr>
            <w:tcW w:w="1680" w:type="dxa"/>
            <w:vAlign w:val="center"/>
          </w:tcPr>
          <w:p>
            <w:pPr>
              <w:pStyle w:val="169"/>
              <w:rPr>
                <w:snapToGrid w:val="0"/>
              </w:rPr>
            </w:pPr>
            <w:r>
              <w:rPr>
                <w:rFonts w:hint="eastAsia"/>
                <w:snapToGrid w:val="0"/>
              </w:rPr>
              <w:t>0.004t</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rPr>
                <w:snapToGrid w:val="0"/>
                <w:spacing w:val="-1"/>
              </w:rPr>
            </w:pPr>
            <w:r>
              <w:rPr>
                <w:rFonts w:hint="eastAsia"/>
                <w:snapToGrid w:val="0"/>
                <w:spacing w:val="-1"/>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69"/>
              <w:rPr>
                <w:snapToGrid w:val="0"/>
              </w:rPr>
            </w:pPr>
            <w:r>
              <w:rPr>
                <w:rFonts w:hint="eastAsia"/>
                <w:snapToGrid w:val="0"/>
              </w:rPr>
              <w:t>0.004t</w:t>
            </w:r>
            <w:r>
              <w:rPr>
                <w:snapToGrid w:val="0"/>
              </w:rPr>
              <w:t>/a</w:t>
            </w:r>
          </w:p>
        </w:tc>
        <w:tc>
          <w:tcPr>
            <w:tcW w:w="1120" w:type="dxa"/>
            <w:vAlign w:val="center"/>
          </w:tcPr>
          <w:p>
            <w:pPr>
              <w:pStyle w:val="169"/>
              <w:rPr>
                <w:snapToGrid w:val="0"/>
                <w:spacing w:val="-1"/>
              </w:rPr>
            </w:pPr>
            <w:r>
              <w:rPr>
                <w:rFonts w:hint="eastAsia"/>
                <w:snapToGrid w:val="0"/>
                <w:spacing w:val="-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825"/>
              <w:rPr>
                <w:rFonts w:ascii="Times New Roman" w:hAnsi="Times New Roman"/>
                <w:color w:val="auto"/>
                <w:sz w:val="21"/>
                <w:szCs w:val="21"/>
              </w:rPr>
            </w:pPr>
            <w:r>
              <w:rPr>
                <w:rFonts w:ascii="Times New Roman" w:hAnsi="Times New Roman"/>
                <w:color w:val="auto"/>
                <w:sz w:val="21"/>
                <w:szCs w:val="21"/>
              </w:rPr>
              <w:t>铅及其化合物</w:t>
            </w:r>
          </w:p>
        </w:tc>
        <w:tc>
          <w:tcPr>
            <w:tcW w:w="1680" w:type="dxa"/>
            <w:vAlign w:val="center"/>
          </w:tcPr>
          <w:p>
            <w:pPr>
              <w:pStyle w:val="169"/>
              <w:rPr>
                <w:snapToGrid w:val="0"/>
              </w:rPr>
            </w:pPr>
            <w:r>
              <w:rPr>
                <w:rFonts w:hint="eastAsia"/>
                <w:snapToGrid w:val="0"/>
              </w:rPr>
              <w:t>0</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rPr>
                <w:snapToGrid w:val="0"/>
                <w:spacing w:val="-1"/>
              </w:rPr>
            </w:pPr>
            <w:r>
              <w:rPr>
                <w:rFonts w:hint="eastAsia"/>
                <w:snapToGrid w:val="0"/>
                <w:spacing w:val="-1"/>
              </w:rPr>
              <w:t>0.0254</w:t>
            </w:r>
            <w:r>
              <w:rPr>
                <w:rFonts w:hint="eastAsia"/>
                <w:snapToGrid w:val="0"/>
              </w:rPr>
              <w:t>t</w:t>
            </w:r>
            <w:r>
              <w:rPr>
                <w:snapToGrid w:val="0"/>
              </w:rPr>
              <w:t>/a</w:t>
            </w:r>
          </w:p>
        </w:tc>
        <w:tc>
          <w:tcPr>
            <w:tcW w:w="1530" w:type="dxa"/>
            <w:vAlign w:val="center"/>
          </w:tcPr>
          <w:p>
            <w:pPr>
              <w:pStyle w:val="169"/>
              <w:rPr>
                <w:snapToGrid w:val="0"/>
              </w:rPr>
            </w:pPr>
            <w:r>
              <w:rPr>
                <w:rFonts w:hint="eastAsia"/>
                <w:snapToGrid w:val="0"/>
              </w:rPr>
              <w:t>0</w:t>
            </w:r>
          </w:p>
        </w:tc>
        <w:tc>
          <w:tcPr>
            <w:tcW w:w="1842" w:type="dxa"/>
            <w:vAlign w:val="center"/>
          </w:tcPr>
          <w:p>
            <w:pPr>
              <w:pStyle w:val="169"/>
              <w:rPr>
                <w:snapToGrid w:val="0"/>
              </w:rPr>
            </w:pPr>
            <w:r>
              <w:rPr>
                <w:rFonts w:hint="eastAsia"/>
                <w:snapToGrid w:val="0"/>
                <w:spacing w:val="-1"/>
              </w:rPr>
              <w:t>0.0254</w:t>
            </w:r>
            <w:r>
              <w:rPr>
                <w:rFonts w:hint="eastAsia"/>
                <w:snapToGrid w:val="0"/>
              </w:rPr>
              <w:t>t</w:t>
            </w:r>
            <w:r>
              <w:rPr>
                <w:snapToGrid w:val="0"/>
              </w:rPr>
              <w:t>/a</w:t>
            </w:r>
          </w:p>
        </w:tc>
        <w:tc>
          <w:tcPr>
            <w:tcW w:w="1120" w:type="dxa"/>
            <w:vAlign w:val="center"/>
          </w:tcPr>
          <w:p>
            <w:pPr>
              <w:pStyle w:val="169"/>
              <w:rPr>
                <w:snapToGrid w:val="0"/>
                <w:spacing w:val="-1"/>
              </w:rPr>
            </w:pPr>
            <w:r>
              <w:rPr>
                <w:rFonts w:hint="eastAsia"/>
                <w:snapToGrid w:val="0"/>
                <w:spacing w:val="-1"/>
              </w:rPr>
              <w:t>+0.0254</w:t>
            </w:r>
            <w:r>
              <w:rPr>
                <w:rFonts w:hint="eastAsia"/>
                <w:snapToGrid w:val="0"/>
              </w:rPr>
              <w:t xml:space="preserve"> t</w:t>
            </w:r>
            <w:r>
              <w:rPr>
                <w:snapToGrid w:val="0"/>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86"/>
            </w:pPr>
            <w:r>
              <w:rPr>
                <w:rFonts w:hint="eastAsia"/>
              </w:rPr>
              <w:t>镉及其化合物</w:t>
            </w:r>
          </w:p>
        </w:tc>
        <w:tc>
          <w:tcPr>
            <w:tcW w:w="1680" w:type="dxa"/>
            <w:vAlign w:val="center"/>
          </w:tcPr>
          <w:p>
            <w:pPr>
              <w:pStyle w:val="169"/>
              <w:rPr>
                <w:snapToGrid w:val="0"/>
              </w:rPr>
            </w:pPr>
            <w:r>
              <w:rPr>
                <w:rFonts w:hint="eastAsia"/>
                <w:snapToGrid w:val="0"/>
              </w:rPr>
              <w:t>0</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rPr>
                <w:snapToGrid w:val="0"/>
                <w:spacing w:val="-1"/>
              </w:rPr>
            </w:pPr>
            <w:r>
              <w:rPr>
                <w:rFonts w:hint="eastAsia"/>
                <w:snapToGrid w:val="0"/>
                <w:spacing w:val="-1"/>
              </w:rPr>
              <w:t>0.00256</w:t>
            </w:r>
            <w:r>
              <w:rPr>
                <w:rFonts w:hint="eastAsia"/>
                <w:snapToGrid w:val="0"/>
              </w:rPr>
              <w:t>t</w:t>
            </w:r>
            <w:r>
              <w:rPr>
                <w:snapToGrid w:val="0"/>
              </w:rPr>
              <w:t>/a</w:t>
            </w:r>
          </w:p>
        </w:tc>
        <w:tc>
          <w:tcPr>
            <w:tcW w:w="1530" w:type="dxa"/>
            <w:vAlign w:val="center"/>
          </w:tcPr>
          <w:p>
            <w:pPr>
              <w:pStyle w:val="169"/>
              <w:rPr>
                <w:snapToGrid w:val="0"/>
              </w:rPr>
            </w:pPr>
            <w:r>
              <w:rPr>
                <w:rFonts w:hint="eastAsia"/>
                <w:snapToGrid w:val="0"/>
              </w:rPr>
              <w:t>0</w:t>
            </w:r>
          </w:p>
        </w:tc>
        <w:tc>
          <w:tcPr>
            <w:tcW w:w="1842" w:type="dxa"/>
            <w:vAlign w:val="center"/>
          </w:tcPr>
          <w:p>
            <w:pPr>
              <w:pStyle w:val="169"/>
              <w:rPr>
                <w:snapToGrid w:val="0"/>
              </w:rPr>
            </w:pPr>
            <w:r>
              <w:rPr>
                <w:rFonts w:hint="eastAsia"/>
                <w:snapToGrid w:val="0"/>
                <w:spacing w:val="-1"/>
              </w:rPr>
              <w:t>0.00256</w:t>
            </w:r>
            <w:r>
              <w:rPr>
                <w:rFonts w:hint="eastAsia"/>
                <w:snapToGrid w:val="0"/>
              </w:rPr>
              <w:t>t</w:t>
            </w:r>
            <w:r>
              <w:rPr>
                <w:snapToGrid w:val="0"/>
              </w:rPr>
              <w:t>/a</w:t>
            </w:r>
          </w:p>
        </w:tc>
        <w:tc>
          <w:tcPr>
            <w:tcW w:w="1120" w:type="dxa"/>
            <w:vAlign w:val="center"/>
          </w:tcPr>
          <w:p>
            <w:pPr>
              <w:pStyle w:val="169"/>
              <w:rPr>
                <w:snapToGrid w:val="0"/>
                <w:spacing w:val="-1"/>
              </w:rPr>
            </w:pPr>
            <w:r>
              <w:rPr>
                <w:rFonts w:hint="eastAsia"/>
                <w:snapToGrid w:val="0"/>
                <w:spacing w:val="-1"/>
              </w:rPr>
              <w:t>+0.00256</w:t>
            </w:r>
            <w:r>
              <w:rPr>
                <w:rFonts w:hint="eastAsia"/>
                <w:snapToGrid w:val="0"/>
              </w:rPr>
              <w:t>t</w:t>
            </w:r>
            <w:r>
              <w:rPr>
                <w:snapToGrid w:val="0"/>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86"/>
            </w:pPr>
            <w:r>
              <w:rPr>
                <w:rFonts w:hint="eastAsia"/>
              </w:rPr>
              <w:t>铅+镉及其化合物</w:t>
            </w:r>
          </w:p>
        </w:tc>
        <w:tc>
          <w:tcPr>
            <w:tcW w:w="1680" w:type="dxa"/>
            <w:vAlign w:val="center"/>
          </w:tcPr>
          <w:p>
            <w:pPr>
              <w:pStyle w:val="169"/>
              <w:rPr>
                <w:snapToGrid w:val="0"/>
              </w:rPr>
            </w:pPr>
            <w:r>
              <w:rPr>
                <w:rFonts w:hint="eastAsia"/>
                <w:snapToGrid w:val="0"/>
              </w:rPr>
              <w:t>0</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rPr>
                <w:snapToGrid w:val="0"/>
                <w:spacing w:val="-1"/>
              </w:rPr>
            </w:pPr>
            <w:r>
              <w:rPr>
                <w:rFonts w:hint="eastAsia"/>
                <w:snapToGrid w:val="0"/>
                <w:spacing w:val="-1"/>
              </w:rPr>
              <w:t>0.02796</w:t>
            </w:r>
            <w:r>
              <w:rPr>
                <w:rFonts w:hint="eastAsia"/>
                <w:snapToGrid w:val="0"/>
              </w:rPr>
              <w:t>t</w:t>
            </w:r>
            <w:r>
              <w:rPr>
                <w:snapToGrid w:val="0"/>
              </w:rPr>
              <w:t>/a</w:t>
            </w:r>
          </w:p>
        </w:tc>
        <w:tc>
          <w:tcPr>
            <w:tcW w:w="1530" w:type="dxa"/>
            <w:vAlign w:val="center"/>
          </w:tcPr>
          <w:p>
            <w:pPr>
              <w:pStyle w:val="169"/>
              <w:rPr>
                <w:snapToGrid w:val="0"/>
              </w:rPr>
            </w:pPr>
            <w:r>
              <w:rPr>
                <w:rFonts w:hint="eastAsia"/>
                <w:snapToGrid w:val="0"/>
              </w:rPr>
              <w:t>0</w:t>
            </w:r>
          </w:p>
        </w:tc>
        <w:tc>
          <w:tcPr>
            <w:tcW w:w="1842" w:type="dxa"/>
            <w:vAlign w:val="center"/>
          </w:tcPr>
          <w:p>
            <w:pPr>
              <w:pStyle w:val="169"/>
              <w:rPr>
                <w:snapToGrid w:val="0"/>
              </w:rPr>
            </w:pPr>
            <w:r>
              <w:rPr>
                <w:rFonts w:hint="eastAsia"/>
                <w:snapToGrid w:val="0"/>
                <w:spacing w:val="-1"/>
              </w:rPr>
              <w:t>0.02796</w:t>
            </w:r>
            <w:r>
              <w:rPr>
                <w:rFonts w:hint="eastAsia"/>
                <w:snapToGrid w:val="0"/>
              </w:rPr>
              <w:t>t</w:t>
            </w:r>
            <w:r>
              <w:rPr>
                <w:snapToGrid w:val="0"/>
              </w:rPr>
              <w:t>/a</w:t>
            </w:r>
          </w:p>
        </w:tc>
        <w:tc>
          <w:tcPr>
            <w:tcW w:w="1120" w:type="dxa"/>
            <w:vAlign w:val="center"/>
          </w:tcPr>
          <w:p>
            <w:pPr>
              <w:pStyle w:val="169"/>
              <w:rPr>
                <w:snapToGrid w:val="0"/>
                <w:spacing w:val="-1"/>
              </w:rPr>
            </w:pPr>
            <w:r>
              <w:rPr>
                <w:rFonts w:hint="eastAsia"/>
                <w:snapToGrid w:val="0"/>
                <w:spacing w:val="-1"/>
              </w:rPr>
              <w:t>+0.02796</w:t>
            </w:r>
            <w:r>
              <w:rPr>
                <w:rFonts w:hint="eastAsia"/>
                <w:snapToGrid w:val="0"/>
              </w:rPr>
              <w:t xml:space="preserve"> t</w:t>
            </w:r>
            <w:r>
              <w:rPr>
                <w:snapToGrid w:val="0"/>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86"/>
            </w:pPr>
            <w:r>
              <w:rPr>
                <w:rFonts w:hint="eastAsia"/>
              </w:rPr>
              <w:t>铬及其化合物</w:t>
            </w:r>
          </w:p>
        </w:tc>
        <w:tc>
          <w:tcPr>
            <w:tcW w:w="1680" w:type="dxa"/>
            <w:vAlign w:val="center"/>
          </w:tcPr>
          <w:p>
            <w:pPr>
              <w:pStyle w:val="169"/>
              <w:rPr>
                <w:snapToGrid w:val="0"/>
              </w:rPr>
            </w:pPr>
            <w:r>
              <w:rPr>
                <w:rFonts w:hint="eastAsia"/>
                <w:snapToGrid w:val="0"/>
              </w:rPr>
              <w:t>0</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rPr>
                <w:snapToGrid w:val="0"/>
                <w:spacing w:val="-1"/>
              </w:rPr>
            </w:pPr>
            <w:r>
              <w:rPr>
                <w:rFonts w:hint="eastAsia"/>
                <w:snapToGrid w:val="0"/>
                <w:spacing w:val="-1"/>
              </w:rPr>
              <w:t>4.1×10</w:t>
            </w:r>
            <w:r>
              <w:rPr>
                <w:rFonts w:hint="eastAsia"/>
                <w:snapToGrid w:val="0"/>
                <w:spacing w:val="-1"/>
                <w:vertAlign w:val="superscript"/>
              </w:rPr>
              <w:t>-6</w:t>
            </w:r>
            <w:r>
              <w:rPr>
                <w:rFonts w:hint="eastAsia"/>
                <w:snapToGrid w:val="0"/>
              </w:rPr>
              <w:t>t</w:t>
            </w:r>
            <w:r>
              <w:rPr>
                <w:snapToGrid w:val="0"/>
              </w:rPr>
              <w:t>/a</w:t>
            </w:r>
          </w:p>
        </w:tc>
        <w:tc>
          <w:tcPr>
            <w:tcW w:w="1530" w:type="dxa"/>
            <w:vAlign w:val="center"/>
          </w:tcPr>
          <w:p>
            <w:pPr>
              <w:pStyle w:val="169"/>
              <w:rPr>
                <w:snapToGrid w:val="0"/>
              </w:rPr>
            </w:pPr>
            <w:r>
              <w:rPr>
                <w:rFonts w:hint="eastAsia"/>
                <w:snapToGrid w:val="0"/>
              </w:rPr>
              <w:t>0</w:t>
            </w:r>
          </w:p>
        </w:tc>
        <w:tc>
          <w:tcPr>
            <w:tcW w:w="1842" w:type="dxa"/>
            <w:vAlign w:val="center"/>
          </w:tcPr>
          <w:p>
            <w:pPr>
              <w:pStyle w:val="169"/>
              <w:rPr>
                <w:snapToGrid w:val="0"/>
              </w:rPr>
            </w:pPr>
            <w:r>
              <w:rPr>
                <w:rFonts w:hint="eastAsia"/>
                <w:snapToGrid w:val="0"/>
                <w:spacing w:val="-1"/>
              </w:rPr>
              <w:t>4.1×10</w:t>
            </w:r>
            <w:r>
              <w:rPr>
                <w:rFonts w:hint="eastAsia"/>
                <w:snapToGrid w:val="0"/>
                <w:spacing w:val="-1"/>
                <w:vertAlign w:val="superscript"/>
              </w:rPr>
              <w:t>-6</w:t>
            </w:r>
            <w:r>
              <w:rPr>
                <w:rFonts w:hint="eastAsia"/>
                <w:snapToGrid w:val="0"/>
              </w:rPr>
              <w:t>t</w:t>
            </w:r>
            <w:r>
              <w:rPr>
                <w:snapToGrid w:val="0"/>
              </w:rPr>
              <w:t>/a</w:t>
            </w:r>
          </w:p>
        </w:tc>
        <w:tc>
          <w:tcPr>
            <w:tcW w:w="1120" w:type="dxa"/>
            <w:vAlign w:val="center"/>
          </w:tcPr>
          <w:p>
            <w:pPr>
              <w:pStyle w:val="169"/>
              <w:rPr>
                <w:snapToGrid w:val="0"/>
                <w:spacing w:val="-1"/>
              </w:rPr>
            </w:pPr>
            <w:r>
              <w:rPr>
                <w:rFonts w:hint="eastAsia"/>
                <w:snapToGrid w:val="0"/>
                <w:spacing w:val="-1"/>
              </w:rPr>
              <w:t>+4.1×10</w:t>
            </w:r>
            <w:r>
              <w:rPr>
                <w:rFonts w:hint="eastAsia"/>
                <w:snapToGrid w:val="0"/>
                <w:spacing w:val="-1"/>
                <w:vertAlign w:val="superscript"/>
              </w:rPr>
              <w:t>-6</w:t>
            </w:r>
            <w:r>
              <w:rPr>
                <w:rFonts w:hint="eastAsia"/>
                <w:snapToGrid w:val="0"/>
              </w:rPr>
              <w:t xml:space="preserve"> t</w:t>
            </w:r>
            <w:r>
              <w:rPr>
                <w:snapToGrid w:val="0"/>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restart"/>
            <w:vAlign w:val="center"/>
          </w:tcPr>
          <w:p>
            <w:pPr>
              <w:pStyle w:val="169"/>
              <w:rPr>
                <w:snapToGrid w:val="0"/>
              </w:rPr>
            </w:pPr>
            <w:r>
              <w:rPr>
                <w:rFonts w:hint="eastAsia"/>
                <w:snapToGrid w:val="0"/>
              </w:rPr>
              <w:t>废水</w:t>
            </w:r>
          </w:p>
        </w:tc>
        <w:tc>
          <w:tcPr>
            <w:tcW w:w="1400" w:type="dxa"/>
            <w:vAlign w:val="center"/>
          </w:tcPr>
          <w:p>
            <w:pPr>
              <w:pStyle w:val="169"/>
              <w:rPr>
                <w:snapToGrid w:val="0"/>
              </w:rPr>
            </w:pPr>
            <w:r>
              <w:t>COD</w:t>
            </w:r>
          </w:p>
        </w:tc>
        <w:tc>
          <w:tcPr>
            <w:tcW w:w="1680" w:type="dxa"/>
            <w:vAlign w:val="center"/>
          </w:tcPr>
          <w:p>
            <w:pPr>
              <w:pStyle w:val="169"/>
              <w:rPr>
                <w:snapToGrid w:val="0"/>
              </w:rPr>
            </w:pPr>
            <w:r>
              <w:rPr>
                <w:rFonts w:hint="eastAsia"/>
                <w:snapToGrid w:val="0"/>
              </w:rPr>
              <w:t>1.88t</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69"/>
              <w:rPr>
                <w:snapToGrid w:val="0"/>
              </w:rPr>
            </w:pPr>
            <w:r>
              <w:rPr>
                <w:rFonts w:hint="eastAsia"/>
                <w:snapToGrid w:val="0"/>
              </w:rPr>
              <w:t>1.88t</w:t>
            </w:r>
            <w:r>
              <w:rPr>
                <w:snapToGrid w:val="0"/>
              </w:rPr>
              <w:t>/a</w:t>
            </w:r>
          </w:p>
        </w:tc>
        <w:tc>
          <w:tcPr>
            <w:tcW w:w="1120" w:type="dxa"/>
            <w:vAlign w:val="center"/>
          </w:tcPr>
          <w:p>
            <w:pPr>
              <w:pStyle w:val="169"/>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69"/>
              <w:rPr>
                <w:snapToGrid w:val="0"/>
              </w:rPr>
            </w:pPr>
            <w:r>
              <w:t>SS</w:t>
            </w:r>
          </w:p>
        </w:tc>
        <w:tc>
          <w:tcPr>
            <w:tcW w:w="1680" w:type="dxa"/>
            <w:vAlign w:val="center"/>
          </w:tcPr>
          <w:p>
            <w:pPr>
              <w:pStyle w:val="169"/>
              <w:rPr>
                <w:snapToGrid w:val="0"/>
              </w:rPr>
            </w:pPr>
            <w:r>
              <w:rPr>
                <w:rFonts w:hint="eastAsia"/>
                <w:snapToGrid w:val="0"/>
              </w:rPr>
              <w:t>0</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69"/>
            </w:pPr>
            <w:r>
              <w:rPr>
                <w:rFonts w:hint="eastAsia"/>
              </w:rPr>
              <w:t>0</w:t>
            </w:r>
          </w:p>
        </w:tc>
        <w:tc>
          <w:tcPr>
            <w:tcW w:w="1120" w:type="dxa"/>
            <w:vAlign w:val="center"/>
          </w:tcPr>
          <w:p>
            <w:pPr>
              <w:pStyle w:val="169"/>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69"/>
              <w:rPr>
                <w:snapToGrid w:val="0"/>
              </w:rPr>
            </w:pPr>
            <w:r>
              <w:t>NH</w:t>
            </w:r>
            <w:r>
              <w:rPr>
                <w:vertAlign w:val="subscript"/>
              </w:rPr>
              <w:t>3</w:t>
            </w:r>
            <w:r>
              <w:t>-N</w:t>
            </w:r>
          </w:p>
        </w:tc>
        <w:tc>
          <w:tcPr>
            <w:tcW w:w="1680" w:type="dxa"/>
            <w:vAlign w:val="center"/>
          </w:tcPr>
          <w:p>
            <w:pPr>
              <w:pStyle w:val="169"/>
              <w:rPr>
                <w:snapToGrid w:val="0"/>
              </w:rPr>
            </w:pPr>
            <w:r>
              <w:rPr>
                <w:rFonts w:hint="eastAsia"/>
                <w:snapToGrid w:val="0"/>
              </w:rPr>
              <w:t>0.25t</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69"/>
            </w:pPr>
            <w:r>
              <w:rPr>
                <w:rFonts w:hint="eastAsia"/>
              </w:rPr>
              <w:t>0.25t/a</w:t>
            </w:r>
          </w:p>
        </w:tc>
        <w:tc>
          <w:tcPr>
            <w:tcW w:w="1120" w:type="dxa"/>
            <w:vAlign w:val="center"/>
          </w:tcPr>
          <w:p>
            <w:pPr>
              <w:pStyle w:val="169"/>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69"/>
            </w:pPr>
            <w:r>
              <w:rPr>
                <w:rFonts w:hint="eastAsia"/>
              </w:rPr>
              <w:t>石油类</w:t>
            </w:r>
          </w:p>
        </w:tc>
        <w:tc>
          <w:tcPr>
            <w:tcW w:w="1680" w:type="dxa"/>
            <w:vAlign w:val="center"/>
          </w:tcPr>
          <w:p>
            <w:pPr>
              <w:pStyle w:val="169"/>
              <w:rPr>
                <w:snapToGrid w:val="0"/>
              </w:rPr>
            </w:pPr>
            <w:r>
              <w:rPr>
                <w:rFonts w:hint="eastAsia"/>
                <w:snapToGrid w:val="0"/>
              </w:rPr>
              <w:t>0</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69"/>
            </w:pPr>
            <w:r>
              <w:rPr>
                <w:rFonts w:hint="eastAsia"/>
              </w:rPr>
              <w:t>0</w:t>
            </w:r>
          </w:p>
        </w:tc>
        <w:tc>
          <w:tcPr>
            <w:tcW w:w="1120" w:type="dxa"/>
            <w:vAlign w:val="center"/>
          </w:tcPr>
          <w:p>
            <w:pPr>
              <w:pStyle w:val="169"/>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restart"/>
            <w:tcBorders>
              <w:top w:val="single" w:color="auto" w:sz="4" w:space="0"/>
            </w:tcBorders>
            <w:vAlign w:val="center"/>
          </w:tcPr>
          <w:p>
            <w:pPr>
              <w:pStyle w:val="169"/>
              <w:rPr>
                <w:snapToGrid w:val="0"/>
              </w:rPr>
            </w:pPr>
            <w:r>
              <w:rPr>
                <w:rFonts w:hint="eastAsia"/>
                <w:snapToGrid w:val="0"/>
              </w:rPr>
              <w:t>一般工业</w:t>
            </w:r>
          </w:p>
          <w:p>
            <w:pPr>
              <w:pStyle w:val="169"/>
              <w:rPr>
                <w:snapToGrid w:val="0"/>
              </w:rPr>
            </w:pPr>
            <w:r>
              <w:rPr>
                <w:rFonts w:hint="eastAsia"/>
                <w:snapToGrid w:val="0"/>
              </w:rPr>
              <w:t>固体废物</w:t>
            </w:r>
          </w:p>
        </w:tc>
        <w:tc>
          <w:tcPr>
            <w:tcW w:w="1400" w:type="dxa"/>
            <w:tcBorders>
              <w:top w:val="single" w:color="auto" w:sz="4" w:space="0"/>
            </w:tcBorders>
            <w:vAlign w:val="center"/>
          </w:tcPr>
          <w:p>
            <w:pPr>
              <w:pStyle w:val="186"/>
            </w:pPr>
            <w:r>
              <w:rPr>
                <w:rFonts w:hint="eastAsia"/>
              </w:rPr>
              <w:t>炉渣</w:t>
            </w:r>
          </w:p>
        </w:tc>
        <w:tc>
          <w:tcPr>
            <w:tcW w:w="1680" w:type="dxa"/>
            <w:vAlign w:val="center"/>
          </w:tcPr>
          <w:p>
            <w:pPr>
              <w:pStyle w:val="186"/>
            </w:pPr>
            <w:r>
              <w:rPr>
                <w:rFonts w:hint="eastAsia"/>
              </w:rPr>
              <w:t>169422</w:t>
            </w:r>
            <w:r>
              <w:rPr>
                <w:rFonts w:hint="eastAsia"/>
                <w:snapToGrid w:val="0"/>
              </w:rPr>
              <w:t>t</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2373</w:t>
            </w:r>
            <w:r>
              <w:rPr>
                <w:rFonts w:hint="eastAsia"/>
                <w:snapToGrid w:val="0"/>
              </w:rPr>
              <w:t>t</w:t>
            </w:r>
            <w:r>
              <w:rPr>
                <w:snapToGrid w:val="0"/>
              </w:rPr>
              <w:t>/a</w:t>
            </w:r>
          </w:p>
        </w:tc>
        <w:tc>
          <w:tcPr>
            <w:tcW w:w="1530" w:type="dxa"/>
            <w:vAlign w:val="center"/>
          </w:tcPr>
          <w:p>
            <w:pPr>
              <w:pStyle w:val="169"/>
              <w:rPr>
                <w:snapToGrid w:val="0"/>
              </w:rPr>
            </w:pPr>
            <w:r>
              <w:rPr>
                <w:rFonts w:hint="eastAsia"/>
                <w:snapToGrid w:val="0"/>
              </w:rPr>
              <w:t>0</w:t>
            </w:r>
          </w:p>
        </w:tc>
        <w:tc>
          <w:tcPr>
            <w:tcW w:w="1842" w:type="dxa"/>
            <w:vAlign w:val="center"/>
          </w:tcPr>
          <w:p>
            <w:pPr>
              <w:pStyle w:val="186"/>
            </w:pPr>
            <w:r>
              <w:rPr>
                <w:rFonts w:hint="eastAsia"/>
              </w:rPr>
              <w:t>171795</w:t>
            </w:r>
            <w:r>
              <w:rPr>
                <w:rFonts w:hint="eastAsia"/>
                <w:snapToGrid w:val="0"/>
              </w:rPr>
              <w:t>t</w:t>
            </w:r>
            <w:r>
              <w:rPr>
                <w:snapToGrid w:val="0"/>
              </w:rPr>
              <w:t>/a</w:t>
            </w:r>
          </w:p>
        </w:tc>
        <w:tc>
          <w:tcPr>
            <w:tcW w:w="1120" w:type="dxa"/>
            <w:vAlign w:val="center"/>
          </w:tcPr>
          <w:p>
            <w:pPr>
              <w:pStyle w:val="169"/>
            </w:pPr>
            <w:r>
              <w:rPr>
                <w:rFonts w:hint="eastAsia"/>
              </w:rPr>
              <w:t>+2373</w:t>
            </w:r>
            <w:r>
              <w:rPr>
                <w:rFonts w:hint="eastAsia"/>
                <w:snapToGrid w:val="0"/>
              </w:rPr>
              <w:t>t</w:t>
            </w:r>
            <w:r>
              <w:rPr>
                <w:snapToGrid w:val="0"/>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86"/>
            </w:pPr>
            <w:r>
              <w:rPr>
                <w:rFonts w:hint="eastAsia"/>
              </w:rPr>
              <w:t>废耐火材料</w:t>
            </w:r>
          </w:p>
        </w:tc>
        <w:tc>
          <w:tcPr>
            <w:tcW w:w="1680" w:type="dxa"/>
            <w:vAlign w:val="center"/>
          </w:tcPr>
          <w:p>
            <w:pPr>
              <w:pStyle w:val="186"/>
            </w:pPr>
            <w:r>
              <w:rPr>
                <w:rFonts w:hint="eastAsia"/>
              </w:rPr>
              <w:t>1580</w:t>
            </w:r>
            <w:r>
              <w:rPr>
                <w:rFonts w:hint="eastAsia"/>
                <w:snapToGrid w:val="0"/>
              </w:rPr>
              <w:t>t</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86"/>
            </w:pPr>
            <w:r>
              <w:rPr>
                <w:rFonts w:hint="eastAsia"/>
              </w:rPr>
              <w:t>1580</w:t>
            </w:r>
            <w:r>
              <w:rPr>
                <w:rFonts w:hint="eastAsia"/>
                <w:snapToGrid w:val="0"/>
              </w:rPr>
              <w:t>t</w:t>
            </w:r>
            <w:r>
              <w:rPr>
                <w:snapToGrid w:val="0"/>
              </w:rPr>
              <w:t>/a</w:t>
            </w:r>
          </w:p>
        </w:tc>
        <w:tc>
          <w:tcPr>
            <w:tcW w:w="1120" w:type="dxa"/>
            <w:vAlign w:val="center"/>
          </w:tcPr>
          <w:p>
            <w:pPr>
              <w:pStyle w:val="169"/>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86"/>
            </w:pPr>
            <w:r>
              <w:rPr>
                <w:rFonts w:hint="eastAsia"/>
              </w:rPr>
              <w:t>氧化铁皮</w:t>
            </w:r>
          </w:p>
        </w:tc>
        <w:tc>
          <w:tcPr>
            <w:tcW w:w="1680" w:type="dxa"/>
            <w:vAlign w:val="center"/>
          </w:tcPr>
          <w:p>
            <w:pPr>
              <w:pStyle w:val="186"/>
            </w:pPr>
            <w:r>
              <w:rPr>
                <w:rFonts w:hint="eastAsia"/>
              </w:rPr>
              <w:t>3262</w:t>
            </w:r>
            <w:r>
              <w:rPr>
                <w:rFonts w:hint="eastAsia"/>
                <w:snapToGrid w:val="0"/>
              </w:rPr>
              <w:t>t</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86"/>
            </w:pPr>
            <w:r>
              <w:rPr>
                <w:rFonts w:hint="eastAsia"/>
              </w:rPr>
              <w:t>3262</w:t>
            </w:r>
            <w:r>
              <w:rPr>
                <w:rFonts w:hint="eastAsia"/>
                <w:snapToGrid w:val="0"/>
              </w:rPr>
              <w:t>t</w:t>
            </w:r>
            <w:r>
              <w:rPr>
                <w:snapToGrid w:val="0"/>
              </w:rPr>
              <w:t>/a</w:t>
            </w:r>
          </w:p>
        </w:tc>
        <w:tc>
          <w:tcPr>
            <w:tcW w:w="1120" w:type="dxa"/>
            <w:vAlign w:val="center"/>
          </w:tcPr>
          <w:p>
            <w:pPr>
              <w:pStyle w:val="169"/>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86"/>
            </w:pPr>
            <w:r>
              <w:rPr>
                <w:rFonts w:hint="eastAsia"/>
              </w:rPr>
              <w:t>剪切废料</w:t>
            </w:r>
          </w:p>
        </w:tc>
        <w:tc>
          <w:tcPr>
            <w:tcW w:w="1680" w:type="dxa"/>
            <w:vAlign w:val="center"/>
          </w:tcPr>
          <w:p>
            <w:pPr>
              <w:pStyle w:val="186"/>
            </w:pPr>
            <w:r>
              <w:rPr>
                <w:rFonts w:hint="eastAsia"/>
              </w:rPr>
              <w:t>37512</w:t>
            </w:r>
            <w:r>
              <w:rPr>
                <w:rFonts w:hint="eastAsia"/>
                <w:snapToGrid w:val="0"/>
              </w:rPr>
              <w:t>t</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86"/>
            </w:pPr>
            <w:r>
              <w:rPr>
                <w:rFonts w:hint="eastAsia"/>
              </w:rPr>
              <w:t>37512</w:t>
            </w:r>
            <w:r>
              <w:rPr>
                <w:rFonts w:hint="eastAsia"/>
                <w:snapToGrid w:val="0"/>
              </w:rPr>
              <w:t>t</w:t>
            </w:r>
            <w:r>
              <w:rPr>
                <w:snapToGrid w:val="0"/>
              </w:rPr>
              <w:t>/a</w:t>
            </w:r>
          </w:p>
        </w:tc>
        <w:tc>
          <w:tcPr>
            <w:tcW w:w="1120" w:type="dxa"/>
            <w:vAlign w:val="center"/>
          </w:tcPr>
          <w:p>
            <w:pPr>
              <w:pStyle w:val="169"/>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86"/>
            </w:pPr>
            <w:r>
              <w:rPr>
                <w:rFonts w:hint="eastAsia"/>
              </w:rPr>
              <w:t>不合格钢</w:t>
            </w:r>
            <w:r>
              <w:rPr>
                <w:rFonts w:hint="eastAsia"/>
                <w:bCs/>
              </w:rPr>
              <w:t>材</w:t>
            </w:r>
          </w:p>
        </w:tc>
        <w:tc>
          <w:tcPr>
            <w:tcW w:w="1680" w:type="dxa"/>
            <w:vAlign w:val="center"/>
          </w:tcPr>
          <w:p>
            <w:pPr>
              <w:pStyle w:val="186"/>
            </w:pPr>
            <w:r>
              <w:rPr>
                <w:rFonts w:hint="eastAsia"/>
              </w:rPr>
              <w:t>10826</w:t>
            </w:r>
            <w:r>
              <w:rPr>
                <w:rFonts w:hint="eastAsia"/>
                <w:snapToGrid w:val="0"/>
              </w:rPr>
              <w:t>t</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86"/>
            </w:pPr>
            <w:r>
              <w:rPr>
                <w:rFonts w:hint="eastAsia"/>
              </w:rPr>
              <w:t>10826</w:t>
            </w:r>
            <w:r>
              <w:rPr>
                <w:rFonts w:hint="eastAsia"/>
                <w:snapToGrid w:val="0"/>
              </w:rPr>
              <w:t>t</w:t>
            </w:r>
            <w:r>
              <w:rPr>
                <w:snapToGrid w:val="0"/>
              </w:rPr>
              <w:t>/a</w:t>
            </w:r>
          </w:p>
        </w:tc>
        <w:tc>
          <w:tcPr>
            <w:tcW w:w="1120" w:type="dxa"/>
            <w:vAlign w:val="center"/>
          </w:tcPr>
          <w:p>
            <w:pPr>
              <w:pStyle w:val="169"/>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86"/>
            </w:pPr>
            <w:r>
              <w:rPr>
                <w:rFonts w:hint="eastAsia"/>
              </w:rPr>
              <w:t>精炼炉除尘灰</w:t>
            </w:r>
          </w:p>
        </w:tc>
        <w:tc>
          <w:tcPr>
            <w:tcW w:w="1680" w:type="dxa"/>
            <w:vAlign w:val="center"/>
          </w:tcPr>
          <w:p>
            <w:pPr>
              <w:pStyle w:val="186"/>
            </w:pPr>
            <w:r>
              <w:rPr>
                <w:rFonts w:hint="eastAsia" w:hAnsi="宋体"/>
              </w:rPr>
              <w:t>750</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86"/>
            </w:pPr>
            <w:r>
              <w:rPr>
                <w:rFonts w:hint="eastAsia" w:hAnsi="宋体"/>
              </w:rPr>
              <w:t>750</w:t>
            </w:r>
            <w:r>
              <w:rPr>
                <w:rFonts w:hint="eastAsia"/>
                <w:snapToGrid w:val="0"/>
              </w:rPr>
              <w:t>t</w:t>
            </w:r>
            <w:r>
              <w:rPr>
                <w:snapToGrid w:val="0"/>
              </w:rPr>
              <w:t>/a</w:t>
            </w:r>
          </w:p>
        </w:tc>
        <w:tc>
          <w:tcPr>
            <w:tcW w:w="1120" w:type="dxa"/>
            <w:vAlign w:val="center"/>
          </w:tcPr>
          <w:p>
            <w:pPr>
              <w:pStyle w:val="169"/>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restart"/>
            <w:vAlign w:val="center"/>
          </w:tcPr>
          <w:p>
            <w:pPr>
              <w:pStyle w:val="169"/>
              <w:rPr>
                <w:snapToGrid w:val="0"/>
              </w:rPr>
            </w:pPr>
            <w:r>
              <w:rPr>
                <w:rFonts w:hint="eastAsia"/>
                <w:snapToGrid w:val="0"/>
              </w:rPr>
              <w:t>危险废物</w:t>
            </w:r>
          </w:p>
        </w:tc>
        <w:tc>
          <w:tcPr>
            <w:tcW w:w="1400" w:type="dxa"/>
            <w:vAlign w:val="center"/>
          </w:tcPr>
          <w:p>
            <w:pPr>
              <w:pStyle w:val="186"/>
            </w:pPr>
            <w:r>
              <w:rPr>
                <w:rFonts w:hint="eastAsia"/>
              </w:rPr>
              <w:t>电炉除尘灰</w:t>
            </w:r>
          </w:p>
        </w:tc>
        <w:tc>
          <w:tcPr>
            <w:tcW w:w="1680" w:type="dxa"/>
            <w:vAlign w:val="center"/>
          </w:tcPr>
          <w:p>
            <w:pPr>
              <w:pStyle w:val="169"/>
              <w:rPr>
                <w:snapToGrid w:val="0"/>
              </w:rPr>
            </w:pPr>
            <w:r>
              <w:rPr>
                <w:rFonts w:hint="eastAsia"/>
                <w:snapToGrid w:val="0"/>
              </w:rPr>
              <w:t>4980</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t>-</w:t>
            </w:r>
            <w:r>
              <w:rPr>
                <w:rFonts w:hint="eastAsia"/>
              </w:rPr>
              <w:t>3221</w:t>
            </w:r>
            <w:r>
              <w:rPr>
                <w:rFonts w:hint="eastAsia"/>
                <w:snapToGrid w:val="0"/>
              </w:rPr>
              <w:t>t</w:t>
            </w:r>
            <w:r>
              <w:rPr>
                <w:snapToGrid w:val="0"/>
              </w:rPr>
              <w:t>/a</w:t>
            </w:r>
          </w:p>
        </w:tc>
        <w:tc>
          <w:tcPr>
            <w:tcW w:w="1530" w:type="dxa"/>
            <w:vAlign w:val="center"/>
          </w:tcPr>
          <w:p>
            <w:pPr>
              <w:pStyle w:val="169"/>
              <w:rPr>
                <w:snapToGrid w:val="0"/>
              </w:rPr>
            </w:pPr>
            <w:r>
              <w:rPr>
                <w:rFonts w:hint="eastAsia"/>
                <w:snapToGrid w:val="0"/>
              </w:rPr>
              <w:t>0</w:t>
            </w:r>
          </w:p>
        </w:tc>
        <w:tc>
          <w:tcPr>
            <w:tcW w:w="1842" w:type="dxa"/>
            <w:vAlign w:val="center"/>
          </w:tcPr>
          <w:p>
            <w:pPr>
              <w:pStyle w:val="169"/>
            </w:pPr>
            <w:r>
              <w:rPr>
                <w:rFonts w:hint="eastAsia"/>
              </w:rPr>
              <w:t>1759</w:t>
            </w:r>
            <w:r>
              <w:t>t/a</w:t>
            </w:r>
          </w:p>
        </w:tc>
        <w:tc>
          <w:tcPr>
            <w:tcW w:w="1120" w:type="dxa"/>
            <w:vAlign w:val="center"/>
          </w:tcPr>
          <w:p>
            <w:pPr>
              <w:pStyle w:val="169"/>
            </w:pPr>
            <w:r>
              <w:t>-</w:t>
            </w:r>
            <w:r>
              <w:rPr>
                <w:rFonts w:hint="eastAsia"/>
              </w:rPr>
              <w:t>3221</w:t>
            </w:r>
            <w:r>
              <w:rPr>
                <w:snapToGrid w:val="0"/>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86"/>
            </w:pPr>
            <w:r>
              <w:rPr>
                <w:rFonts w:hint="eastAsia"/>
              </w:rPr>
              <w:t>废机油</w:t>
            </w:r>
          </w:p>
        </w:tc>
        <w:tc>
          <w:tcPr>
            <w:tcW w:w="1680" w:type="dxa"/>
            <w:vAlign w:val="center"/>
          </w:tcPr>
          <w:p>
            <w:pPr>
              <w:pStyle w:val="186"/>
            </w:pPr>
            <w:r>
              <w:rPr>
                <w:rFonts w:hint="eastAsia"/>
              </w:rPr>
              <w:t>8</w:t>
            </w:r>
            <w:r>
              <w:rPr>
                <w:rFonts w:hint="eastAsia"/>
                <w:snapToGrid w:val="0"/>
              </w:rPr>
              <w:t>t</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86"/>
            </w:pPr>
            <w:r>
              <w:rPr>
                <w:rFonts w:hint="eastAsia"/>
              </w:rPr>
              <w:t>8</w:t>
            </w:r>
            <w:r>
              <w:rPr>
                <w:rFonts w:hint="eastAsia"/>
                <w:snapToGrid w:val="0"/>
              </w:rPr>
              <w:t>t</w:t>
            </w:r>
            <w:r>
              <w:rPr>
                <w:snapToGrid w:val="0"/>
              </w:rPr>
              <w:t>/a</w:t>
            </w:r>
          </w:p>
        </w:tc>
        <w:tc>
          <w:tcPr>
            <w:tcW w:w="1120" w:type="dxa"/>
            <w:vAlign w:val="center"/>
          </w:tcPr>
          <w:p>
            <w:pPr>
              <w:pStyle w:val="169"/>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86"/>
            </w:pPr>
            <w:r>
              <w:rPr>
                <w:rFonts w:hint="eastAsia"/>
              </w:rPr>
              <w:t>废油渣</w:t>
            </w:r>
          </w:p>
        </w:tc>
        <w:tc>
          <w:tcPr>
            <w:tcW w:w="1680" w:type="dxa"/>
            <w:vAlign w:val="center"/>
          </w:tcPr>
          <w:p>
            <w:pPr>
              <w:pStyle w:val="186"/>
            </w:pPr>
            <w:r>
              <w:rPr>
                <w:rFonts w:hint="eastAsia"/>
              </w:rPr>
              <w:t>65</w:t>
            </w:r>
            <w:r>
              <w:rPr>
                <w:rFonts w:hint="eastAsia"/>
                <w:snapToGrid w:val="0"/>
              </w:rPr>
              <w:t>t</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86"/>
            </w:pPr>
            <w:r>
              <w:rPr>
                <w:rFonts w:hint="eastAsia"/>
              </w:rPr>
              <w:t>65</w:t>
            </w:r>
            <w:r>
              <w:rPr>
                <w:rFonts w:hint="eastAsia"/>
                <w:snapToGrid w:val="0"/>
              </w:rPr>
              <w:t>t</w:t>
            </w:r>
            <w:r>
              <w:rPr>
                <w:snapToGrid w:val="0"/>
              </w:rPr>
              <w:t>/a</w:t>
            </w:r>
          </w:p>
        </w:tc>
        <w:tc>
          <w:tcPr>
            <w:tcW w:w="1120" w:type="dxa"/>
            <w:vAlign w:val="center"/>
          </w:tcPr>
          <w:p>
            <w:pPr>
              <w:pStyle w:val="169"/>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86"/>
            </w:pPr>
            <w:r>
              <w:rPr>
                <w:rFonts w:hint="eastAsia"/>
              </w:rPr>
              <w:t>化验废液</w:t>
            </w:r>
          </w:p>
        </w:tc>
        <w:tc>
          <w:tcPr>
            <w:tcW w:w="1680" w:type="dxa"/>
            <w:vAlign w:val="center"/>
          </w:tcPr>
          <w:p>
            <w:pPr>
              <w:pStyle w:val="186"/>
            </w:pPr>
            <w:r>
              <w:rPr>
                <w:rFonts w:hint="eastAsia"/>
              </w:rPr>
              <w:t>0.01</w:t>
            </w:r>
            <w:r>
              <w:rPr>
                <w:rFonts w:hint="eastAsia"/>
                <w:snapToGrid w:val="0"/>
              </w:rPr>
              <w:t>t</w:t>
            </w:r>
            <w:r>
              <w:rPr>
                <w:snapToGrid w:val="0"/>
              </w:rPr>
              <w: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86"/>
            </w:pPr>
            <w:r>
              <w:rPr>
                <w:rFonts w:hint="eastAsia"/>
              </w:rPr>
              <w:t>0.01</w:t>
            </w:r>
            <w:r>
              <w:rPr>
                <w:rFonts w:hint="eastAsia"/>
                <w:snapToGrid w:val="0"/>
              </w:rPr>
              <w:t>t</w:t>
            </w:r>
            <w:r>
              <w:rPr>
                <w:snapToGrid w:val="0"/>
              </w:rPr>
              <w:t>/a</w:t>
            </w:r>
          </w:p>
        </w:tc>
        <w:tc>
          <w:tcPr>
            <w:tcW w:w="1120" w:type="dxa"/>
            <w:vAlign w:val="center"/>
          </w:tcPr>
          <w:p>
            <w:pPr>
              <w:pStyle w:val="169"/>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69" w:type="dxa"/>
            <w:vMerge w:val="continue"/>
            <w:vAlign w:val="center"/>
          </w:tcPr>
          <w:p>
            <w:pPr>
              <w:pStyle w:val="169"/>
              <w:rPr>
                <w:snapToGrid w:val="0"/>
              </w:rPr>
            </w:pPr>
          </w:p>
        </w:tc>
        <w:tc>
          <w:tcPr>
            <w:tcW w:w="1400" w:type="dxa"/>
            <w:vAlign w:val="center"/>
          </w:tcPr>
          <w:p>
            <w:pPr>
              <w:pStyle w:val="186"/>
            </w:pPr>
            <w:r>
              <w:rPr>
                <w:rFonts w:hint="eastAsia"/>
              </w:rPr>
              <w:t>废包装袋</w:t>
            </w:r>
          </w:p>
        </w:tc>
        <w:tc>
          <w:tcPr>
            <w:tcW w:w="1680" w:type="dxa"/>
            <w:vAlign w:val="center"/>
          </w:tcPr>
          <w:p>
            <w:pPr>
              <w:pStyle w:val="186"/>
            </w:pPr>
            <w:r>
              <w:rPr>
                <w:rFonts w:hint="eastAsia"/>
              </w:rPr>
              <w:t>0</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10</w:t>
            </w:r>
            <w:r>
              <w:rPr>
                <w:rFonts w:hint="eastAsia"/>
                <w:snapToGrid w:val="0"/>
              </w:rPr>
              <w:t>t</w:t>
            </w:r>
            <w:r>
              <w:rPr>
                <w:snapToGrid w:val="0"/>
              </w:rPr>
              <w:t>/a</w:t>
            </w:r>
          </w:p>
        </w:tc>
        <w:tc>
          <w:tcPr>
            <w:tcW w:w="1530" w:type="dxa"/>
            <w:vAlign w:val="center"/>
          </w:tcPr>
          <w:p>
            <w:pPr>
              <w:pStyle w:val="169"/>
              <w:rPr>
                <w:snapToGrid w:val="0"/>
              </w:rPr>
            </w:pPr>
            <w:r>
              <w:rPr>
                <w:rFonts w:hint="eastAsia"/>
                <w:snapToGrid w:val="0"/>
              </w:rPr>
              <w:t>0</w:t>
            </w:r>
          </w:p>
        </w:tc>
        <w:tc>
          <w:tcPr>
            <w:tcW w:w="1842" w:type="dxa"/>
            <w:vAlign w:val="center"/>
          </w:tcPr>
          <w:p>
            <w:pPr>
              <w:pStyle w:val="186"/>
            </w:pPr>
            <w:r>
              <w:rPr>
                <w:rFonts w:hint="eastAsia"/>
              </w:rPr>
              <w:t>10</w:t>
            </w:r>
            <w:r>
              <w:rPr>
                <w:rFonts w:hint="eastAsia"/>
                <w:snapToGrid w:val="0"/>
              </w:rPr>
              <w:t>t</w:t>
            </w:r>
            <w:r>
              <w:rPr>
                <w:snapToGrid w:val="0"/>
              </w:rPr>
              <w:t>/a</w:t>
            </w:r>
          </w:p>
        </w:tc>
        <w:tc>
          <w:tcPr>
            <w:tcW w:w="1120" w:type="dxa"/>
            <w:vAlign w:val="center"/>
          </w:tcPr>
          <w:p>
            <w:pPr>
              <w:pStyle w:val="169"/>
            </w:pPr>
            <w:r>
              <w:rPr>
                <w:rFonts w:hint="eastAsia"/>
                <w:snapToGrid w:val="0"/>
              </w:rPr>
              <w:t>+10t</w:t>
            </w:r>
            <w:r>
              <w:rPr>
                <w:snapToGrid w:val="0"/>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969" w:type="dxa"/>
            <w:gridSpan w:val="2"/>
            <w:vAlign w:val="center"/>
          </w:tcPr>
          <w:p>
            <w:pPr>
              <w:pStyle w:val="169"/>
            </w:pPr>
            <w:r>
              <w:rPr>
                <w:rFonts w:hint="eastAsia"/>
              </w:rPr>
              <w:t>生活垃圾</w:t>
            </w:r>
          </w:p>
        </w:tc>
        <w:tc>
          <w:tcPr>
            <w:tcW w:w="1680" w:type="dxa"/>
            <w:vAlign w:val="center"/>
          </w:tcPr>
          <w:p>
            <w:pPr>
              <w:pStyle w:val="169"/>
              <w:rPr>
                <w:snapToGrid w:val="0"/>
              </w:rPr>
            </w:pPr>
            <w:r>
              <w:rPr>
                <w:rFonts w:hint="eastAsia"/>
                <w:snapToGrid w:val="0"/>
              </w:rPr>
              <w:t>97.8t/a</w:t>
            </w:r>
          </w:p>
        </w:tc>
        <w:tc>
          <w:tcPr>
            <w:tcW w:w="1261" w:type="dxa"/>
            <w:vAlign w:val="center"/>
          </w:tcPr>
          <w:p>
            <w:pPr>
              <w:pStyle w:val="169"/>
              <w:rPr>
                <w:snapToGrid w:val="0"/>
              </w:rPr>
            </w:pPr>
          </w:p>
        </w:tc>
        <w:tc>
          <w:tcPr>
            <w:tcW w:w="1680" w:type="dxa"/>
            <w:vAlign w:val="center"/>
          </w:tcPr>
          <w:p>
            <w:pPr>
              <w:pStyle w:val="169"/>
              <w:rPr>
                <w:snapToGrid w:val="0"/>
              </w:rPr>
            </w:pPr>
          </w:p>
        </w:tc>
        <w:tc>
          <w:tcPr>
            <w:tcW w:w="1540" w:type="dxa"/>
            <w:vAlign w:val="center"/>
          </w:tcPr>
          <w:p>
            <w:pPr>
              <w:pStyle w:val="169"/>
            </w:pPr>
            <w:r>
              <w:rPr>
                <w:rFonts w:hint="eastAsia"/>
              </w:rPr>
              <w:t>0</w:t>
            </w:r>
          </w:p>
        </w:tc>
        <w:tc>
          <w:tcPr>
            <w:tcW w:w="1530" w:type="dxa"/>
            <w:vAlign w:val="center"/>
          </w:tcPr>
          <w:p>
            <w:pPr>
              <w:pStyle w:val="169"/>
              <w:rPr>
                <w:snapToGrid w:val="0"/>
              </w:rPr>
            </w:pPr>
            <w:r>
              <w:rPr>
                <w:rFonts w:hint="eastAsia"/>
                <w:snapToGrid w:val="0"/>
              </w:rPr>
              <w:t>0</w:t>
            </w:r>
          </w:p>
        </w:tc>
        <w:tc>
          <w:tcPr>
            <w:tcW w:w="1842" w:type="dxa"/>
            <w:vAlign w:val="center"/>
          </w:tcPr>
          <w:p>
            <w:pPr>
              <w:pStyle w:val="169"/>
            </w:pPr>
            <w:r>
              <w:rPr>
                <w:rFonts w:hint="eastAsia"/>
              </w:rPr>
              <w:t>97.8</w:t>
            </w:r>
            <w:r>
              <w:t>t/a</w:t>
            </w:r>
          </w:p>
        </w:tc>
        <w:tc>
          <w:tcPr>
            <w:tcW w:w="1120" w:type="dxa"/>
            <w:vAlign w:val="center"/>
          </w:tcPr>
          <w:p>
            <w:pPr>
              <w:pStyle w:val="169"/>
            </w:pPr>
            <w:r>
              <w:rPr>
                <w:rFonts w:hint="eastAsia"/>
              </w:rPr>
              <w:t>0</w:t>
            </w:r>
          </w:p>
        </w:tc>
      </w:tr>
    </w:tbl>
    <w:p>
      <w:pPr>
        <w:pStyle w:val="158"/>
        <w:spacing w:before="24" w:after="24"/>
        <w:jc w:val="left"/>
      </w:pPr>
      <w:r>
        <w:rPr>
          <w:rFonts w:hint="eastAsia"/>
          <w:snapToGrid w:val="0"/>
        </w:rPr>
        <w:t>注：</w:t>
      </w:r>
      <w:r>
        <w:rPr>
          <w:snapToGrid w:val="0"/>
          <w:spacing w:val="-16"/>
        </w:rPr>
        <w:fldChar w:fldCharType="begin"/>
      </w:r>
      <w:r>
        <w:rPr>
          <w:snapToGrid w:val="0"/>
          <w:spacing w:val="-16"/>
        </w:rPr>
        <w:instrText xml:space="preserve"> = 6 \* GB3 \* MERGEFORMAT </w:instrText>
      </w:r>
      <w:r>
        <w:rPr>
          <w:snapToGrid w:val="0"/>
          <w:spacing w:val="-16"/>
        </w:rPr>
        <w:fldChar w:fldCharType="separate"/>
      </w:r>
      <w:r>
        <w:rPr>
          <w:rFonts w:hint="eastAsia"/>
        </w:rPr>
        <w:t>⑥</w:t>
      </w:r>
      <w:r>
        <w:rPr>
          <w:snapToGrid w:val="0"/>
          <w:spacing w:val="-16"/>
        </w:rPr>
        <w:fldChar w:fldCharType="end"/>
      </w:r>
      <w:r>
        <w:rPr>
          <w:snapToGrid w:val="0"/>
          <w:spacing w:val="-16"/>
        </w:rPr>
        <w:t>=</w:t>
      </w:r>
      <w:r>
        <w:rPr>
          <w:snapToGrid w:val="0"/>
        </w:rPr>
        <w:fldChar w:fldCharType="begin"/>
      </w:r>
      <w:r>
        <w:rPr>
          <w:snapToGrid w:val="0"/>
        </w:rPr>
        <w:instrText xml:space="preserve"> = 1 \* GB3 \* MERGEFORMAT </w:instrText>
      </w:r>
      <w:r>
        <w:rPr>
          <w:snapToGrid w:val="0"/>
        </w:rPr>
        <w:fldChar w:fldCharType="separate"/>
      </w:r>
      <w:r>
        <w:rPr>
          <w:rFonts w:hint="eastAsia"/>
        </w:rPr>
        <w:t>①</w:t>
      </w:r>
      <w:r>
        <w:rPr>
          <w:snapToGrid w:val="0"/>
        </w:rPr>
        <w:fldChar w:fldCharType="end"/>
      </w:r>
      <w:r>
        <w:rPr>
          <w:snapToGrid w:val="0"/>
        </w:rPr>
        <w:t>+</w:t>
      </w:r>
      <w:r>
        <w:rPr>
          <w:snapToGrid w:val="0"/>
        </w:rPr>
        <w:fldChar w:fldCharType="begin"/>
      </w:r>
      <w:r>
        <w:rPr>
          <w:snapToGrid w:val="0"/>
        </w:rPr>
        <w:instrText xml:space="preserve"> = 3 \* GB3 \* MERGEFORMAT </w:instrText>
      </w:r>
      <w:r>
        <w:rPr>
          <w:snapToGrid w:val="0"/>
        </w:rPr>
        <w:fldChar w:fldCharType="separate"/>
      </w:r>
      <w:r>
        <w:rPr>
          <w:rFonts w:hint="eastAsia"/>
        </w:rPr>
        <w:t>③</w:t>
      </w:r>
      <w:r>
        <w:rPr>
          <w:snapToGrid w:val="0"/>
        </w:rPr>
        <w:fldChar w:fldCharType="end"/>
      </w:r>
      <w:r>
        <w:rPr>
          <w:snapToGrid w:val="0"/>
        </w:rPr>
        <w:t>+</w:t>
      </w:r>
      <w:r>
        <w:rPr>
          <w:snapToGrid w:val="0"/>
        </w:rPr>
        <w:fldChar w:fldCharType="begin"/>
      </w:r>
      <w:r>
        <w:rPr>
          <w:snapToGrid w:val="0"/>
        </w:rPr>
        <w:instrText xml:space="preserve"> = 4 \* GB3 \* MERGEFORMAT </w:instrText>
      </w:r>
      <w:r>
        <w:rPr>
          <w:snapToGrid w:val="0"/>
        </w:rPr>
        <w:fldChar w:fldCharType="separate"/>
      </w:r>
      <w:r>
        <w:rPr>
          <w:rFonts w:hint="eastAsia"/>
        </w:rPr>
        <w:t>④</w:t>
      </w:r>
      <w:r>
        <w:rPr>
          <w:snapToGrid w:val="0"/>
        </w:rPr>
        <w:fldChar w:fldCharType="end"/>
      </w:r>
      <w:r>
        <w:rPr>
          <w:snapToGrid w:val="0"/>
        </w:rPr>
        <w:t>-</w:t>
      </w:r>
      <w:r>
        <w:rPr>
          <w:snapToGrid w:val="0"/>
          <w:spacing w:val="-16"/>
        </w:rPr>
        <w:fldChar w:fldCharType="begin"/>
      </w:r>
      <w:r>
        <w:rPr>
          <w:snapToGrid w:val="0"/>
          <w:spacing w:val="-16"/>
        </w:rPr>
        <w:instrText xml:space="preserve"> = 5 \* GB3 \* MERGEFORMAT </w:instrText>
      </w:r>
      <w:r>
        <w:rPr>
          <w:snapToGrid w:val="0"/>
          <w:spacing w:val="-16"/>
        </w:rPr>
        <w:fldChar w:fldCharType="separate"/>
      </w:r>
      <w:r>
        <w:rPr>
          <w:rFonts w:hint="eastAsia"/>
        </w:rPr>
        <w:t>⑤</w:t>
      </w:r>
      <w:r>
        <w:rPr>
          <w:snapToGrid w:val="0"/>
          <w:spacing w:val="-16"/>
        </w:rPr>
        <w:fldChar w:fldCharType="end"/>
      </w:r>
      <w:r>
        <w:rPr>
          <w:rFonts w:hint="eastAsia"/>
          <w:snapToGrid w:val="0"/>
          <w:spacing w:val="-16"/>
        </w:rPr>
        <w:t>；</w:t>
      </w:r>
      <w:r>
        <w:rPr>
          <w:snapToGrid w:val="0"/>
        </w:rPr>
        <w:fldChar w:fldCharType="begin"/>
      </w:r>
      <w:r>
        <w:rPr>
          <w:snapToGrid w:val="0"/>
        </w:rPr>
        <w:instrText xml:space="preserve"> = 7 \* GB3 \* MERGEFORMAT </w:instrText>
      </w:r>
      <w:r>
        <w:rPr>
          <w:snapToGrid w:val="0"/>
        </w:rPr>
        <w:fldChar w:fldCharType="separate"/>
      </w:r>
      <w:r>
        <w:rPr>
          <w:rFonts w:hint="eastAsia"/>
        </w:rPr>
        <w:t>⑦</w:t>
      </w:r>
      <w:r>
        <w:rPr>
          <w:snapToGrid w:val="0"/>
        </w:rPr>
        <w:fldChar w:fldCharType="end"/>
      </w:r>
      <w:r>
        <w:rPr>
          <w:snapToGrid w:val="0"/>
        </w:rPr>
        <w:t>=</w:t>
      </w:r>
      <w:r>
        <w:rPr>
          <w:snapToGrid w:val="0"/>
          <w:spacing w:val="-16"/>
        </w:rPr>
        <w:fldChar w:fldCharType="begin"/>
      </w:r>
      <w:r>
        <w:rPr>
          <w:snapToGrid w:val="0"/>
          <w:spacing w:val="-16"/>
        </w:rPr>
        <w:instrText xml:space="preserve"> = 6 \* GB3 \* MERGEFORMAT </w:instrText>
      </w:r>
      <w:r>
        <w:rPr>
          <w:snapToGrid w:val="0"/>
          <w:spacing w:val="-16"/>
        </w:rPr>
        <w:fldChar w:fldCharType="separate"/>
      </w:r>
      <w:r>
        <w:rPr>
          <w:rFonts w:hint="eastAsia"/>
        </w:rPr>
        <w:t>⑥</w:t>
      </w:r>
      <w:r>
        <w:rPr>
          <w:snapToGrid w:val="0"/>
          <w:spacing w:val="-16"/>
        </w:rPr>
        <w:fldChar w:fldCharType="end"/>
      </w:r>
      <w:r>
        <w:rPr>
          <w:snapToGrid w:val="0"/>
          <w:spacing w:val="-16"/>
        </w:rPr>
        <w:t>-</w:t>
      </w:r>
      <w:r>
        <w:rPr>
          <w:snapToGrid w:val="0"/>
        </w:rPr>
        <w:fldChar w:fldCharType="begin"/>
      </w:r>
      <w:r>
        <w:rPr>
          <w:snapToGrid w:val="0"/>
        </w:rPr>
        <w:instrText xml:space="preserve"> = 1 \* GB3 \* MERGEFORMAT </w:instrText>
      </w:r>
      <w:r>
        <w:rPr>
          <w:snapToGrid w:val="0"/>
        </w:rPr>
        <w:fldChar w:fldCharType="separate"/>
      </w:r>
      <w:r>
        <w:rPr>
          <w:rFonts w:hint="eastAsia"/>
        </w:rPr>
        <w:t>①</w:t>
      </w:r>
      <w:r>
        <w:rPr>
          <w:snapToGrid w:val="0"/>
        </w:rPr>
        <w:fldChar w:fldCharType="end"/>
      </w:r>
    </w:p>
    <w:sectPr>
      <w:pgSz w:w="16838" w:h="11906" w:orient="landscape"/>
      <w:pgMar w:top="1531" w:right="1701" w:bottom="1531" w:left="1701" w:header="851" w:footer="851"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 New Roman”“">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宋体繁体">
    <w:altName w:val="宋体"/>
    <w:panose1 w:val="00000000000000000000"/>
    <w:charset w:val="86"/>
    <w:family w:val="roma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五">
    <w:altName w:val="黑体"/>
    <w:panose1 w:val="00000000000000000000"/>
    <w:charset w:val="86"/>
    <w:family w:val="auto"/>
    <w:pitch w:val="default"/>
    <w:sig w:usb0="00000000" w:usb1="00000000" w:usb2="00000010" w:usb3="00000000" w:csb0="00040000" w:csb1="00000000"/>
  </w:font>
  <w:font w:name="汉鼎简书宋">
    <w:altName w:val="黑体"/>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Symusic">
    <w:altName w:val="Segoe Print"/>
    <w:panose1 w:val="00000400000000000000"/>
    <w:charset w:val="00"/>
    <w:family w:val="auto"/>
    <w:pitch w:val="default"/>
    <w:sig w:usb0="00000000" w:usb1="00000000" w:usb2="00000000" w:usb3="00000000" w:csb0="000001FF" w:csb1="00000000"/>
  </w:font>
  <w:font w:name="TimesNewRomanPSMT">
    <w:altName w:val="黑体"/>
    <w:panose1 w:val="00000000000000000000"/>
    <w:charset w:val="86"/>
    <w:family w:val="auto"/>
    <w:pitch w:val="default"/>
    <w:sig w:usb0="00000000" w:usb1="00000000" w:usb2="00000010" w:usb3="00000000" w:csb0="00060001" w:csb1="00000000"/>
  </w:font>
  <w:font w:name="隶书">
    <w:altName w:val="微软雅黑"/>
    <w:panose1 w:val="0201050906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 w:name="华文新魏">
    <w:panose1 w:val="02010800040101010101"/>
    <w:charset w:val="86"/>
    <w:family w:val="auto"/>
    <w:pitch w:val="default"/>
    <w:sig w:usb0="00000001" w:usb1="080F0000" w:usb2="00000000" w:usb3="00000000" w:csb0="00040000" w:csb1="00000000"/>
  </w:font>
  <w:font w:name="TimesNewRoman">
    <w:altName w:val="微软雅黑"/>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1"/>
    <w:family w:val="roman"/>
    <w:pitch w:val="default"/>
    <w:sig w:usb0="00000000" w:usb1="00000000" w:usb2="00000000" w:usb3="00000000" w:csb0="00000001" w:csb1="00000000"/>
  </w:font>
  <w:font w:name="_GB231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0000000000000000000"/>
    <w:charset w:val="86"/>
    <w:family w:val="swiss"/>
    <w:pitch w:val="default"/>
    <w:sig w:usb0="00000000" w:usb1="00000000" w:usb2="00000016" w:usb3="00000000" w:csb0="0004001F" w:csb1="00000000"/>
  </w:font>
  <w:font w:name="方正魏碑简体">
    <w:altName w:val="微软雅黑"/>
    <w:panose1 w:val="00000000000000000000"/>
    <w:charset w:val="86"/>
    <w:family w:val="auto"/>
    <w:pitch w:val="default"/>
    <w:sig w:usb0="00000000" w:usb1="00000000" w:usb2="0000001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Arial Rounded MT Bold">
    <w:altName w:val="Arial"/>
    <w:panose1 w:val="020F0704030504030204"/>
    <w:charset w:val="00"/>
    <w:family w:val="swiss"/>
    <w:pitch w:val="default"/>
    <w:sig w:usb0="00000000" w:usb1="00000000" w:usb2="00000000" w:usb3="00000000" w:csb0="00000001" w:csb1="00000000"/>
  </w:font>
  <w:font w:name="Century Schoolbook">
    <w:altName w:val="Segoe Print"/>
    <w:panose1 w:val="02040604050505020304"/>
    <w:charset w:val="00"/>
    <w:family w:val="roman"/>
    <w:pitch w:val="default"/>
    <w:sig w:usb0="00000000" w:usb1="00000000" w:usb2="00000000" w:usb3="00000000" w:csb0="0000009F" w:csb1="00000000"/>
  </w:font>
  <w:font w:name="Kai Titling">
    <w:altName w:val="黑体"/>
    <w:panose1 w:val="00000000000000000000"/>
    <w:charset w:val="86"/>
    <w:family w:val="auto"/>
    <w:pitch w:val="default"/>
    <w:sig w:usb0="00000000" w:usb1="00000000" w:usb2="00000010" w:usb3="00000000" w:csb0="00040000" w:csb1="00000000"/>
  </w:font>
  <w:font w:name="ӗԲ">
    <w:altName w:val="Times New Roman"/>
    <w:panose1 w:val="00000000000000000000"/>
    <w:charset w:val="00"/>
    <w:family w:val="auto"/>
    <w:pitch w:val="default"/>
    <w:sig w:usb0="00000000" w:usb1="00000000" w:usb2="00000000" w:usb3="00000000" w:csb0="00040001" w:csb1="00000000"/>
  </w:font>
  <w:font w:name="򌘺ڢ,  ڌ墬 ˎ̥">
    <w:altName w:val="宋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rPr>
        <w:rStyle w:val="135"/>
      </w:rPr>
    </w:pPr>
    <w:r>
      <w:fldChar w:fldCharType="begin"/>
    </w:r>
    <w:r>
      <w:rPr>
        <w:rStyle w:val="135"/>
      </w:rPr>
      <w:instrText xml:space="preserve">PAGE  </w:instrText>
    </w:r>
    <w:r>
      <w:fldChar w:fldCharType="end"/>
    </w:r>
  </w:p>
  <w:p>
    <w:pPr>
      <w:pStyle w:val="5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1194840"/>
      <w:docPartObj>
        <w:docPartGallery w:val="AutoText"/>
      </w:docPartObj>
    </w:sdtPr>
    <w:sdtContent>
      <w:p>
        <w:pPr>
          <w:pStyle w:val="55"/>
          <w:ind w:firstLine="360"/>
          <w:jc w:val="center"/>
        </w:pPr>
        <w:r>
          <w:fldChar w:fldCharType="begin"/>
        </w:r>
        <w:r>
          <w:instrText xml:space="preserve">PAGE   \* MERGEFORMAT</w:instrText>
        </w:r>
        <w:r>
          <w:fldChar w:fldCharType="separate"/>
        </w:r>
        <w:r>
          <w:rPr>
            <w:lang w:val="zh-CN"/>
          </w:rPr>
          <w:t>1</w:t>
        </w:r>
        <w:r>
          <w:fldChar w:fldCharType="end"/>
        </w:r>
      </w:p>
    </w:sdtContent>
  </w:sdt>
  <w:p>
    <w:pPr>
      <w:pStyle w:val="55"/>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4564138"/>
      <w:docPartObj>
        <w:docPartGallery w:val="AutoText"/>
      </w:docPartObj>
    </w:sdtPr>
    <w:sdtContent>
      <w:p>
        <w:pPr>
          <w:pStyle w:val="55"/>
          <w:ind w:firstLine="360"/>
          <w:jc w:val="center"/>
        </w:pPr>
        <w:r>
          <w:fldChar w:fldCharType="begin"/>
        </w:r>
        <w:r>
          <w:instrText xml:space="preserve">PAGE   \* MERGEFORMAT</w:instrText>
        </w:r>
        <w:r>
          <w:fldChar w:fldCharType="separate"/>
        </w:r>
        <w:r>
          <w:rPr>
            <w:lang w:val="zh-CN"/>
          </w:rPr>
          <w:t>6</w:t>
        </w:r>
        <w:r>
          <w:fldChar w:fldCharType="end"/>
        </w:r>
      </w:p>
    </w:sdtContent>
  </w:sdt>
  <w:p>
    <w:pPr>
      <w:pStyle w:val="55"/>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F2CD0"/>
    <w:multiLevelType w:val="multilevel"/>
    <w:tmpl w:val="0BCF2CD0"/>
    <w:lvl w:ilvl="0" w:tentative="0">
      <w:start w:val="1"/>
      <w:numFmt w:val="decimal"/>
      <w:pStyle w:val="113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4F62CB4"/>
    <w:multiLevelType w:val="multilevel"/>
    <w:tmpl w:val="24F62CB4"/>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B17636"/>
    <w:multiLevelType w:val="multilevel"/>
    <w:tmpl w:val="2AB17636"/>
    <w:lvl w:ilvl="0" w:tentative="0">
      <w:start w:val="1"/>
      <w:numFmt w:val="decimal"/>
      <w:pStyle w:val="420"/>
      <w:lvlText w:val="（%1）"/>
      <w:lvlJc w:val="left"/>
      <w:pPr>
        <w:tabs>
          <w:tab w:val="left" w:pos="1416"/>
        </w:tabs>
        <w:ind w:left="1416" w:hanging="7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
    <w:nsid w:val="2B3F3991"/>
    <w:multiLevelType w:val="multilevel"/>
    <w:tmpl w:val="2B3F3991"/>
    <w:lvl w:ilvl="0" w:tentative="0">
      <w:start w:val="1"/>
      <w:numFmt w:val="decimal"/>
      <w:pStyle w:val="733"/>
      <w:lvlText w:val="第%1章"/>
      <w:lvlJc w:val="center"/>
      <w:pPr>
        <w:tabs>
          <w:tab w:val="left" w:pos="680"/>
        </w:tabs>
        <w:ind w:left="851" w:hanging="851"/>
      </w:pPr>
      <w:rPr>
        <w:rFonts w:hint="default" w:ascii="Arial" w:hAnsi="Arial" w:cs="Times New Roman"/>
      </w:rPr>
    </w:lvl>
    <w:lvl w:ilvl="1" w:tentative="0">
      <w:start w:val="1"/>
      <w:numFmt w:val="decimal"/>
      <w:lvlText w:val="%1.%2"/>
      <w:lvlJc w:val="left"/>
      <w:pPr>
        <w:tabs>
          <w:tab w:val="left" w:pos="567"/>
        </w:tabs>
        <w:ind w:left="0" w:firstLine="0"/>
      </w:pPr>
      <w:rPr>
        <w:rFonts w:hint="default" w:ascii="Arial" w:hAnsi="Arial" w:cs="Times New Roman"/>
      </w:rPr>
    </w:lvl>
    <w:lvl w:ilvl="2" w:tentative="0">
      <w:start w:val="1"/>
      <w:numFmt w:val="decimal"/>
      <w:isLgl/>
      <w:lvlText w:val="%1.%2.%3"/>
      <w:lvlJc w:val="left"/>
      <w:pPr>
        <w:tabs>
          <w:tab w:val="left" w:pos="680"/>
        </w:tabs>
        <w:ind w:left="0" w:firstLine="0"/>
      </w:pPr>
      <w:rPr>
        <w:rFonts w:hint="default" w:ascii="Arial" w:hAnsi="Arial" w:cs="Times New Roman"/>
        <w:b w:val="0"/>
        <w:i w:val="0"/>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4">
    <w:nsid w:val="37EB5FDF"/>
    <w:multiLevelType w:val="multilevel"/>
    <w:tmpl w:val="37EB5FDF"/>
    <w:lvl w:ilvl="0" w:tentative="0">
      <w:start w:val="1"/>
      <w:numFmt w:val="decimal"/>
      <w:pStyle w:val="1142"/>
      <w:lvlText w:val="2.%1、"/>
      <w:lvlJc w:val="left"/>
      <w:pPr>
        <w:tabs>
          <w:tab w:val="left" w:pos="420"/>
        </w:tabs>
        <w:ind w:left="42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9B771D5"/>
    <w:multiLevelType w:val="multilevel"/>
    <w:tmpl w:val="39B771D5"/>
    <w:lvl w:ilvl="0" w:tentative="0">
      <w:start w:val="1"/>
      <w:numFmt w:val="decimal"/>
      <w:pStyle w:val="541"/>
      <w:lvlText w:val="%1"/>
      <w:lvlJc w:val="left"/>
      <w:pPr>
        <w:tabs>
          <w:tab w:val="left" w:pos="0"/>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B566223"/>
    <w:multiLevelType w:val="multilevel"/>
    <w:tmpl w:val="4B566223"/>
    <w:lvl w:ilvl="0" w:tentative="0">
      <w:start w:val="1"/>
      <w:numFmt w:val="chineseCountingThousand"/>
      <w:pStyle w:val="3"/>
      <w:lvlText w:val="%1、"/>
      <w:lvlJc w:val="left"/>
      <w:pPr>
        <w:tabs>
          <w:tab w:val="left" w:pos="0"/>
        </w:tabs>
        <w:ind w:left="0" w:firstLine="0"/>
      </w:pPr>
      <w:rPr>
        <w:rFonts w:hint="eastAsia"/>
      </w:rPr>
    </w:lvl>
    <w:lvl w:ilvl="1" w:tentative="0">
      <w:start w:val="1"/>
      <w:numFmt w:val="decimal"/>
      <w:pStyle w:val="4"/>
      <w:isLgl/>
      <w:lvlText w:val="%1.%2"/>
      <w:lvlJc w:val="left"/>
      <w:pPr>
        <w:tabs>
          <w:tab w:val="left" w:pos="0"/>
        </w:tabs>
        <w:ind w:left="0" w:firstLine="0"/>
      </w:pPr>
      <w:rPr>
        <w:rFonts w:hint="eastAsia"/>
        <w:b w:val="0"/>
        <w:bCs w:val="0"/>
        <w:i w:val="0"/>
        <w:iCs w:val="0"/>
        <w:caps w:val="0"/>
        <w:smallCaps w:val="0"/>
        <w:strike w:val="0"/>
        <w:dstrike w:val="0"/>
        <w:vanish w:val="0"/>
        <w:spacing w:val="0"/>
        <w:position w:val="0"/>
        <w:u w:val="none"/>
        <w:vertAlign w:val="baseline"/>
      </w:rPr>
    </w:lvl>
    <w:lvl w:ilvl="2" w:tentative="0">
      <w:start w:val="1"/>
      <w:numFmt w:val="decimal"/>
      <w:pStyle w:val="5"/>
      <w:isLgl/>
      <w:suff w:val="space"/>
      <w:lvlText w:val="%1.%2.%3"/>
      <w:lvlJc w:val="left"/>
      <w:pPr>
        <w:ind w:left="1418" w:firstLine="0"/>
      </w:pPr>
      <w:rPr>
        <w:rFonts w:hint="eastAsia"/>
        <w:b w:val="0"/>
        <w:bCs w:val="0"/>
        <w:i w:val="0"/>
        <w:iCs w:val="0"/>
        <w:caps w:val="0"/>
        <w:smallCaps w:val="0"/>
        <w:strike w:val="0"/>
        <w:dstrike w:val="0"/>
        <w:vanish w:val="0"/>
        <w:spacing w:val="0"/>
        <w:position w:val="0"/>
        <w:u w:val="none"/>
        <w:vertAlign w:val="baseline"/>
      </w:rPr>
    </w:lvl>
    <w:lvl w:ilvl="3" w:tentative="0">
      <w:start w:val="1"/>
      <w:numFmt w:val="decimal"/>
      <w:pStyle w:val="6"/>
      <w:lvlText w:val="4.%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536B6F1D"/>
    <w:multiLevelType w:val="singleLevel"/>
    <w:tmpl w:val="536B6F1D"/>
    <w:lvl w:ilvl="0" w:tentative="0">
      <w:start w:val="1"/>
      <w:numFmt w:val="bullet"/>
      <w:pStyle w:val="562"/>
      <w:lvlText w:val=""/>
      <w:lvlJc w:val="left"/>
      <w:pPr>
        <w:tabs>
          <w:tab w:val="left" w:pos="425"/>
        </w:tabs>
        <w:ind w:left="425" w:hanging="425"/>
      </w:pPr>
      <w:rPr>
        <w:rFonts w:hint="default" w:ascii="Wingdings" w:hAnsi="Wingdings"/>
        <w:sz w:val="21"/>
      </w:rPr>
    </w:lvl>
  </w:abstractNum>
  <w:abstractNum w:abstractNumId="8">
    <w:nsid w:val="5A326EAA"/>
    <w:multiLevelType w:val="multilevel"/>
    <w:tmpl w:val="5A326EAA"/>
    <w:lvl w:ilvl="0" w:tentative="0">
      <w:start w:val="1"/>
      <w:numFmt w:val="decimal"/>
      <w:pStyle w:val="222"/>
      <w:lvlText w:val="第%1条 "/>
      <w:lvlJc w:val="left"/>
      <w:pPr>
        <w:ind w:left="987" w:hanging="420"/>
      </w:pPr>
      <w:rPr>
        <w:rFonts w:hint="eastAsia" w:ascii="宋体" w:hAnsi="宋体"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8B04D5B"/>
    <w:multiLevelType w:val="singleLevel"/>
    <w:tmpl w:val="78B04D5B"/>
    <w:lvl w:ilvl="0" w:tentative="0">
      <w:start w:val="1"/>
      <w:numFmt w:val="bullet"/>
      <w:pStyle w:val="561"/>
      <w:lvlText w:val=""/>
      <w:lvlJc w:val="left"/>
      <w:pPr>
        <w:tabs>
          <w:tab w:val="left" w:pos="425"/>
        </w:tabs>
        <w:ind w:left="425" w:hanging="425"/>
      </w:pPr>
      <w:rPr>
        <w:rFonts w:hint="default" w:ascii="Wingdings" w:hAnsi="Wingdings"/>
      </w:rPr>
    </w:lvl>
  </w:abstractNum>
  <w:num w:numId="1">
    <w:abstractNumId w:val="6"/>
  </w:num>
  <w:num w:numId="2">
    <w:abstractNumId w:val="8"/>
  </w:num>
  <w:num w:numId="3">
    <w:abstractNumId w:val="2"/>
  </w:num>
  <w:num w:numId="4">
    <w:abstractNumId w:val="5"/>
  </w:num>
  <w:num w:numId="5">
    <w:abstractNumId w:val="9"/>
  </w:num>
  <w:num w:numId="6">
    <w:abstractNumId w:val="7"/>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WI1OGI3YTBkMDAxMThhODRiNTA5YmIzNjcyODQifQ=="/>
  </w:docVars>
  <w:rsids>
    <w:rsidRoot w:val="00A14947"/>
    <w:rsid w:val="0000101F"/>
    <w:rsid w:val="00001099"/>
    <w:rsid w:val="00001CCD"/>
    <w:rsid w:val="00002550"/>
    <w:rsid w:val="00004FF2"/>
    <w:rsid w:val="00005D0F"/>
    <w:rsid w:val="000060B3"/>
    <w:rsid w:val="00006AB0"/>
    <w:rsid w:val="00006B23"/>
    <w:rsid w:val="00007ABD"/>
    <w:rsid w:val="00007D38"/>
    <w:rsid w:val="000119CA"/>
    <w:rsid w:val="00013EAC"/>
    <w:rsid w:val="00015395"/>
    <w:rsid w:val="00016DC0"/>
    <w:rsid w:val="00017E15"/>
    <w:rsid w:val="00020833"/>
    <w:rsid w:val="000218B2"/>
    <w:rsid w:val="00022B98"/>
    <w:rsid w:val="00023FE8"/>
    <w:rsid w:val="00024F7A"/>
    <w:rsid w:val="000254FA"/>
    <w:rsid w:val="00025773"/>
    <w:rsid w:val="00025E74"/>
    <w:rsid w:val="000308A2"/>
    <w:rsid w:val="00034AB2"/>
    <w:rsid w:val="00034F90"/>
    <w:rsid w:val="00036985"/>
    <w:rsid w:val="000374B3"/>
    <w:rsid w:val="00042157"/>
    <w:rsid w:val="0004364B"/>
    <w:rsid w:val="000454C3"/>
    <w:rsid w:val="0005020F"/>
    <w:rsid w:val="00053057"/>
    <w:rsid w:val="0005332E"/>
    <w:rsid w:val="00053447"/>
    <w:rsid w:val="0005352B"/>
    <w:rsid w:val="00053A85"/>
    <w:rsid w:val="00053EAD"/>
    <w:rsid w:val="000541E2"/>
    <w:rsid w:val="00054208"/>
    <w:rsid w:val="0005470E"/>
    <w:rsid w:val="00055082"/>
    <w:rsid w:val="00055628"/>
    <w:rsid w:val="00055D18"/>
    <w:rsid w:val="00055EF6"/>
    <w:rsid w:val="00056243"/>
    <w:rsid w:val="00061078"/>
    <w:rsid w:val="00061B1F"/>
    <w:rsid w:val="00063C02"/>
    <w:rsid w:val="00064B55"/>
    <w:rsid w:val="00065A0F"/>
    <w:rsid w:val="00066481"/>
    <w:rsid w:val="00066D10"/>
    <w:rsid w:val="00071225"/>
    <w:rsid w:val="000733C4"/>
    <w:rsid w:val="000737DF"/>
    <w:rsid w:val="000743B4"/>
    <w:rsid w:val="00074783"/>
    <w:rsid w:val="00074A2C"/>
    <w:rsid w:val="00075B6D"/>
    <w:rsid w:val="00077B72"/>
    <w:rsid w:val="0008070B"/>
    <w:rsid w:val="000810AC"/>
    <w:rsid w:val="00081A02"/>
    <w:rsid w:val="0008210E"/>
    <w:rsid w:val="00082231"/>
    <w:rsid w:val="00083B16"/>
    <w:rsid w:val="0008625B"/>
    <w:rsid w:val="00086E3F"/>
    <w:rsid w:val="0009052D"/>
    <w:rsid w:val="000907BB"/>
    <w:rsid w:val="000915A4"/>
    <w:rsid w:val="00091E8B"/>
    <w:rsid w:val="00092D38"/>
    <w:rsid w:val="0009377B"/>
    <w:rsid w:val="00094AB3"/>
    <w:rsid w:val="000953C4"/>
    <w:rsid w:val="000A20C9"/>
    <w:rsid w:val="000A2E1A"/>
    <w:rsid w:val="000A3E7D"/>
    <w:rsid w:val="000A5401"/>
    <w:rsid w:val="000A6427"/>
    <w:rsid w:val="000B058F"/>
    <w:rsid w:val="000B0C9A"/>
    <w:rsid w:val="000B207A"/>
    <w:rsid w:val="000B20BE"/>
    <w:rsid w:val="000B3234"/>
    <w:rsid w:val="000B3A3E"/>
    <w:rsid w:val="000B3B68"/>
    <w:rsid w:val="000B3DDB"/>
    <w:rsid w:val="000B4467"/>
    <w:rsid w:val="000B4DB9"/>
    <w:rsid w:val="000B6B2B"/>
    <w:rsid w:val="000C09AC"/>
    <w:rsid w:val="000C53A9"/>
    <w:rsid w:val="000C5B4D"/>
    <w:rsid w:val="000C767F"/>
    <w:rsid w:val="000C769B"/>
    <w:rsid w:val="000D1946"/>
    <w:rsid w:val="000D1D79"/>
    <w:rsid w:val="000D2146"/>
    <w:rsid w:val="000D2383"/>
    <w:rsid w:val="000D260C"/>
    <w:rsid w:val="000D35DE"/>
    <w:rsid w:val="000D3CFF"/>
    <w:rsid w:val="000D4AC3"/>
    <w:rsid w:val="000D5907"/>
    <w:rsid w:val="000D5A44"/>
    <w:rsid w:val="000D5FB1"/>
    <w:rsid w:val="000D64AE"/>
    <w:rsid w:val="000E024B"/>
    <w:rsid w:val="000E183A"/>
    <w:rsid w:val="000E2751"/>
    <w:rsid w:val="000E359D"/>
    <w:rsid w:val="000E397F"/>
    <w:rsid w:val="000E3ED2"/>
    <w:rsid w:val="000E7925"/>
    <w:rsid w:val="000F2A44"/>
    <w:rsid w:val="000F380A"/>
    <w:rsid w:val="000F48A6"/>
    <w:rsid w:val="000F52B9"/>
    <w:rsid w:val="000F7177"/>
    <w:rsid w:val="000F753D"/>
    <w:rsid w:val="00101203"/>
    <w:rsid w:val="00103EFC"/>
    <w:rsid w:val="001103CA"/>
    <w:rsid w:val="00110476"/>
    <w:rsid w:val="0011382B"/>
    <w:rsid w:val="001141E8"/>
    <w:rsid w:val="00114A0C"/>
    <w:rsid w:val="00114C8F"/>
    <w:rsid w:val="001158DF"/>
    <w:rsid w:val="00115F81"/>
    <w:rsid w:val="00121053"/>
    <w:rsid w:val="0012154A"/>
    <w:rsid w:val="00123D14"/>
    <w:rsid w:val="00124670"/>
    <w:rsid w:val="0012622D"/>
    <w:rsid w:val="00127768"/>
    <w:rsid w:val="00127E3C"/>
    <w:rsid w:val="00130F66"/>
    <w:rsid w:val="00131F42"/>
    <w:rsid w:val="00132095"/>
    <w:rsid w:val="0013252A"/>
    <w:rsid w:val="001345FC"/>
    <w:rsid w:val="0013547D"/>
    <w:rsid w:val="001356CB"/>
    <w:rsid w:val="001357F1"/>
    <w:rsid w:val="00135BF7"/>
    <w:rsid w:val="00136ECC"/>
    <w:rsid w:val="00137B03"/>
    <w:rsid w:val="00140FA8"/>
    <w:rsid w:val="00141F42"/>
    <w:rsid w:val="00142FEB"/>
    <w:rsid w:val="00143A2D"/>
    <w:rsid w:val="0014550F"/>
    <w:rsid w:val="00145A41"/>
    <w:rsid w:val="00146B27"/>
    <w:rsid w:val="00147484"/>
    <w:rsid w:val="0015022A"/>
    <w:rsid w:val="00151675"/>
    <w:rsid w:val="00151B73"/>
    <w:rsid w:val="00151B9B"/>
    <w:rsid w:val="00153748"/>
    <w:rsid w:val="00154EB3"/>
    <w:rsid w:val="001550ED"/>
    <w:rsid w:val="00155878"/>
    <w:rsid w:val="001562C9"/>
    <w:rsid w:val="001566F6"/>
    <w:rsid w:val="00157435"/>
    <w:rsid w:val="00157775"/>
    <w:rsid w:val="00157D58"/>
    <w:rsid w:val="0016030C"/>
    <w:rsid w:val="00161BAD"/>
    <w:rsid w:val="00162B59"/>
    <w:rsid w:val="001646E4"/>
    <w:rsid w:val="00167937"/>
    <w:rsid w:val="00167EDC"/>
    <w:rsid w:val="00170BE1"/>
    <w:rsid w:val="0017138E"/>
    <w:rsid w:val="001744F4"/>
    <w:rsid w:val="001749C8"/>
    <w:rsid w:val="00174F7C"/>
    <w:rsid w:val="0017504D"/>
    <w:rsid w:val="0017638A"/>
    <w:rsid w:val="0017671A"/>
    <w:rsid w:val="00176DFA"/>
    <w:rsid w:val="00177422"/>
    <w:rsid w:val="00184330"/>
    <w:rsid w:val="00184590"/>
    <w:rsid w:val="00185636"/>
    <w:rsid w:val="001870D1"/>
    <w:rsid w:val="00187316"/>
    <w:rsid w:val="0018781E"/>
    <w:rsid w:val="00190431"/>
    <w:rsid w:val="001906EC"/>
    <w:rsid w:val="00191D35"/>
    <w:rsid w:val="00191DFD"/>
    <w:rsid w:val="0019262D"/>
    <w:rsid w:val="001945D3"/>
    <w:rsid w:val="00197545"/>
    <w:rsid w:val="00197A76"/>
    <w:rsid w:val="00197CA5"/>
    <w:rsid w:val="00197F4C"/>
    <w:rsid w:val="001A0E94"/>
    <w:rsid w:val="001A1B35"/>
    <w:rsid w:val="001A1BCB"/>
    <w:rsid w:val="001A2ADB"/>
    <w:rsid w:val="001A3BD3"/>
    <w:rsid w:val="001A48A2"/>
    <w:rsid w:val="001A5D83"/>
    <w:rsid w:val="001A6467"/>
    <w:rsid w:val="001A6EB5"/>
    <w:rsid w:val="001A6F61"/>
    <w:rsid w:val="001A7D7B"/>
    <w:rsid w:val="001B01F4"/>
    <w:rsid w:val="001B028D"/>
    <w:rsid w:val="001B2421"/>
    <w:rsid w:val="001B33FD"/>
    <w:rsid w:val="001B3A1A"/>
    <w:rsid w:val="001B5B56"/>
    <w:rsid w:val="001B6F6C"/>
    <w:rsid w:val="001B7261"/>
    <w:rsid w:val="001B72B8"/>
    <w:rsid w:val="001B72C4"/>
    <w:rsid w:val="001B73C5"/>
    <w:rsid w:val="001C1897"/>
    <w:rsid w:val="001C1F88"/>
    <w:rsid w:val="001C23B9"/>
    <w:rsid w:val="001C2722"/>
    <w:rsid w:val="001C3951"/>
    <w:rsid w:val="001C3CFE"/>
    <w:rsid w:val="001C5F33"/>
    <w:rsid w:val="001C69B3"/>
    <w:rsid w:val="001C7E88"/>
    <w:rsid w:val="001D0B14"/>
    <w:rsid w:val="001D1562"/>
    <w:rsid w:val="001D3C5D"/>
    <w:rsid w:val="001D4E14"/>
    <w:rsid w:val="001D5595"/>
    <w:rsid w:val="001D768F"/>
    <w:rsid w:val="001D7874"/>
    <w:rsid w:val="001D7F22"/>
    <w:rsid w:val="001E2298"/>
    <w:rsid w:val="001E27AE"/>
    <w:rsid w:val="001E7CA9"/>
    <w:rsid w:val="001F0069"/>
    <w:rsid w:val="001F016B"/>
    <w:rsid w:val="001F0F17"/>
    <w:rsid w:val="001F1AFD"/>
    <w:rsid w:val="001F1AFF"/>
    <w:rsid w:val="001F3347"/>
    <w:rsid w:val="001F5B07"/>
    <w:rsid w:val="001F69E4"/>
    <w:rsid w:val="00200CC6"/>
    <w:rsid w:val="00201650"/>
    <w:rsid w:val="00203BE4"/>
    <w:rsid w:val="00203D41"/>
    <w:rsid w:val="0020433E"/>
    <w:rsid w:val="00204811"/>
    <w:rsid w:val="00204938"/>
    <w:rsid w:val="002054DD"/>
    <w:rsid w:val="00205697"/>
    <w:rsid w:val="00207323"/>
    <w:rsid w:val="002106F2"/>
    <w:rsid w:val="002125B4"/>
    <w:rsid w:val="00213AB9"/>
    <w:rsid w:val="002150E1"/>
    <w:rsid w:val="002155B8"/>
    <w:rsid w:val="00215DCF"/>
    <w:rsid w:val="002166D6"/>
    <w:rsid w:val="00216926"/>
    <w:rsid w:val="002176FB"/>
    <w:rsid w:val="0021796C"/>
    <w:rsid w:val="002205B0"/>
    <w:rsid w:val="002210BF"/>
    <w:rsid w:val="002223DE"/>
    <w:rsid w:val="002234C3"/>
    <w:rsid w:val="00223A41"/>
    <w:rsid w:val="00224839"/>
    <w:rsid w:val="0022498A"/>
    <w:rsid w:val="002249B2"/>
    <w:rsid w:val="00225A73"/>
    <w:rsid w:val="00226574"/>
    <w:rsid w:val="002278EC"/>
    <w:rsid w:val="00227B91"/>
    <w:rsid w:val="0023024C"/>
    <w:rsid w:val="00230810"/>
    <w:rsid w:val="002315BF"/>
    <w:rsid w:val="00232579"/>
    <w:rsid w:val="0023280E"/>
    <w:rsid w:val="00233040"/>
    <w:rsid w:val="002341BB"/>
    <w:rsid w:val="00236734"/>
    <w:rsid w:val="002377D1"/>
    <w:rsid w:val="00242220"/>
    <w:rsid w:val="002460A4"/>
    <w:rsid w:val="00247C0E"/>
    <w:rsid w:val="002506BC"/>
    <w:rsid w:val="0025093D"/>
    <w:rsid w:val="00254345"/>
    <w:rsid w:val="00254CBE"/>
    <w:rsid w:val="002556C8"/>
    <w:rsid w:val="0025744C"/>
    <w:rsid w:val="002603DF"/>
    <w:rsid w:val="00260AC6"/>
    <w:rsid w:val="0026144E"/>
    <w:rsid w:val="00262FF5"/>
    <w:rsid w:val="0026385A"/>
    <w:rsid w:val="00263D8E"/>
    <w:rsid w:val="00263DB6"/>
    <w:rsid w:val="00264557"/>
    <w:rsid w:val="00266D7B"/>
    <w:rsid w:val="0026766C"/>
    <w:rsid w:val="0027273F"/>
    <w:rsid w:val="00274313"/>
    <w:rsid w:val="00275062"/>
    <w:rsid w:val="002751B4"/>
    <w:rsid w:val="00275A9E"/>
    <w:rsid w:val="00276684"/>
    <w:rsid w:val="00276F4F"/>
    <w:rsid w:val="002805AB"/>
    <w:rsid w:val="002841D6"/>
    <w:rsid w:val="00284204"/>
    <w:rsid w:val="002848E8"/>
    <w:rsid w:val="00285D3C"/>
    <w:rsid w:val="002874FA"/>
    <w:rsid w:val="00287BEE"/>
    <w:rsid w:val="00291773"/>
    <w:rsid w:val="002920D7"/>
    <w:rsid w:val="0029257F"/>
    <w:rsid w:val="0029303F"/>
    <w:rsid w:val="002941CC"/>
    <w:rsid w:val="00294F31"/>
    <w:rsid w:val="002A089C"/>
    <w:rsid w:val="002A168C"/>
    <w:rsid w:val="002A18FE"/>
    <w:rsid w:val="002A1E0D"/>
    <w:rsid w:val="002A2894"/>
    <w:rsid w:val="002A3DC7"/>
    <w:rsid w:val="002A5E03"/>
    <w:rsid w:val="002A6083"/>
    <w:rsid w:val="002B18BA"/>
    <w:rsid w:val="002B3C63"/>
    <w:rsid w:val="002B3D4F"/>
    <w:rsid w:val="002B45D6"/>
    <w:rsid w:val="002B49E2"/>
    <w:rsid w:val="002B4B0F"/>
    <w:rsid w:val="002B5850"/>
    <w:rsid w:val="002B5BDE"/>
    <w:rsid w:val="002B5CCC"/>
    <w:rsid w:val="002B6492"/>
    <w:rsid w:val="002B67A9"/>
    <w:rsid w:val="002B738B"/>
    <w:rsid w:val="002B7B00"/>
    <w:rsid w:val="002B7C44"/>
    <w:rsid w:val="002C04DE"/>
    <w:rsid w:val="002C2B17"/>
    <w:rsid w:val="002C348A"/>
    <w:rsid w:val="002C52EA"/>
    <w:rsid w:val="002C726B"/>
    <w:rsid w:val="002D228E"/>
    <w:rsid w:val="002D23CE"/>
    <w:rsid w:val="002D2554"/>
    <w:rsid w:val="002D3DD0"/>
    <w:rsid w:val="002D3E4D"/>
    <w:rsid w:val="002D46EF"/>
    <w:rsid w:val="002D56F1"/>
    <w:rsid w:val="002D6D75"/>
    <w:rsid w:val="002E061D"/>
    <w:rsid w:val="002E1F3A"/>
    <w:rsid w:val="002E298A"/>
    <w:rsid w:val="002E3DE9"/>
    <w:rsid w:val="002E55FC"/>
    <w:rsid w:val="002E5B6D"/>
    <w:rsid w:val="002E613B"/>
    <w:rsid w:val="002E6791"/>
    <w:rsid w:val="002E6EF5"/>
    <w:rsid w:val="002E7991"/>
    <w:rsid w:val="002E79B6"/>
    <w:rsid w:val="002F1D76"/>
    <w:rsid w:val="002F21A3"/>
    <w:rsid w:val="002F22B3"/>
    <w:rsid w:val="002F3AA8"/>
    <w:rsid w:val="002F41D7"/>
    <w:rsid w:val="002F4E2E"/>
    <w:rsid w:val="002F5497"/>
    <w:rsid w:val="002F59DE"/>
    <w:rsid w:val="002F60E1"/>
    <w:rsid w:val="00300CFC"/>
    <w:rsid w:val="003010A3"/>
    <w:rsid w:val="00301978"/>
    <w:rsid w:val="00303030"/>
    <w:rsid w:val="0030332C"/>
    <w:rsid w:val="003051C2"/>
    <w:rsid w:val="00305C0D"/>
    <w:rsid w:val="003064E2"/>
    <w:rsid w:val="00307C9A"/>
    <w:rsid w:val="0031093F"/>
    <w:rsid w:val="00311002"/>
    <w:rsid w:val="00312296"/>
    <w:rsid w:val="00312F59"/>
    <w:rsid w:val="00314104"/>
    <w:rsid w:val="00314F0E"/>
    <w:rsid w:val="00315081"/>
    <w:rsid w:val="0031511C"/>
    <w:rsid w:val="0031666F"/>
    <w:rsid w:val="00316AB7"/>
    <w:rsid w:val="00316DF2"/>
    <w:rsid w:val="003176B5"/>
    <w:rsid w:val="00320490"/>
    <w:rsid w:val="00320B20"/>
    <w:rsid w:val="0032154F"/>
    <w:rsid w:val="00321D8E"/>
    <w:rsid w:val="00322ECA"/>
    <w:rsid w:val="00323175"/>
    <w:rsid w:val="00323987"/>
    <w:rsid w:val="00324156"/>
    <w:rsid w:val="0032444A"/>
    <w:rsid w:val="00325560"/>
    <w:rsid w:val="00325928"/>
    <w:rsid w:val="00325AF8"/>
    <w:rsid w:val="003262D2"/>
    <w:rsid w:val="00327039"/>
    <w:rsid w:val="003310DA"/>
    <w:rsid w:val="00331107"/>
    <w:rsid w:val="00331719"/>
    <w:rsid w:val="00331E24"/>
    <w:rsid w:val="00332863"/>
    <w:rsid w:val="00332F7D"/>
    <w:rsid w:val="003330D5"/>
    <w:rsid w:val="00334E42"/>
    <w:rsid w:val="00335B74"/>
    <w:rsid w:val="0033626B"/>
    <w:rsid w:val="0033684D"/>
    <w:rsid w:val="00337B42"/>
    <w:rsid w:val="0034107C"/>
    <w:rsid w:val="00341961"/>
    <w:rsid w:val="00341B28"/>
    <w:rsid w:val="00341B42"/>
    <w:rsid w:val="003425DB"/>
    <w:rsid w:val="00343290"/>
    <w:rsid w:val="0034348F"/>
    <w:rsid w:val="0034488A"/>
    <w:rsid w:val="00344CE2"/>
    <w:rsid w:val="00347C6F"/>
    <w:rsid w:val="003502C9"/>
    <w:rsid w:val="00350452"/>
    <w:rsid w:val="00355169"/>
    <w:rsid w:val="00356653"/>
    <w:rsid w:val="00356D13"/>
    <w:rsid w:val="0035743F"/>
    <w:rsid w:val="00357BE2"/>
    <w:rsid w:val="0036170C"/>
    <w:rsid w:val="0036272A"/>
    <w:rsid w:val="003634A7"/>
    <w:rsid w:val="00365036"/>
    <w:rsid w:val="003656A5"/>
    <w:rsid w:val="003657A5"/>
    <w:rsid w:val="00365E4A"/>
    <w:rsid w:val="00366E0F"/>
    <w:rsid w:val="00367054"/>
    <w:rsid w:val="00371478"/>
    <w:rsid w:val="003716D4"/>
    <w:rsid w:val="00371A19"/>
    <w:rsid w:val="00372D37"/>
    <w:rsid w:val="00374D04"/>
    <w:rsid w:val="003752BC"/>
    <w:rsid w:val="00375575"/>
    <w:rsid w:val="0037628F"/>
    <w:rsid w:val="003765E3"/>
    <w:rsid w:val="00377A28"/>
    <w:rsid w:val="00377CA1"/>
    <w:rsid w:val="003816B3"/>
    <w:rsid w:val="00381A72"/>
    <w:rsid w:val="00382170"/>
    <w:rsid w:val="003826E9"/>
    <w:rsid w:val="00384676"/>
    <w:rsid w:val="003852D5"/>
    <w:rsid w:val="00385981"/>
    <w:rsid w:val="00385E7F"/>
    <w:rsid w:val="00385F6F"/>
    <w:rsid w:val="003870FF"/>
    <w:rsid w:val="00387199"/>
    <w:rsid w:val="003878DC"/>
    <w:rsid w:val="00390857"/>
    <w:rsid w:val="00390CB6"/>
    <w:rsid w:val="00390F70"/>
    <w:rsid w:val="00392FC3"/>
    <w:rsid w:val="00394B05"/>
    <w:rsid w:val="00395946"/>
    <w:rsid w:val="0039749B"/>
    <w:rsid w:val="003A17D3"/>
    <w:rsid w:val="003A4BF3"/>
    <w:rsid w:val="003A4E5F"/>
    <w:rsid w:val="003A582D"/>
    <w:rsid w:val="003A5AC6"/>
    <w:rsid w:val="003A5BC0"/>
    <w:rsid w:val="003A67F5"/>
    <w:rsid w:val="003B2AF7"/>
    <w:rsid w:val="003B3585"/>
    <w:rsid w:val="003B420D"/>
    <w:rsid w:val="003B45EE"/>
    <w:rsid w:val="003B61C4"/>
    <w:rsid w:val="003B719D"/>
    <w:rsid w:val="003B7B9F"/>
    <w:rsid w:val="003C19C5"/>
    <w:rsid w:val="003C1B86"/>
    <w:rsid w:val="003C1D4A"/>
    <w:rsid w:val="003C23CE"/>
    <w:rsid w:val="003C41A2"/>
    <w:rsid w:val="003C6C16"/>
    <w:rsid w:val="003D0566"/>
    <w:rsid w:val="003D46EA"/>
    <w:rsid w:val="003D4FB6"/>
    <w:rsid w:val="003D5ABF"/>
    <w:rsid w:val="003D6021"/>
    <w:rsid w:val="003D6C32"/>
    <w:rsid w:val="003D794D"/>
    <w:rsid w:val="003E3058"/>
    <w:rsid w:val="003E4AB3"/>
    <w:rsid w:val="003E52E4"/>
    <w:rsid w:val="003E68F3"/>
    <w:rsid w:val="003E76A9"/>
    <w:rsid w:val="003E7822"/>
    <w:rsid w:val="003F007E"/>
    <w:rsid w:val="003F0809"/>
    <w:rsid w:val="003F17BC"/>
    <w:rsid w:val="003F3FE4"/>
    <w:rsid w:val="003F4FA9"/>
    <w:rsid w:val="003F541D"/>
    <w:rsid w:val="003F5F31"/>
    <w:rsid w:val="003F6A02"/>
    <w:rsid w:val="003F6A06"/>
    <w:rsid w:val="003F6A8C"/>
    <w:rsid w:val="003F6EA7"/>
    <w:rsid w:val="003F755C"/>
    <w:rsid w:val="004016D5"/>
    <w:rsid w:val="00401963"/>
    <w:rsid w:val="00401D4C"/>
    <w:rsid w:val="0040285F"/>
    <w:rsid w:val="004033DC"/>
    <w:rsid w:val="00404411"/>
    <w:rsid w:val="00406B21"/>
    <w:rsid w:val="00406F01"/>
    <w:rsid w:val="00407096"/>
    <w:rsid w:val="0041506F"/>
    <w:rsid w:val="00415BAD"/>
    <w:rsid w:val="00415F58"/>
    <w:rsid w:val="00415F7E"/>
    <w:rsid w:val="00416D50"/>
    <w:rsid w:val="00416FD5"/>
    <w:rsid w:val="00417772"/>
    <w:rsid w:val="004178C2"/>
    <w:rsid w:val="00420E6A"/>
    <w:rsid w:val="00423A8F"/>
    <w:rsid w:val="00424E23"/>
    <w:rsid w:val="00425A9E"/>
    <w:rsid w:val="00426D6B"/>
    <w:rsid w:val="00426F16"/>
    <w:rsid w:val="00427EA4"/>
    <w:rsid w:val="00430792"/>
    <w:rsid w:val="00431083"/>
    <w:rsid w:val="00431E6C"/>
    <w:rsid w:val="004327AF"/>
    <w:rsid w:val="00432D42"/>
    <w:rsid w:val="00432F1A"/>
    <w:rsid w:val="00433ADC"/>
    <w:rsid w:val="00433CDA"/>
    <w:rsid w:val="00433CE7"/>
    <w:rsid w:val="00435D23"/>
    <w:rsid w:val="00440B45"/>
    <w:rsid w:val="004433B5"/>
    <w:rsid w:val="00443D75"/>
    <w:rsid w:val="00444D42"/>
    <w:rsid w:val="00446476"/>
    <w:rsid w:val="004470CC"/>
    <w:rsid w:val="0044736F"/>
    <w:rsid w:val="00447A25"/>
    <w:rsid w:val="00450001"/>
    <w:rsid w:val="00450157"/>
    <w:rsid w:val="00451D90"/>
    <w:rsid w:val="00451E43"/>
    <w:rsid w:val="00452738"/>
    <w:rsid w:val="00452E68"/>
    <w:rsid w:val="00454B6C"/>
    <w:rsid w:val="00454FB2"/>
    <w:rsid w:val="00456091"/>
    <w:rsid w:val="00456508"/>
    <w:rsid w:val="004613C5"/>
    <w:rsid w:val="00461583"/>
    <w:rsid w:val="00462B9B"/>
    <w:rsid w:val="0046533A"/>
    <w:rsid w:val="00466321"/>
    <w:rsid w:val="004666F5"/>
    <w:rsid w:val="00467360"/>
    <w:rsid w:val="00467E1A"/>
    <w:rsid w:val="0047124A"/>
    <w:rsid w:val="00471BCC"/>
    <w:rsid w:val="00472162"/>
    <w:rsid w:val="00473637"/>
    <w:rsid w:val="00473D58"/>
    <w:rsid w:val="00475D70"/>
    <w:rsid w:val="00476D0E"/>
    <w:rsid w:val="00480E94"/>
    <w:rsid w:val="0048239C"/>
    <w:rsid w:val="00482E7D"/>
    <w:rsid w:val="004830F3"/>
    <w:rsid w:val="00483B39"/>
    <w:rsid w:val="00484B9B"/>
    <w:rsid w:val="004855F6"/>
    <w:rsid w:val="0048661E"/>
    <w:rsid w:val="0048744B"/>
    <w:rsid w:val="0049005A"/>
    <w:rsid w:val="00492141"/>
    <w:rsid w:val="00493BF5"/>
    <w:rsid w:val="004945A8"/>
    <w:rsid w:val="00494670"/>
    <w:rsid w:val="00497C4E"/>
    <w:rsid w:val="00497FBE"/>
    <w:rsid w:val="004A0237"/>
    <w:rsid w:val="004A1DC4"/>
    <w:rsid w:val="004A3823"/>
    <w:rsid w:val="004A40A1"/>
    <w:rsid w:val="004A48D5"/>
    <w:rsid w:val="004B0422"/>
    <w:rsid w:val="004B1355"/>
    <w:rsid w:val="004B1E7A"/>
    <w:rsid w:val="004B2107"/>
    <w:rsid w:val="004B2797"/>
    <w:rsid w:val="004B4027"/>
    <w:rsid w:val="004B496C"/>
    <w:rsid w:val="004B4B18"/>
    <w:rsid w:val="004B698B"/>
    <w:rsid w:val="004B6F5F"/>
    <w:rsid w:val="004C0772"/>
    <w:rsid w:val="004C273D"/>
    <w:rsid w:val="004C3A2D"/>
    <w:rsid w:val="004C623E"/>
    <w:rsid w:val="004C6BFF"/>
    <w:rsid w:val="004D0C55"/>
    <w:rsid w:val="004D5613"/>
    <w:rsid w:val="004D5E30"/>
    <w:rsid w:val="004D7E6D"/>
    <w:rsid w:val="004E0618"/>
    <w:rsid w:val="004E08FD"/>
    <w:rsid w:val="004E24E7"/>
    <w:rsid w:val="004E27F2"/>
    <w:rsid w:val="004E3D3D"/>
    <w:rsid w:val="004E4427"/>
    <w:rsid w:val="004E4B35"/>
    <w:rsid w:val="004E4E85"/>
    <w:rsid w:val="004E6946"/>
    <w:rsid w:val="004E7269"/>
    <w:rsid w:val="004F042E"/>
    <w:rsid w:val="004F151A"/>
    <w:rsid w:val="004F1963"/>
    <w:rsid w:val="004F1AD8"/>
    <w:rsid w:val="004F38A0"/>
    <w:rsid w:val="004F3D79"/>
    <w:rsid w:val="004F4880"/>
    <w:rsid w:val="004F5B1F"/>
    <w:rsid w:val="004F5D46"/>
    <w:rsid w:val="004F71D7"/>
    <w:rsid w:val="004F786B"/>
    <w:rsid w:val="004F7E01"/>
    <w:rsid w:val="00500FB4"/>
    <w:rsid w:val="00502CB2"/>
    <w:rsid w:val="005037B0"/>
    <w:rsid w:val="005039CB"/>
    <w:rsid w:val="0050558F"/>
    <w:rsid w:val="0050585D"/>
    <w:rsid w:val="00505C98"/>
    <w:rsid w:val="00506286"/>
    <w:rsid w:val="00510813"/>
    <w:rsid w:val="00511990"/>
    <w:rsid w:val="00511DE0"/>
    <w:rsid w:val="005126A8"/>
    <w:rsid w:val="005126B4"/>
    <w:rsid w:val="00513D72"/>
    <w:rsid w:val="00514870"/>
    <w:rsid w:val="0051497E"/>
    <w:rsid w:val="00514B9B"/>
    <w:rsid w:val="00514C14"/>
    <w:rsid w:val="00515659"/>
    <w:rsid w:val="005178D3"/>
    <w:rsid w:val="00517F02"/>
    <w:rsid w:val="005228EF"/>
    <w:rsid w:val="00523699"/>
    <w:rsid w:val="0052403A"/>
    <w:rsid w:val="00524303"/>
    <w:rsid w:val="00524449"/>
    <w:rsid w:val="00524746"/>
    <w:rsid w:val="005258A2"/>
    <w:rsid w:val="00525EA3"/>
    <w:rsid w:val="00526E9D"/>
    <w:rsid w:val="00527995"/>
    <w:rsid w:val="00527E22"/>
    <w:rsid w:val="005345B3"/>
    <w:rsid w:val="00535824"/>
    <w:rsid w:val="00535829"/>
    <w:rsid w:val="00536ABC"/>
    <w:rsid w:val="00537872"/>
    <w:rsid w:val="005401A8"/>
    <w:rsid w:val="005401AE"/>
    <w:rsid w:val="00540CA5"/>
    <w:rsid w:val="0054175F"/>
    <w:rsid w:val="00541C17"/>
    <w:rsid w:val="00542D88"/>
    <w:rsid w:val="00542E07"/>
    <w:rsid w:val="00544B5F"/>
    <w:rsid w:val="00545424"/>
    <w:rsid w:val="00545906"/>
    <w:rsid w:val="00545B2D"/>
    <w:rsid w:val="005478F5"/>
    <w:rsid w:val="00550630"/>
    <w:rsid w:val="00550BC4"/>
    <w:rsid w:val="00552F15"/>
    <w:rsid w:val="00554A7B"/>
    <w:rsid w:val="0055572C"/>
    <w:rsid w:val="00556200"/>
    <w:rsid w:val="00557C8E"/>
    <w:rsid w:val="0056082A"/>
    <w:rsid w:val="0056106A"/>
    <w:rsid w:val="00563FF7"/>
    <w:rsid w:val="0057046D"/>
    <w:rsid w:val="00570E61"/>
    <w:rsid w:val="005720AE"/>
    <w:rsid w:val="00572D5B"/>
    <w:rsid w:val="0057491A"/>
    <w:rsid w:val="00574B7B"/>
    <w:rsid w:val="00575297"/>
    <w:rsid w:val="005760D9"/>
    <w:rsid w:val="00580AA6"/>
    <w:rsid w:val="00580CE5"/>
    <w:rsid w:val="0058153E"/>
    <w:rsid w:val="00581870"/>
    <w:rsid w:val="005832B7"/>
    <w:rsid w:val="00583C8F"/>
    <w:rsid w:val="0058447D"/>
    <w:rsid w:val="005845E2"/>
    <w:rsid w:val="005856D9"/>
    <w:rsid w:val="005860A4"/>
    <w:rsid w:val="0058703A"/>
    <w:rsid w:val="00590D48"/>
    <w:rsid w:val="00591DA6"/>
    <w:rsid w:val="00592421"/>
    <w:rsid w:val="00592B4A"/>
    <w:rsid w:val="00592C04"/>
    <w:rsid w:val="00593D4D"/>
    <w:rsid w:val="00594D77"/>
    <w:rsid w:val="005969E4"/>
    <w:rsid w:val="00596C43"/>
    <w:rsid w:val="005A0514"/>
    <w:rsid w:val="005A06B7"/>
    <w:rsid w:val="005A157B"/>
    <w:rsid w:val="005A1759"/>
    <w:rsid w:val="005A3225"/>
    <w:rsid w:val="005A4257"/>
    <w:rsid w:val="005A4CD9"/>
    <w:rsid w:val="005A4EA0"/>
    <w:rsid w:val="005A506B"/>
    <w:rsid w:val="005A6678"/>
    <w:rsid w:val="005A68A7"/>
    <w:rsid w:val="005B11E0"/>
    <w:rsid w:val="005B2371"/>
    <w:rsid w:val="005B2620"/>
    <w:rsid w:val="005B319D"/>
    <w:rsid w:val="005B3224"/>
    <w:rsid w:val="005B3B50"/>
    <w:rsid w:val="005B4C0A"/>
    <w:rsid w:val="005B5F43"/>
    <w:rsid w:val="005B6930"/>
    <w:rsid w:val="005B7498"/>
    <w:rsid w:val="005B77A8"/>
    <w:rsid w:val="005B7A23"/>
    <w:rsid w:val="005B7C0F"/>
    <w:rsid w:val="005C0AF9"/>
    <w:rsid w:val="005C3561"/>
    <w:rsid w:val="005C3DAC"/>
    <w:rsid w:val="005C6352"/>
    <w:rsid w:val="005C691E"/>
    <w:rsid w:val="005C72A5"/>
    <w:rsid w:val="005C76AA"/>
    <w:rsid w:val="005D0C79"/>
    <w:rsid w:val="005D1153"/>
    <w:rsid w:val="005D1CB0"/>
    <w:rsid w:val="005D2CDA"/>
    <w:rsid w:val="005D2D8B"/>
    <w:rsid w:val="005D36AB"/>
    <w:rsid w:val="005D3C02"/>
    <w:rsid w:val="005D46D6"/>
    <w:rsid w:val="005D4B17"/>
    <w:rsid w:val="005D58E3"/>
    <w:rsid w:val="005D712F"/>
    <w:rsid w:val="005D7201"/>
    <w:rsid w:val="005D7D06"/>
    <w:rsid w:val="005E10CD"/>
    <w:rsid w:val="005E28B5"/>
    <w:rsid w:val="005E3274"/>
    <w:rsid w:val="005E3C6D"/>
    <w:rsid w:val="005E3F17"/>
    <w:rsid w:val="005E4B4C"/>
    <w:rsid w:val="005E4B58"/>
    <w:rsid w:val="005E6837"/>
    <w:rsid w:val="005E68EB"/>
    <w:rsid w:val="005F2004"/>
    <w:rsid w:val="005F4709"/>
    <w:rsid w:val="005F5473"/>
    <w:rsid w:val="005F57B4"/>
    <w:rsid w:val="005F6181"/>
    <w:rsid w:val="005F6BAD"/>
    <w:rsid w:val="005F708C"/>
    <w:rsid w:val="005F70FF"/>
    <w:rsid w:val="006018E6"/>
    <w:rsid w:val="00606525"/>
    <w:rsid w:val="006073F6"/>
    <w:rsid w:val="00610615"/>
    <w:rsid w:val="00611310"/>
    <w:rsid w:val="00616A4B"/>
    <w:rsid w:val="0061756D"/>
    <w:rsid w:val="006179CD"/>
    <w:rsid w:val="00617CC3"/>
    <w:rsid w:val="00617D47"/>
    <w:rsid w:val="0062400D"/>
    <w:rsid w:val="00625918"/>
    <w:rsid w:val="00627060"/>
    <w:rsid w:val="0062755B"/>
    <w:rsid w:val="00630732"/>
    <w:rsid w:val="006312A7"/>
    <w:rsid w:val="00631986"/>
    <w:rsid w:val="00633477"/>
    <w:rsid w:val="006345B2"/>
    <w:rsid w:val="006359C5"/>
    <w:rsid w:val="00636309"/>
    <w:rsid w:val="00637664"/>
    <w:rsid w:val="006377A6"/>
    <w:rsid w:val="00637A3D"/>
    <w:rsid w:val="00637CF5"/>
    <w:rsid w:val="006411EF"/>
    <w:rsid w:val="00642A29"/>
    <w:rsid w:val="00642B8D"/>
    <w:rsid w:val="0064321E"/>
    <w:rsid w:val="00644221"/>
    <w:rsid w:val="00644FF2"/>
    <w:rsid w:val="0064510E"/>
    <w:rsid w:val="00646151"/>
    <w:rsid w:val="006472E6"/>
    <w:rsid w:val="006505E2"/>
    <w:rsid w:val="00651276"/>
    <w:rsid w:val="006539A6"/>
    <w:rsid w:val="00654EC2"/>
    <w:rsid w:val="00660765"/>
    <w:rsid w:val="00660994"/>
    <w:rsid w:val="00660BCC"/>
    <w:rsid w:val="00660D8B"/>
    <w:rsid w:val="006619A4"/>
    <w:rsid w:val="00663B52"/>
    <w:rsid w:val="00667025"/>
    <w:rsid w:val="00672F2C"/>
    <w:rsid w:val="00673E32"/>
    <w:rsid w:val="006748B8"/>
    <w:rsid w:val="00676946"/>
    <w:rsid w:val="006775C3"/>
    <w:rsid w:val="00677A5A"/>
    <w:rsid w:val="0068050D"/>
    <w:rsid w:val="00681200"/>
    <w:rsid w:val="006828F4"/>
    <w:rsid w:val="00687622"/>
    <w:rsid w:val="00690C3D"/>
    <w:rsid w:val="00690F82"/>
    <w:rsid w:val="0069168B"/>
    <w:rsid w:val="0069290A"/>
    <w:rsid w:val="006939A0"/>
    <w:rsid w:val="00693CA8"/>
    <w:rsid w:val="00694BFD"/>
    <w:rsid w:val="00697006"/>
    <w:rsid w:val="00697340"/>
    <w:rsid w:val="00697454"/>
    <w:rsid w:val="0069775A"/>
    <w:rsid w:val="00697813"/>
    <w:rsid w:val="006A1E1E"/>
    <w:rsid w:val="006A2A3A"/>
    <w:rsid w:val="006A3982"/>
    <w:rsid w:val="006A3EE8"/>
    <w:rsid w:val="006A4579"/>
    <w:rsid w:val="006A4D45"/>
    <w:rsid w:val="006A721B"/>
    <w:rsid w:val="006A72BF"/>
    <w:rsid w:val="006B03F2"/>
    <w:rsid w:val="006B157B"/>
    <w:rsid w:val="006B1FD6"/>
    <w:rsid w:val="006B34EF"/>
    <w:rsid w:val="006B37DC"/>
    <w:rsid w:val="006B3C34"/>
    <w:rsid w:val="006B3EA2"/>
    <w:rsid w:val="006B414B"/>
    <w:rsid w:val="006B4934"/>
    <w:rsid w:val="006B4F68"/>
    <w:rsid w:val="006B6B69"/>
    <w:rsid w:val="006C02E4"/>
    <w:rsid w:val="006C0592"/>
    <w:rsid w:val="006C272E"/>
    <w:rsid w:val="006C5479"/>
    <w:rsid w:val="006C6A36"/>
    <w:rsid w:val="006C7E2B"/>
    <w:rsid w:val="006D13B5"/>
    <w:rsid w:val="006D2A58"/>
    <w:rsid w:val="006D3C92"/>
    <w:rsid w:val="006D7154"/>
    <w:rsid w:val="006E0725"/>
    <w:rsid w:val="006E0CC8"/>
    <w:rsid w:val="006E12FF"/>
    <w:rsid w:val="006E3C84"/>
    <w:rsid w:val="006E607E"/>
    <w:rsid w:val="006E60A3"/>
    <w:rsid w:val="006E701F"/>
    <w:rsid w:val="006E75A4"/>
    <w:rsid w:val="006E775D"/>
    <w:rsid w:val="006F0C39"/>
    <w:rsid w:val="006F181B"/>
    <w:rsid w:val="006F1C8D"/>
    <w:rsid w:val="006F219E"/>
    <w:rsid w:val="006F2D91"/>
    <w:rsid w:val="006F3E7E"/>
    <w:rsid w:val="006F4FD1"/>
    <w:rsid w:val="006F4FED"/>
    <w:rsid w:val="006F58FD"/>
    <w:rsid w:val="006F5AF0"/>
    <w:rsid w:val="006F5D93"/>
    <w:rsid w:val="006F66EC"/>
    <w:rsid w:val="006F70E8"/>
    <w:rsid w:val="0070116A"/>
    <w:rsid w:val="00702110"/>
    <w:rsid w:val="007022E4"/>
    <w:rsid w:val="00703283"/>
    <w:rsid w:val="00703AE1"/>
    <w:rsid w:val="00703F21"/>
    <w:rsid w:val="00706C5D"/>
    <w:rsid w:val="00710122"/>
    <w:rsid w:val="007105CD"/>
    <w:rsid w:val="00711D28"/>
    <w:rsid w:val="00712524"/>
    <w:rsid w:val="007148F5"/>
    <w:rsid w:val="00716843"/>
    <w:rsid w:val="007170DA"/>
    <w:rsid w:val="007172AE"/>
    <w:rsid w:val="00717B93"/>
    <w:rsid w:val="00721BE3"/>
    <w:rsid w:val="00722278"/>
    <w:rsid w:val="0072466C"/>
    <w:rsid w:val="00724AA2"/>
    <w:rsid w:val="00725C50"/>
    <w:rsid w:val="00725E69"/>
    <w:rsid w:val="00726B6C"/>
    <w:rsid w:val="00727978"/>
    <w:rsid w:val="0073017C"/>
    <w:rsid w:val="00731412"/>
    <w:rsid w:val="00732922"/>
    <w:rsid w:val="007339C1"/>
    <w:rsid w:val="00733D25"/>
    <w:rsid w:val="007340AE"/>
    <w:rsid w:val="00737390"/>
    <w:rsid w:val="007375B5"/>
    <w:rsid w:val="00740027"/>
    <w:rsid w:val="00740768"/>
    <w:rsid w:val="00741DC5"/>
    <w:rsid w:val="00742780"/>
    <w:rsid w:val="007443A7"/>
    <w:rsid w:val="00747489"/>
    <w:rsid w:val="007475C9"/>
    <w:rsid w:val="0074779D"/>
    <w:rsid w:val="0075005D"/>
    <w:rsid w:val="00750C54"/>
    <w:rsid w:val="00751084"/>
    <w:rsid w:val="0075162E"/>
    <w:rsid w:val="00752C31"/>
    <w:rsid w:val="00752CA9"/>
    <w:rsid w:val="00752E32"/>
    <w:rsid w:val="00754034"/>
    <w:rsid w:val="007543A5"/>
    <w:rsid w:val="00756556"/>
    <w:rsid w:val="0075790E"/>
    <w:rsid w:val="0076067C"/>
    <w:rsid w:val="00760B33"/>
    <w:rsid w:val="007618C4"/>
    <w:rsid w:val="00761D37"/>
    <w:rsid w:val="00763E64"/>
    <w:rsid w:val="007641AB"/>
    <w:rsid w:val="007663C4"/>
    <w:rsid w:val="0076673F"/>
    <w:rsid w:val="00766D13"/>
    <w:rsid w:val="00767573"/>
    <w:rsid w:val="00767980"/>
    <w:rsid w:val="007703B2"/>
    <w:rsid w:val="00770B19"/>
    <w:rsid w:val="0077463F"/>
    <w:rsid w:val="0077603E"/>
    <w:rsid w:val="00777857"/>
    <w:rsid w:val="007808E4"/>
    <w:rsid w:val="00780FA8"/>
    <w:rsid w:val="007813BE"/>
    <w:rsid w:val="00782D0F"/>
    <w:rsid w:val="0078335F"/>
    <w:rsid w:val="007836EA"/>
    <w:rsid w:val="0078467D"/>
    <w:rsid w:val="0078474F"/>
    <w:rsid w:val="00784CDA"/>
    <w:rsid w:val="007850FB"/>
    <w:rsid w:val="0078597B"/>
    <w:rsid w:val="007867D2"/>
    <w:rsid w:val="007869EF"/>
    <w:rsid w:val="00786C5E"/>
    <w:rsid w:val="00787AD4"/>
    <w:rsid w:val="007901FC"/>
    <w:rsid w:val="007906C4"/>
    <w:rsid w:val="00790DA5"/>
    <w:rsid w:val="00791FBC"/>
    <w:rsid w:val="007925B3"/>
    <w:rsid w:val="0079300D"/>
    <w:rsid w:val="007940EA"/>
    <w:rsid w:val="007954D7"/>
    <w:rsid w:val="007967E8"/>
    <w:rsid w:val="007A02CA"/>
    <w:rsid w:val="007A1A49"/>
    <w:rsid w:val="007A2170"/>
    <w:rsid w:val="007A22BF"/>
    <w:rsid w:val="007A3323"/>
    <w:rsid w:val="007A427B"/>
    <w:rsid w:val="007A501F"/>
    <w:rsid w:val="007A5CFB"/>
    <w:rsid w:val="007A650C"/>
    <w:rsid w:val="007A66F2"/>
    <w:rsid w:val="007A682B"/>
    <w:rsid w:val="007A716F"/>
    <w:rsid w:val="007B1613"/>
    <w:rsid w:val="007B24E8"/>
    <w:rsid w:val="007B2802"/>
    <w:rsid w:val="007B3654"/>
    <w:rsid w:val="007B4970"/>
    <w:rsid w:val="007B67D9"/>
    <w:rsid w:val="007B72B8"/>
    <w:rsid w:val="007B7875"/>
    <w:rsid w:val="007B7A58"/>
    <w:rsid w:val="007C21B5"/>
    <w:rsid w:val="007C260B"/>
    <w:rsid w:val="007C2A07"/>
    <w:rsid w:val="007C322E"/>
    <w:rsid w:val="007C3B60"/>
    <w:rsid w:val="007C4BB8"/>
    <w:rsid w:val="007C4DF5"/>
    <w:rsid w:val="007C63A0"/>
    <w:rsid w:val="007C7F1E"/>
    <w:rsid w:val="007D00C9"/>
    <w:rsid w:val="007D08FA"/>
    <w:rsid w:val="007D2BCA"/>
    <w:rsid w:val="007D465A"/>
    <w:rsid w:val="007D53FB"/>
    <w:rsid w:val="007D7C3B"/>
    <w:rsid w:val="007E0E75"/>
    <w:rsid w:val="007E106F"/>
    <w:rsid w:val="007E1578"/>
    <w:rsid w:val="007E20C9"/>
    <w:rsid w:val="007E2422"/>
    <w:rsid w:val="007E2A77"/>
    <w:rsid w:val="007E3880"/>
    <w:rsid w:val="007E4BD2"/>
    <w:rsid w:val="007F148A"/>
    <w:rsid w:val="007F2E0A"/>
    <w:rsid w:val="007F4391"/>
    <w:rsid w:val="007F4F7E"/>
    <w:rsid w:val="007F6F07"/>
    <w:rsid w:val="00801187"/>
    <w:rsid w:val="00801393"/>
    <w:rsid w:val="0080279A"/>
    <w:rsid w:val="00802F88"/>
    <w:rsid w:val="00803DAF"/>
    <w:rsid w:val="008048F1"/>
    <w:rsid w:val="0080531D"/>
    <w:rsid w:val="008054A7"/>
    <w:rsid w:val="00807299"/>
    <w:rsid w:val="00810F02"/>
    <w:rsid w:val="008113EF"/>
    <w:rsid w:val="0081293E"/>
    <w:rsid w:val="00812CAB"/>
    <w:rsid w:val="00814D51"/>
    <w:rsid w:val="00815465"/>
    <w:rsid w:val="00817E9A"/>
    <w:rsid w:val="00822EF0"/>
    <w:rsid w:val="00825792"/>
    <w:rsid w:val="008278A4"/>
    <w:rsid w:val="00827DBA"/>
    <w:rsid w:val="008306BD"/>
    <w:rsid w:val="008319FC"/>
    <w:rsid w:val="00831A80"/>
    <w:rsid w:val="00831C11"/>
    <w:rsid w:val="00833743"/>
    <w:rsid w:val="008340A4"/>
    <w:rsid w:val="008344B9"/>
    <w:rsid w:val="0083491B"/>
    <w:rsid w:val="00834A55"/>
    <w:rsid w:val="00835306"/>
    <w:rsid w:val="00836803"/>
    <w:rsid w:val="0083755C"/>
    <w:rsid w:val="0083778E"/>
    <w:rsid w:val="008379FC"/>
    <w:rsid w:val="00837A3A"/>
    <w:rsid w:val="0084093A"/>
    <w:rsid w:val="008414A9"/>
    <w:rsid w:val="00842104"/>
    <w:rsid w:val="00843254"/>
    <w:rsid w:val="00843726"/>
    <w:rsid w:val="00844BE2"/>
    <w:rsid w:val="00846349"/>
    <w:rsid w:val="0084709B"/>
    <w:rsid w:val="00847D02"/>
    <w:rsid w:val="00847E73"/>
    <w:rsid w:val="00847EB3"/>
    <w:rsid w:val="00851269"/>
    <w:rsid w:val="00853A52"/>
    <w:rsid w:val="00853AE8"/>
    <w:rsid w:val="00854984"/>
    <w:rsid w:val="00855F6F"/>
    <w:rsid w:val="00856B50"/>
    <w:rsid w:val="00856BB3"/>
    <w:rsid w:val="00856CD9"/>
    <w:rsid w:val="00857BE3"/>
    <w:rsid w:val="008605C2"/>
    <w:rsid w:val="00860E24"/>
    <w:rsid w:val="00864F79"/>
    <w:rsid w:val="008660CB"/>
    <w:rsid w:val="00867EF0"/>
    <w:rsid w:val="0087135F"/>
    <w:rsid w:val="00872BF1"/>
    <w:rsid w:val="00872D94"/>
    <w:rsid w:val="00872DE0"/>
    <w:rsid w:val="00873D5B"/>
    <w:rsid w:val="00874D34"/>
    <w:rsid w:val="008759A2"/>
    <w:rsid w:val="00876BC1"/>
    <w:rsid w:val="00877DCB"/>
    <w:rsid w:val="00880364"/>
    <w:rsid w:val="00880703"/>
    <w:rsid w:val="00881909"/>
    <w:rsid w:val="00886560"/>
    <w:rsid w:val="00886B8B"/>
    <w:rsid w:val="00887A70"/>
    <w:rsid w:val="00891592"/>
    <w:rsid w:val="00891854"/>
    <w:rsid w:val="0089186D"/>
    <w:rsid w:val="00891C2D"/>
    <w:rsid w:val="00891E9E"/>
    <w:rsid w:val="0089394C"/>
    <w:rsid w:val="0089445E"/>
    <w:rsid w:val="008A014C"/>
    <w:rsid w:val="008A2F68"/>
    <w:rsid w:val="008A41EA"/>
    <w:rsid w:val="008A476F"/>
    <w:rsid w:val="008A4C9A"/>
    <w:rsid w:val="008A75FD"/>
    <w:rsid w:val="008A79C3"/>
    <w:rsid w:val="008B1A17"/>
    <w:rsid w:val="008B4BCA"/>
    <w:rsid w:val="008B4FA6"/>
    <w:rsid w:val="008B5282"/>
    <w:rsid w:val="008B5C21"/>
    <w:rsid w:val="008B6653"/>
    <w:rsid w:val="008B6901"/>
    <w:rsid w:val="008B7C17"/>
    <w:rsid w:val="008C0790"/>
    <w:rsid w:val="008C0A2D"/>
    <w:rsid w:val="008C111D"/>
    <w:rsid w:val="008C11CD"/>
    <w:rsid w:val="008C16B6"/>
    <w:rsid w:val="008C19FC"/>
    <w:rsid w:val="008C2D01"/>
    <w:rsid w:val="008C2E05"/>
    <w:rsid w:val="008C40E6"/>
    <w:rsid w:val="008C4207"/>
    <w:rsid w:val="008C4EB0"/>
    <w:rsid w:val="008C5E5D"/>
    <w:rsid w:val="008D088B"/>
    <w:rsid w:val="008D0F7A"/>
    <w:rsid w:val="008D1667"/>
    <w:rsid w:val="008D29FA"/>
    <w:rsid w:val="008D3293"/>
    <w:rsid w:val="008D3B71"/>
    <w:rsid w:val="008D50F7"/>
    <w:rsid w:val="008D68E4"/>
    <w:rsid w:val="008D79EF"/>
    <w:rsid w:val="008D7BCF"/>
    <w:rsid w:val="008E033A"/>
    <w:rsid w:val="008E0506"/>
    <w:rsid w:val="008E0CFF"/>
    <w:rsid w:val="008E5D6B"/>
    <w:rsid w:val="008E75AD"/>
    <w:rsid w:val="008E76F0"/>
    <w:rsid w:val="008E788D"/>
    <w:rsid w:val="008F15FE"/>
    <w:rsid w:val="008F2768"/>
    <w:rsid w:val="008F2D29"/>
    <w:rsid w:val="008F353D"/>
    <w:rsid w:val="008F3C0E"/>
    <w:rsid w:val="008F4A53"/>
    <w:rsid w:val="008F5187"/>
    <w:rsid w:val="008F6085"/>
    <w:rsid w:val="008F60D8"/>
    <w:rsid w:val="008F61CC"/>
    <w:rsid w:val="008F720E"/>
    <w:rsid w:val="008F774D"/>
    <w:rsid w:val="0090111B"/>
    <w:rsid w:val="00901F97"/>
    <w:rsid w:val="00902727"/>
    <w:rsid w:val="0090312B"/>
    <w:rsid w:val="00904C2E"/>
    <w:rsid w:val="00907C63"/>
    <w:rsid w:val="00910F46"/>
    <w:rsid w:val="00912176"/>
    <w:rsid w:val="00912306"/>
    <w:rsid w:val="009131BB"/>
    <w:rsid w:val="0091439C"/>
    <w:rsid w:val="00914884"/>
    <w:rsid w:val="009168DD"/>
    <w:rsid w:val="00916CB0"/>
    <w:rsid w:val="0091736D"/>
    <w:rsid w:val="009201E2"/>
    <w:rsid w:val="009254BB"/>
    <w:rsid w:val="00926725"/>
    <w:rsid w:val="009276EC"/>
    <w:rsid w:val="0093037A"/>
    <w:rsid w:val="00930EAA"/>
    <w:rsid w:val="00931102"/>
    <w:rsid w:val="00931A97"/>
    <w:rsid w:val="00931DCA"/>
    <w:rsid w:val="00932351"/>
    <w:rsid w:val="00932F5B"/>
    <w:rsid w:val="00933644"/>
    <w:rsid w:val="009343F2"/>
    <w:rsid w:val="00935179"/>
    <w:rsid w:val="00935F96"/>
    <w:rsid w:val="00937CD3"/>
    <w:rsid w:val="0094154D"/>
    <w:rsid w:val="009430B7"/>
    <w:rsid w:val="00945330"/>
    <w:rsid w:val="0094543E"/>
    <w:rsid w:val="009473D5"/>
    <w:rsid w:val="0095155F"/>
    <w:rsid w:val="00951648"/>
    <w:rsid w:val="00951B4E"/>
    <w:rsid w:val="00954429"/>
    <w:rsid w:val="00954DE5"/>
    <w:rsid w:val="009563CE"/>
    <w:rsid w:val="00957A1C"/>
    <w:rsid w:val="00960813"/>
    <w:rsid w:val="0096165B"/>
    <w:rsid w:val="00961F28"/>
    <w:rsid w:val="009621B3"/>
    <w:rsid w:val="0096460D"/>
    <w:rsid w:val="00964629"/>
    <w:rsid w:val="0096481A"/>
    <w:rsid w:val="009650AD"/>
    <w:rsid w:val="00965991"/>
    <w:rsid w:val="00970279"/>
    <w:rsid w:val="00970EEE"/>
    <w:rsid w:val="009750ED"/>
    <w:rsid w:val="00976328"/>
    <w:rsid w:val="0097680D"/>
    <w:rsid w:val="00976D76"/>
    <w:rsid w:val="00977E95"/>
    <w:rsid w:val="009805CD"/>
    <w:rsid w:val="009806C3"/>
    <w:rsid w:val="0098208C"/>
    <w:rsid w:val="009823C8"/>
    <w:rsid w:val="00982438"/>
    <w:rsid w:val="00982C23"/>
    <w:rsid w:val="00983194"/>
    <w:rsid w:val="0098404C"/>
    <w:rsid w:val="0098431A"/>
    <w:rsid w:val="00984426"/>
    <w:rsid w:val="0098480C"/>
    <w:rsid w:val="00984ACC"/>
    <w:rsid w:val="00984B08"/>
    <w:rsid w:val="00984D52"/>
    <w:rsid w:val="00985283"/>
    <w:rsid w:val="00986C06"/>
    <w:rsid w:val="00986E06"/>
    <w:rsid w:val="009914B9"/>
    <w:rsid w:val="0099374A"/>
    <w:rsid w:val="00995271"/>
    <w:rsid w:val="0099538A"/>
    <w:rsid w:val="00995992"/>
    <w:rsid w:val="00995FE5"/>
    <w:rsid w:val="009966D9"/>
    <w:rsid w:val="00997F0E"/>
    <w:rsid w:val="009A0214"/>
    <w:rsid w:val="009A03E5"/>
    <w:rsid w:val="009A0740"/>
    <w:rsid w:val="009A0F3B"/>
    <w:rsid w:val="009A1BB4"/>
    <w:rsid w:val="009A252E"/>
    <w:rsid w:val="009A2628"/>
    <w:rsid w:val="009A31B7"/>
    <w:rsid w:val="009A3200"/>
    <w:rsid w:val="009A42D0"/>
    <w:rsid w:val="009A5009"/>
    <w:rsid w:val="009A5875"/>
    <w:rsid w:val="009A5CE7"/>
    <w:rsid w:val="009A5D77"/>
    <w:rsid w:val="009A7ED0"/>
    <w:rsid w:val="009B0897"/>
    <w:rsid w:val="009B2F88"/>
    <w:rsid w:val="009B302C"/>
    <w:rsid w:val="009B401D"/>
    <w:rsid w:val="009B51D1"/>
    <w:rsid w:val="009B5C02"/>
    <w:rsid w:val="009B5E3B"/>
    <w:rsid w:val="009B63F5"/>
    <w:rsid w:val="009B6BBE"/>
    <w:rsid w:val="009B7BD9"/>
    <w:rsid w:val="009C022F"/>
    <w:rsid w:val="009C040F"/>
    <w:rsid w:val="009C0CD1"/>
    <w:rsid w:val="009C202B"/>
    <w:rsid w:val="009C2AC3"/>
    <w:rsid w:val="009C37B2"/>
    <w:rsid w:val="009C4BA9"/>
    <w:rsid w:val="009C5188"/>
    <w:rsid w:val="009C63FB"/>
    <w:rsid w:val="009C6E0F"/>
    <w:rsid w:val="009C6EED"/>
    <w:rsid w:val="009C7D15"/>
    <w:rsid w:val="009C7DD5"/>
    <w:rsid w:val="009D0F09"/>
    <w:rsid w:val="009D1764"/>
    <w:rsid w:val="009D3432"/>
    <w:rsid w:val="009D4872"/>
    <w:rsid w:val="009D491A"/>
    <w:rsid w:val="009D578A"/>
    <w:rsid w:val="009E08BA"/>
    <w:rsid w:val="009E17DA"/>
    <w:rsid w:val="009E227D"/>
    <w:rsid w:val="009E3EA4"/>
    <w:rsid w:val="009E5019"/>
    <w:rsid w:val="009E6060"/>
    <w:rsid w:val="009F158B"/>
    <w:rsid w:val="009F2CE3"/>
    <w:rsid w:val="009F37F9"/>
    <w:rsid w:val="009F508A"/>
    <w:rsid w:val="009F51E8"/>
    <w:rsid w:val="009F6CF6"/>
    <w:rsid w:val="00A0174C"/>
    <w:rsid w:val="00A01ADD"/>
    <w:rsid w:val="00A02481"/>
    <w:rsid w:val="00A03177"/>
    <w:rsid w:val="00A0478E"/>
    <w:rsid w:val="00A04F1B"/>
    <w:rsid w:val="00A0501B"/>
    <w:rsid w:val="00A0593F"/>
    <w:rsid w:val="00A07777"/>
    <w:rsid w:val="00A108EA"/>
    <w:rsid w:val="00A10BE4"/>
    <w:rsid w:val="00A12876"/>
    <w:rsid w:val="00A12DBE"/>
    <w:rsid w:val="00A137B3"/>
    <w:rsid w:val="00A14947"/>
    <w:rsid w:val="00A20639"/>
    <w:rsid w:val="00A20A25"/>
    <w:rsid w:val="00A24CFD"/>
    <w:rsid w:val="00A318B6"/>
    <w:rsid w:val="00A32550"/>
    <w:rsid w:val="00A329C8"/>
    <w:rsid w:val="00A32A83"/>
    <w:rsid w:val="00A33AF1"/>
    <w:rsid w:val="00A35675"/>
    <w:rsid w:val="00A357B2"/>
    <w:rsid w:val="00A3587F"/>
    <w:rsid w:val="00A36125"/>
    <w:rsid w:val="00A368DB"/>
    <w:rsid w:val="00A3711A"/>
    <w:rsid w:val="00A419D3"/>
    <w:rsid w:val="00A41CD3"/>
    <w:rsid w:val="00A423AA"/>
    <w:rsid w:val="00A42A78"/>
    <w:rsid w:val="00A42C1A"/>
    <w:rsid w:val="00A42EEC"/>
    <w:rsid w:val="00A435A7"/>
    <w:rsid w:val="00A435B8"/>
    <w:rsid w:val="00A436B9"/>
    <w:rsid w:val="00A46C9F"/>
    <w:rsid w:val="00A47798"/>
    <w:rsid w:val="00A47E94"/>
    <w:rsid w:val="00A506BF"/>
    <w:rsid w:val="00A50F51"/>
    <w:rsid w:val="00A53C7C"/>
    <w:rsid w:val="00A53EC6"/>
    <w:rsid w:val="00A55C0F"/>
    <w:rsid w:val="00A5703B"/>
    <w:rsid w:val="00A57190"/>
    <w:rsid w:val="00A613A2"/>
    <w:rsid w:val="00A62120"/>
    <w:rsid w:val="00A6255A"/>
    <w:rsid w:val="00A62942"/>
    <w:rsid w:val="00A639A2"/>
    <w:rsid w:val="00A63E0B"/>
    <w:rsid w:val="00A63ECF"/>
    <w:rsid w:val="00A658B2"/>
    <w:rsid w:val="00A65A79"/>
    <w:rsid w:val="00A71508"/>
    <w:rsid w:val="00A72854"/>
    <w:rsid w:val="00A77D4C"/>
    <w:rsid w:val="00A800F7"/>
    <w:rsid w:val="00A854F6"/>
    <w:rsid w:val="00A85C8B"/>
    <w:rsid w:val="00A85E6C"/>
    <w:rsid w:val="00A8713F"/>
    <w:rsid w:val="00A90BA1"/>
    <w:rsid w:val="00A90F26"/>
    <w:rsid w:val="00A91071"/>
    <w:rsid w:val="00A92DD5"/>
    <w:rsid w:val="00A94852"/>
    <w:rsid w:val="00A95E64"/>
    <w:rsid w:val="00A96626"/>
    <w:rsid w:val="00A9707B"/>
    <w:rsid w:val="00A97A9A"/>
    <w:rsid w:val="00AA05B7"/>
    <w:rsid w:val="00AA0671"/>
    <w:rsid w:val="00AA2531"/>
    <w:rsid w:val="00AA4791"/>
    <w:rsid w:val="00AA5F5E"/>
    <w:rsid w:val="00AB0C95"/>
    <w:rsid w:val="00AB1624"/>
    <w:rsid w:val="00AB1E09"/>
    <w:rsid w:val="00AB2C62"/>
    <w:rsid w:val="00AB31A7"/>
    <w:rsid w:val="00AB364A"/>
    <w:rsid w:val="00AB5330"/>
    <w:rsid w:val="00AB7162"/>
    <w:rsid w:val="00AB7747"/>
    <w:rsid w:val="00AC0BBE"/>
    <w:rsid w:val="00AC14CE"/>
    <w:rsid w:val="00AC1879"/>
    <w:rsid w:val="00AC2A56"/>
    <w:rsid w:val="00AC4E87"/>
    <w:rsid w:val="00AC581B"/>
    <w:rsid w:val="00AC6EF6"/>
    <w:rsid w:val="00AD055E"/>
    <w:rsid w:val="00AD0EA7"/>
    <w:rsid w:val="00AD1336"/>
    <w:rsid w:val="00AD2041"/>
    <w:rsid w:val="00AD331B"/>
    <w:rsid w:val="00AD34DF"/>
    <w:rsid w:val="00AD3B75"/>
    <w:rsid w:val="00AD3E96"/>
    <w:rsid w:val="00AD47A7"/>
    <w:rsid w:val="00AD4A60"/>
    <w:rsid w:val="00AD6628"/>
    <w:rsid w:val="00AD7915"/>
    <w:rsid w:val="00AE00A6"/>
    <w:rsid w:val="00AE0898"/>
    <w:rsid w:val="00AE2AA5"/>
    <w:rsid w:val="00AE2F50"/>
    <w:rsid w:val="00AE30A7"/>
    <w:rsid w:val="00AE4F37"/>
    <w:rsid w:val="00AE5519"/>
    <w:rsid w:val="00AE5731"/>
    <w:rsid w:val="00AE6C99"/>
    <w:rsid w:val="00AE7AFA"/>
    <w:rsid w:val="00AE7B68"/>
    <w:rsid w:val="00AE7EE5"/>
    <w:rsid w:val="00AF0CBF"/>
    <w:rsid w:val="00AF181F"/>
    <w:rsid w:val="00AF2201"/>
    <w:rsid w:val="00AF257F"/>
    <w:rsid w:val="00AF33CF"/>
    <w:rsid w:val="00AF4536"/>
    <w:rsid w:val="00AF4D50"/>
    <w:rsid w:val="00AF4FBD"/>
    <w:rsid w:val="00AF6179"/>
    <w:rsid w:val="00AF7A1E"/>
    <w:rsid w:val="00B005C2"/>
    <w:rsid w:val="00B01FC7"/>
    <w:rsid w:val="00B03705"/>
    <w:rsid w:val="00B04687"/>
    <w:rsid w:val="00B052E2"/>
    <w:rsid w:val="00B0574A"/>
    <w:rsid w:val="00B0599D"/>
    <w:rsid w:val="00B06E48"/>
    <w:rsid w:val="00B074A8"/>
    <w:rsid w:val="00B0753F"/>
    <w:rsid w:val="00B10F7C"/>
    <w:rsid w:val="00B12935"/>
    <w:rsid w:val="00B1295A"/>
    <w:rsid w:val="00B1322C"/>
    <w:rsid w:val="00B1380E"/>
    <w:rsid w:val="00B15087"/>
    <w:rsid w:val="00B15CBD"/>
    <w:rsid w:val="00B17E37"/>
    <w:rsid w:val="00B204D5"/>
    <w:rsid w:val="00B20A45"/>
    <w:rsid w:val="00B20B01"/>
    <w:rsid w:val="00B21462"/>
    <w:rsid w:val="00B21D9A"/>
    <w:rsid w:val="00B2223F"/>
    <w:rsid w:val="00B22359"/>
    <w:rsid w:val="00B22960"/>
    <w:rsid w:val="00B22C5C"/>
    <w:rsid w:val="00B23187"/>
    <w:rsid w:val="00B23C0C"/>
    <w:rsid w:val="00B23C65"/>
    <w:rsid w:val="00B24F30"/>
    <w:rsid w:val="00B27463"/>
    <w:rsid w:val="00B27F27"/>
    <w:rsid w:val="00B27FD0"/>
    <w:rsid w:val="00B30029"/>
    <w:rsid w:val="00B305A9"/>
    <w:rsid w:val="00B3074F"/>
    <w:rsid w:val="00B31ABF"/>
    <w:rsid w:val="00B329C5"/>
    <w:rsid w:val="00B335B3"/>
    <w:rsid w:val="00B33BE3"/>
    <w:rsid w:val="00B35D31"/>
    <w:rsid w:val="00B3612A"/>
    <w:rsid w:val="00B364AC"/>
    <w:rsid w:val="00B40358"/>
    <w:rsid w:val="00B40391"/>
    <w:rsid w:val="00B405FA"/>
    <w:rsid w:val="00B4081F"/>
    <w:rsid w:val="00B4237D"/>
    <w:rsid w:val="00B43586"/>
    <w:rsid w:val="00B45AE1"/>
    <w:rsid w:val="00B45DFE"/>
    <w:rsid w:val="00B45E9F"/>
    <w:rsid w:val="00B50018"/>
    <w:rsid w:val="00B50650"/>
    <w:rsid w:val="00B50713"/>
    <w:rsid w:val="00B53B5D"/>
    <w:rsid w:val="00B55BDF"/>
    <w:rsid w:val="00B55C4B"/>
    <w:rsid w:val="00B6055E"/>
    <w:rsid w:val="00B62DC7"/>
    <w:rsid w:val="00B6317D"/>
    <w:rsid w:val="00B6374A"/>
    <w:rsid w:val="00B63EA2"/>
    <w:rsid w:val="00B64F05"/>
    <w:rsid w:val="00B663E8"/>
    <w:rsid w:val="00B6696E"/>
    <w:rsid w:val="00B73A71"/>
    <w:rsid w:val="00B74725"/>
    <w:rsid w:val="00B74C26"/>
    <w:rsid w:val="00B760D6"/>
    <w:rsid w:val="00B76C85"/>
    <w:rsid w:val="00B7723F"/>
    <w:rsid w:val="00B77243"/>
    <w:rsid w:val="00B778E1"/>
    <w:rsid w:val="00B77F48"/>
    <w:rsid w:val="00B800CD"/>
    <w:rsid w:val="00B80534"/>
    <w:rsid w:val="00B82805"/>
    <w:rsid w:val="00B839B3"/>
    <w:rsid w:val="00B83C30"/>
    <w:rsid w:val="00B8433C"/>
    <w:rsid w:val="00B845EF"/>
    <w:rsid w:val="00B85644"/>
    <w:rsid w:val="00B86064"/>
    <w:rsid w:val="00B861F7"/>
    <w:rsid w:val="00B867E9"/>
    <w:rsid w:val="00B87491"/>
    <w:rsid w:val="00B91513"/>
    <w:rsid w:val="00B91744"/>
    <w:rsid w:val="00B92A21"/>
    <w:rsid w:val="00B93837"/>
    <w:rsid w:val="00B93AD7"/>
    <w:rsid w:val="00B9465B"/>
    <w:rsid w:val="00B95ACB"/>
    <w:rsid w:val="00B96576"/>
    <w:rsid w:val="00B973B4"/>
    <w:rsid w:val="00BA1E9D"/>
    <w:rsid w:val="00BA29E9"/>
    <w:rsid w:val="00BA3210"/>
    <w:rsid w:val="00BA3F9D"/>
    <w:rsid w:val="00BA6AEB"/>
    <w:rsid w:val="00BA7142"/>
    <w:rsid w:val="00BA7CDB"/>
    <w:rsid w:val="00BB05F9"/>
    <w:rsid w:val="00BB0846"/>
    <w:rsid w:val="00BB1C8B"/>
    <w:rsid w:val="00BB237C"/>
    <w:rsid w:val="00BB28FF"/>
    <w:rsid w:val="00BB2D5E"/>
    <w:rsid w:val="00BB40BE"/>
    <w:rsid w:val="00BB41A3"/>
    <w:rsid w:val="00BB4851"/>
    <w:rsid w:val="00BB4E4B"/>
    <w:rsid w:val="00BB734D"/>
    <w:rsid w:val="00BC0251"/>
    <w:rsid w:val="00BC21EF"/>
    <w:rsid w:val="00BC22BF"/>
    <w:rsid w:val="00BC2EC6"/>
    <w:rsid w:val="00BC32DC"/>
    <w:rsid w:val="00BC3369"/>
    <w:rsid w:val="00BC35B6"/>
    <w:rsid w:val="00BC4220"/>
    <w:rsid w:val="00BC42E7"/>
    <w:rsid w:val="00BC5499"/>
    <w:rsid w:val="00BD0683"/>
    <w:rsid w:val="00BD1B51"/>
    <w:rsid w:val="00BD2811"/>
    <w:rsid w:val="00BD2BA7"/>
    <w:rsid w:val="00BD32C2"/>
    <w:rsid w:val="00BD3830"/>
    <w:rsid w:val="00BD4596"/>
    <w:rsid w:val="00BD5D97"/>
    <w:rsid w:val="00BD6018"/>
    <w:rsid w:val="00BD78BC"/>
    <w:rsid w:val="00BE0B13"/>
    <w:rsid w:val="00BE1405"/>
    <w:rsid w:val="00BE19DB"/>
    <w:rsid w:val="00BE1B8D"/>
    <w:rsid w:val="00BE312D"/>
    <w:rsid w:val="00BE382C"/>
    <w:rsid w:val="00BE3EA9"/>
    <w:rsid w:val="00BE444E"/>
    <w:rsid w:val="00BE4D83"/>
    <w:rsid w:val="00BF073D"/>
    <w:rsid w:val="00BF1C20"/>
    <w:rsid w:val="00BF2AF2"/>
    <w:rsid w:val="00BF33FD"/>
    <w:rsid w:val="00BF4137"/>
    <w:rsid w:val="00C011B5"/>
    <w:rsid w:val="00C019AF"/>
    <w:rsid w:val="00C01EA3"/>
    <w:rsid w:val="00C027D5"/>
    <w:rsid w:val="00C0414A"/>
    <w:rsid w:val="00C05BBC"/>
    <w:rsid w:val="00C10578"/>
    <w:rsid w:val="00C108DF"/>
    <w:rsid w:val="00C11DA1"/>
    <w:rsid w:val="00C12AAE"/>
    <w:rsid w:val="00C12E87"/>
    <w:rsid w:val="00C130E5"/>
    <w:rsid w:val="00C1327D"/>
    <w:rsid w:val="00C135BC"/>
    <w:rsid w:val="00C1361E"/>
    <w:rsid w:val="00C144B6"/>
    <w:rsid w:val="00C14CAD"/>
    <w:rsid w:val="00C1543A"/>
    <w:rsid w:val="00C15C95"/>
    <w:rsid w:val="00C178CB"/>
    <w:rsid w:val="00C2142F"/>
    <w:rsid w:val="00C21DC4"/>
    <w:rsid w:val="00C2221F"/>
    <w:rsid w:val="00C23EF5"/>
    <w:rsid w:val="00C2596A"/>
    <w:rsid w:val="00C25C19"/>
    <w:rsid w:val="00C267D1"/>
    <w:rsid w:val="00C271D9"/>
    <w:rsid w:val="00C27537"/>
    <w:rsid w:val="00C31A5F"/>
    <w:rsid w:val="00C31B4A"/>
    <w:rsid w:val="00C31CE2"/>
    <w:rsid w:val="00C32730"/>
    <w:rsid w:val="00C328FE"/>
    <w:rsid w:val="00C33507"/>
    <w:rsid w:val="00C33DDA"/>
    <w:rsid w:val="00C34E44"/>
    <w:rsid w:val="00C40059"/>
    <w:rsid w:val="00C40EA2"/>
    <w:rsid w:val="00C43BAB"/>
    <w:rsid w:val="00C43CED"/>
    <w:rsid w:val="00C4409D"/>
    <w:rsid w:val="00C44D4A"/>
    <w:rsid w:val="00C44E72"/>
    <w:rsid w:val="00C455BF"/>
    <w:rsid w:val="00C45A06"/>
    <w:rsid w:val="00C46FF8"/>
    <w:rsid w:val="00C47944"/>
    <w:rsid w:val="00C47E5B"/>
    <w:rsid w:val="00C50522"/>
    <w:rsid w:val="00C5110A"/>
    <w:rsid w:val="00C512D0"/>
    <w:rsid w:val="00C559DB"/>
    <w:rsid w:val="00C55E04"/>
    <w:rsid w:val="00C56FAB"/>
    <w:rsid w:val="00C603EB"/>
    <w:rsid w:val="00C60442"/>
    <w:rsid w:val="00C60593"/>
    <w:rsid w:val="00C616BE"/>
    <w:rsid w:val="00C61E4B"/>
    <w:rsid w:val="00C63B5A"/>
    <w:rsid w:val="00C64BFF"/>
    <w:rsid w:val="00C653D8"/>
    <w:rsid w:val="00C67A2D"/>
    <w:rsid w:val="00C67D80"/>
    <w:rsid w:val="00C67DB6"/>
    <w:rsid w:val="00C67FFC"/>
    <w:rsid w:val="00C704E9"/>
    <w:rsid w:val="00C749EA"/>
    <w:rsid w:val="00C7527C"/>
    <w:rsid w:val="00C763C9"/>
    <w:rsid w:val="00C80057"/>
    <w:rsid w:val="00C80283"/>
    <w:rsid w:val="00C82232"/>
    <w:rsid w:val="00C827E5"/>
    <w:rsid w:val="00C82913"/>
    <w:rsid w:val="00C8369E"/>
    <w:rsid w:val="00C8442B"/>
    <w:rsid w:val="00C84663"/>
    <w:rsid w:val="00C84ED9"/>
    <w:rsid w:val="00C8556B"/>
    <w:rsid w:val="00C87573"/>
    <w:rsid w:val="00C9426E"/>
    <w:rsid w:val="00C972B1"/>
    <w:rsid w:val="00CA0830"/>
    <w:rsid w:val="00CA152B"/>
    <w:rsid w:val="00CA173B"/>
    <w:rsid w:val="00CA1AD0"/>
    <w:rsid w:val="00CA2CCE"/>
    <w:rsid w:val="00CA2DA6"/>
    <w:rsid w:val="00CA3172"/>
    <w:rsid w:val="00CA43FD"/>
    <w:rsid w:val="00CA77D9"/>
    <w:rsid w:val="00CA7EF8"/>
    <w:rsid w:val="00CB17D9"/>
    <w:rsid w:val="00CB1820"/>
    <w:rsid w:val="00CB3E83"/>
    <w:rsid w:val="00CB43EB"/>
    <w:rsid w:val="00CB4AFE"/>
    <w:rsid w:val="00CB59C7"/>
    <w:rsid w:val="00CB6A86"/>
    <w:rsid w:val="00CC1760"/>
    <w:rsid w:val="00CC2BA8"/>
    <w:rsid w:val="00CC489B"/>
    <w:rsid w:val="00CC5048"/>
    <w:rsid w:val="00CC6109"/>
    <w:rsid w:val="00CC6BAB"/>
    <w:rsid w:val="00CC76D4"/>
    <w:rsid w:val="00CD0160"/>
    <w:rsid w:val="00CD16EC"/>
    <w:rsid w:val="00CD18D0"/>
    <w:rsid w:val="00CD2BCD"/>
    <w:rsid w:val="00CD3A4C"/>
    <w:rsid w:val="00CD45E8"/>
    <w:rsid w:val="00CD6D0A"/>
    <w:rsid w:val="00CD7446"/>
    <w:rsid w:val="00CD762F"/>
    <w:rsid w:val="00CD7F31"/>
    <w:rsid w:val="00CE10E9"/>
    <w:rsid w:val="00CE1AC6"/>
    <w:rsid w:val="00CE1FFB"/>
    <w:rsid w:val="00CE2559"/>
    <w:rsid w:val="00CE2910"/>
    <w:rsid w:val="00CE3456"/>
    <w:rsid w:val="00CE5393"/>
    <w:rsid w:val="00CE5EBC"/>
    <w:rsid w:val="00CE67C6"/>
    <w:rsid w:val="00CE6C33"/>
    <w:rsid w:val="00CF05F6"/>
    <w:rsid w:val="00CF16E4"/>
    <w:rsid w:val="00CF2420"/>
    <w:rsid w:val="00CF36BE"/>
    <w:rsid w:val="00CF39A5"/>
    <w:rsid w:val="00CF536E"/>
    <w:rsid w:val="00CF6000"/>
    <w:rsid w:val="00CF6556"/>
    <w:rsid w:val="00CF6AC1"/>
    <w:rsid w:val="00D003F3"/>
    <w:rsid w:val="00D01039"/>
    <w:rsid w:val="00D0221C"/>
    <w:rsid w:val="00D02A6E"/>
    <w:rsid w:val="00D034AC"/>
    <w:rsid w:val="00D0364F"/>
    <w:rsid w:val="00D037F1"/>
    <w:rsid w:val="00D03981"/>
    <w:rsid w:val="00D0401F"/>
    <w:rsid w:val="00D05438"/>
    <w:rsid w:val="00D06026"/>
    <w:rsid w:val="00D060B8"/>
    <w:rsid w:val="00D06834"/>
    <w:rsid w:val="00D06CD1"/>
    <w:rsid w:val="00D07E7A"/>
    <w:rsid w:val="00D11E99"/>
    <w:rsid w:val="00D144C6"/>
    <w:rsid w:val="00D15CA4"/>
    <w:rsid w:val="00D15F13"/>
    <w:rsid w:val="00D17C12"/>
    <w:rsid w:val="00D17DD4"/>
    <w:rsid w:val="00D20083"/>
    <w:rsid w:val="00D220ED"/>
    <w:rsid w:val="00D2243E"/>
    <w:rsid w:val="00D226CB"/>
    <w:rsid w:val="00D227F0"/>
    <w:rsid w:val="00D23F9E"/>
    <w:rsid w:val="00D24773"/>
    <w:rsid w:val="00D2736B"/>
    <w:rsid w:val="00D3078D"/>
    <w:rsid w:val="00D308ED"/>
    <w:rsid w:val="00D30D4C"/>
    <w:rsid w:val="00D34028"/>
    <w:rsid w:val="00D34ED3"/>
    <w:rsid w:val="00D35427"/>
    <w:rsid w:val="00D36884"/>
    <w:rsid w:val="00D36D86"/>
    <w:rsid w:val="00D3762E"/>
    <w:rsid w:val="00D37B53"/>
    <w:rsid w:val="00D40130"/>
    <w:rsid w:val="00D41FF7"/>
    <w:rsid w:val="00D4272D"/>
    <w:rsid w:val="00D428AA"/>
    <w:rsid w:val="00D43905"/>
    <w:rsid w:val="00D4471E"/>
    <w:rsid w:val="00D44A10"/>
    <w:rsid w:val="00D4522E"/>
    <w:rsid w:val="00D4534D"/>
    <w:rsid w:val="00D476BE"/>
    <w:rsid w:val="00D47739"/>
    <w:rsid w:val="00D47978"/>
    <w:rsid w:val="00D47ED5"/>
    <w:rsid w:val="00D50A34"/>
    <w:rsid w:val="00D51A2E"/>
    <w:rsid w:val="00D52C45"/>
    <w:rsid w:val="00D536AB"/>
    <w:rsid w:val="00D53EFA"/>
    <w:rsid w:val="00D53F59"/>
    <w:rsid w:val="00D540B4"/>
    <w:rsid w:val="00D55990"/>
    <w:rsid w:val="00D55BF8"/>
    <w:rsid w:val="00D56A2F"/>
    <w:rsid w:val="00D57397"/>
    <w:rsid w:val="00D57606"/>
    <w:rsid w:val="00D57CE4"/>
    <w:rsid w:val="00D61624"/>
    <w:rsid w:val="00D61EBE"/>
    <w:rsid w:val="00D61FFD"/>
    <w:rsid w:val="00D62583"/>
    <w:rsid w:val="00D63093"/>
    <w:rsid w:val="00D65322"/>
    <w:rsid w:val="00D65FF5"/>
    <w:rsid w:val="00D6640D"/>
    <w:rsid w:val="00D67600"/>
    <w:rsid w:val="00D70084"/>
    <w:rsid w:val="00D70AFB"/>
    <w:rsid w:val="00D721CB"/>
    <w:rsid w:val="00D73782"/>
    <w:rsid w:val="00D74024"/>
    <w:rsid w:val="00D7507C"/>
    <w:rsid w:val="00D75C8B"/>
    <w:rsid w:val="00D808A5"/>
    <w:rsid w:val="00D810A2"/>
    <w:rsid w:val="00D818EF"/>
    <w:rsid w:val="00D82FC7"/>
    <w:rsid w:val="00D84959"/>
    <w:rsid w:val="00D84A89"/>
    <w:rsid w:val="00D876AE"/>
    <w:rsid w:val="00D87702"/>
    <w:rsid w:val="00D92872"/>
    <w:rsid w:val="00D94A7C"/>
    <w:rsid w:val="00D95896"/>
    <w:rsid w:val="00D97895"/>
    <w:rsid w:val="00DA00A6"/>
    <w:rsid w:val="00DA0B41"/>
    <w:rsid w:val="00DA11C3"/>
    <w:rsid w:val="00DA18DE"/>
    <w:rsid w:val="00DA2D14"/>
    <w:rsid w:val="00DA3E21"/>
    <w:rsid w:val="00DA49FA"/>
    <w:rsid w:val="00DA6A07"/>
    <w:rsid w:val="00DA7CCB"/>
    <w:rsid w:val="00DB01A7"/>
    <w:rsid w:val="00DB0E2E"/>
    <w:rsid w:val="00DB105E"/>
    <w:rsid w:val="00DB1CCE"/>
    <w:rsid w:val="00DB2983"/>
    <w:rsid w:val="00DB2C67"/>
    <w:rsid w:val="00DB34D5"/>
    <w:rsid w:val="00DB35B4"/>
    <w:rsid w:val="00DB63C2"/>
    <w:rsid w:val="00DB6CCB"/>
    <w:rsid w:val="00DC061C"/>
    <w:rsid w:val="00DC1257"/>
    <w:rsid w:val="00DC1F82"/>
    <w:rsid w:val="00DC23D1"/>
    <w:rsid w:val="00DC2A18"/>
    <w:rsid w:val="00DC3191"/>
    <w:rsid w:val="00DC3DC0"/>
    <w:rsid w:val="00DC43A7"/>
    <w:rsid w:val="00DC5B2B"/>
    <w:rsid w:val="00DC662A"/>
    <w:rsid w:val="00DC7F12"/>
    <w:rsid w:val="00DD213A"/>
    <w:rsid w:val="00DD2564"/>
    <w:rsid w:val="00DD318D"/>
    <w:rsid w:val="00DD5B5A"/>
    <w:rsid w:val="00DD665A"/>
    <w:rsid w:val="00DD6FAE"/>
    <w:rsid w:val="00DD7298"/>
    <w:rsid w:val="00DD7642"/>
    <w:rsid w:val="00DE0199"/>
    <w:rsid w:val="00DE1647"/>
    <w:rsid w:val="00DE17B3"/>
    <w:rsid w:val="00DE326C"/>
    <w:rsid w:val="00DE47B4"/>
    <w:rsid w:val="00DE7D10"/>
    <w:rsid w:val="00DE7E5C"/>
    <w:rsid w:val="00DF0AAE"/>
    <w:rsid w:val="00DF2E12"/>
    <w:rsid w:val="00DF38EB"/>
    <w:rsid w:val="00DF419D"/>
    <w:rsid w:val="00DF514A"/>
    <w:rsid w:val="00DF523A"/>
    <w:rsid w:val="00DF5EC9"/>
    <w:rsid w:val="00DF6690"/>
    <w:rsid w:val="00DF66B3"/>
    <w:rsid w:val="00DF6804"/>
    <w:rsid w:val="00E00EFD"/>
    <w:rsid w:val="00E01AD3"/>
    <w:rsid w:val="00E0202E"/>
    <w:rsid w:val="00E0358D"/>
    <w:rsid w:val="00E036B5"/>
    <w:rsid w:val="00E04323"/>
    <w:rsid w:val="00E05892"/>
    <w:rsid w:val="00E070A2"/>
    <w:rsid w:val="00E07926"/>
    <w:rsid w:val="00E07BDF"/>
    <w:rsid w:val="00E100FC"/>
    <w:rsid w:val="00E10FAE"/>
    <w:rsid w:val="00E122AB"/>
    <w:rsid w:val="00E13141"/>
    <w:rsid w:val="00E147ED"/>
    <w:rsid w:val="00E148E7"/>
    <w:rsid w:val="00E15752"/>
    <w:rsid w:val="00E1613F"/>
    <w:rsid w:val="00E20CB6"/>
    <w:rsid w:val="00E20D43"/>
    <w:rsid w:val="00E21504"/>
    <w:rsid w:val="00E215DA"/>
    <w:rsid w:val="00E22F37"/>
    <w:rsid w:val="00E258F0"/>
    <w:rsid w:val="00E2656A"/>
    <w:rsid w:val="00E26964"/>
    <w:rsid w:val="00E26B0C"/>
    <w:rsid w:val="00E304C0"/>
    <w:rsid w:val="00E31F74"/>
    <w:rsid w:val="00E32583"/>
    <w:rsid w:val="00E353C8"/>
    <w:rsid w:val="00E35BCA"/>
    <w:rsid w:val="00E368B3"/>
    <w:rsid w:val="00E37DEB"/>
    <w:rsid w:val="00E40F07"/>
    <w:rsid w:val="00E412D0"/>
    <w:rsid w:val="00E41499"/>
    <w:rsid w:val="00E41C7D"/>
    <w:rsid w:val="00E4275A"/>
    <w:rsid w:val="00E427C1"/>
    <w:rsid w:val="00E43415"/>
    <w:rsid w:val="00E4465E"/>
    <w:rsid w:val="00E45C3A"/>
    <w:rsid w:val="00E45CAD"/>
    <w:rsid w:val="00E51617"/>
    <w:rsid w:val="00E5194C"/>
    <w:rsid w:val="00E544D8"/>
    <w:rsid w:val="00E56322"/>
    <w:rsid w:val="00E56D06"/>
    <w:rsid w:val="00E57BDD"/>
    <w:rsid w:val="00E60982"/>
    <w:rsid w:val="00E6186C"/>
    <w:rsid w:val="00E62C62"/>
    <w:rsid w:val="00E64780"/>
    <w:rsid w:val="00E64DA0"/>
    <w:rsid w:val="00E64F42"/>
    <w:rsid w:val="00E65221"/>
    <w:rsid w:val="00E654C1"/>
    <w:rsid w:val="00E654E7"/>
    <w:rsid w:val="00E65D97"/>
    <w:rsid w:val="00E710ED"/>
    <w:rsid w:val="00E72A5A"/>
    <w:rsid w:val="00E72B43"/>
    <w:rsid w:val="00E72D67"/>
    <w:rsid w:val="00E73296"/>
    <w:rsid w:val="00E73354"/>
    <w:rsid w:val="00E73C20"/>
    <w:rsid w:val="00E73D9D"/>
    <w:rsid w:val="00E759B6"/>
    <w:rsid w:val="00E777B1"/>
    <w:rsid w:val="00E77E52"/>
    <w:rsid w:val="00E82D82"/>
    <w:rsid w:val="00E84787"/>
    <w:rsid w:val="00E84D09"/>
    <w:rsid w:val="00E8684D"/>
    <w:rsid w:val="00E87D3C"/>
    <w:rsid w:val="00E9242D"/>
    <w:rsid w:val="00E9339F"/>
    <w:rsid w:val="00E95AD7"/>
    <w:rsid w:val="00E95FD5"/>
    <w:rsid w:val="00E96086"/>
    <w:rsid w:val="00E960BF"/>
    <w:rsid w:val="00E97F92"/>
    <w:rsid w:val="00EA06B7"/>
    <w:rsid w:val="00EA0ED9"/>
    <w:rsid w:val="00EA53E5"/>
    <w:rsid w:val="00EA7B49"/>
    <w:rsid w:val="00EA7F6A"/>
    <w:rsid w:val="00EB0A25"/>
    <w:rsid w:val="00EB1112"/>
    <w:rsid w:val="00EB1700"/>
    <w:rsid w:val="00EB1DF6"/>
    <w:rsid w:val="00EB1EB1"/>
    <w:rsid w:val="00EB22C4"/>
    <w:rsid w:val="00EB3FAB"/>
    <w:rsid w:val="00EB45E1"/>
    <w:rsid w:val="00EB4F3F"/>
    <w:rsid w:val="00EB5255"/>
    <w:rsid w:val="00EB5C47"/>
    <w:rsid w:val="00EC0149"/>
    <w:rsid w:val="00EC1DED"/>
    <w:rsid w:val="00EC6B80"/>
    <w:rsid w:val="00ED00EA"/>
    <w:rsid w:val="00ED0639"/>
    <w:rsid w:val="00ED0D5A"/>
    <w:rsid w:val="00ED2325"/>
    <w:rsid w:val="00ED3C96"/>
    <w:rsid w:val="00ED40C7"/>
    <w:rsid w:val="00ED42CC"/>
    <w:rsid w:val="00ED563E"/>
    <w:rsid w:val="00ED6C32"/>
    <w:rsid w:val="00ED6ED4"/>
    <w:rsid w:val="00ED71A8"/>
    <w:rsid w:val="00ED77E3"/>
    <w:rsid w:val="00EE1719"/>
    <w:rsid w:val="00EE1F87"/>
    <w:rsid w:val="00EE3360"/>
    <w:rsid w:val="00EE5397"/>
    <w:rsid w:val="00EE5522"/>
    <w:rsid w:val="00EF17DC"/>
    <w:rsid w:val="00EF1E07"/>
    <w:rsid w:val="00EF37E9"/>
    <w:rsid w:val="00EF4755"/>
    <w:rsid w:val="00EF4CDC"/>
    <w:rsid w:val="00EF5924"/>
    <w:rsid w:val="00EF67E7"/>
    <w:rsid w:val="00EF67F1"/>
    <w:rsid w:val="00EF7135"/>
    <w:rsid w:val="00EF773B"/>
    <w:rsid w:val="00F002A1"/>
    <w:rsid w:val="00F00DDE"/>
    <w:rsid w:val="00F01686"/>
    <w:rsid w:val="00F027DB"/>
    <w:rsid w:val="00F03910"/>
    <w:rsid w:val="00F04376"/>
    <w:rsid w:val="00F06595"/>
    <w:rsid w:val="00F06B95"/>
    <w:rsid w:val="00F103A9"/>
    <w:rsid w:val="00F116BC"/>
    <w:rsid w:val="00F11DD7"/>
    <w:rsid w:val="00F13CBE"/>
    <w:rsid w:val="00F14A7A"/>
    <w:rsid w:val="00F1502A"/>
    <w:rsid w:val="00F16CE6"/>
    <w:rsid w:val="00F17FF1"/>
    <w:rsid w:val="00F2012A"/>
    <w:rsid w:val="00F227CA"/>
    <w:rsid w:val="00F22985"/>
    <w:rsid w:val="00F23965"/>
    <w:rsid w:val="00F23B0D"/>
    <w:rsid w:val="00F247C0"/>
    <w:rsid w:val="00F24F92"/>
    <w:rsid w:val="00F25551"/>
    <w:rsid w:val="00F27592"/>
    <w:rsid w:val="00F2787B"/>
    <w:rsid w:val="00F316C7"/>
    <w:rsid w:val="00F31965"/>
    <w:rsid w:val="00F3383E"/>
    <w:rsid w:val="00F345EB"/>
    <w:rsid w:val="00F35490"/>
    <w:rsid w:val="00F35C6E"/>
    <w:rsid w:val="00F40E6C"/>
    <w:rsid w:val="00F41B7A"/>
    <w:rsid w:val="00F42178"/>
    <w:rsid w:val="00F42942"/>
    <w:rsid w:val="00F43D84"/>
    <w:rsid w:val="00F465A7"/>
    <w:rsid w:val="00F47784"/>
    <w:rsid w:val="00F507D8"/>
    <w:rsid w:val="00F50B7C"/>
    <w:rsid w:val="00F51A1A"/>
    <w:rsid w:val="00F536F2"/>
    <w:rsid w:val="00F540A5"/>
    <w:rsid w:val="00F541DA"/>
    <w:rsid w:val="00F550E6"/>
    <w:rsid w:val="00F56212"/>
    <w:rsid w:val="00F57198"/>
    <w:rsid w:val="00F61F3E"/>
    <w:rsid w:val="00F6358A"/>
    <w:rsid w:val="00F640BA"/>
    <w:rsid w:val="00F6432E"/>
    <w:rsid w:val="00F6536E"/>
    <w:rsid w:val="00F66490"/>
    <w:rsid w:val="00F7207E"/>
    <w:rsid w:val="00F7218E"/>
    <w:rsid w:val="00F724B8"/>
    <w:rsid w:val="00F72F6C"/>
    <w:rsid w:val="00F73775"/>
    <w:rsid w:val="00F74345"/>
    <w:rsid w:val="00F74F2B"/>
    <w:rsid w:val="00F757C2"/>
    <w:rsid w:val="00F757D9"/>
    <w:rsid w:val="00F75FA5"/>
    <w:rsid w:val="00F80A0A"/>
    <w:rsid w:val="00F812B0"/>
    <w:rsid w:val="00F81796"/>
    <w:rsid w:val="00F82010"/>
    <w:rsid w:val="00F82B19"/>
    <w:rsid w:val="00F82E37"/>
    <w:rsid w:val="00F832B6"/>
    <w:rsid w:val="00F86BAC"/>
    <w:rsid w:val="00F9212D"/>
    <w:rsid w:val="00F932CD"/>
    <w:rsid w:val="00F936F4"/>
    <w:rsid w:val="00F94324"/>
    <w:rsid w:val="00F955FB"/>
    <w:rsid w:val="00F95913"/>
    <w:rsid w:val="00F96486"/>
    <w:rsid w:val="00F96598"/>
    <w:rsid w:val="00F965DA"/>
    <w:rsid w:val="00FA0095"/>
    <w:rsid w:val="00FA196D"/>
    <w:rsid w:val="00FA1FCA"/>
    <w:rsid w:val="00FA2AD6"/>
    <w:rsid w:val="00FA401A"/>
    <w:rsid w:val="00FA406A"/>
    <w:rsid w:val="00FA4A83"/>
    <w:rsid w:val="00FA4D9A"/>
    <w:rsid w:val="00FA5DB3"/>
    <w:rsid w:val="00FA797D"/>
    <w:rsid w:val="00FB1C49"/>
    <w:rsid w:val="00FB2D3C"/>
    <w:rsid w:val="00FB503A"/>
    <w:rsid w:val="00FB516C"/>
    <w:rsid w:val="00FB5CC0"/>
    <w:rsid w:val="00FB5D57"/>
    <w:rsid w:val="00FB6339"/>
    <w:rsid w:val="00FB7033"/>
    <w:rsid w:val="00FC1028"/>
    <w:rsid w:val="00FC2B06"/>
    <w:rsid w:val="00FC2D35"/>
    <w:rsid w:val="00FC496F"/>
    <w:rsid w:val="00FC6BC2"/>
    <w:rsid w:val="00FD0236"/>
    <w:rsid w:val="00FD18F4"/>
    <w:rsid w:val="00FD1A40"/>
    <w:rsid w:val="00FD1B5E"/>
    <w:rsid w:val="00FD2676"/>
    <w:rsid w:val="00FD2955"/>
    <w:rsid w:val="00FD54DB"/>
    <w:rsid w:val="00FD6170"/>
    <w:rsid w:val="00FD619F"/>
    <w:rsid w:val="00FE124B"/>
    <w:rsid w:val="00FE19C6"/>
    <w:rsid w:val="00FE4781"/>
    <w:rsid w:val="00FE48FE"/>
    <w:rsid w:val="00FF016A"/>
    <w:rsid w:val="00FF1115"/>
    <w:rsid w:val="00FF1C59"/>
    <w:rsid w:val="00FF34EF"/>
    <w:rsid w:val="00FF3DCC"/>
    <w:rsid w:val="00FF48E8"/>
    <w:rsid w:val="00FF6413"/>
    <w:rsid w:val="00FF6BE5"/>
    <w:rsid w:val="00FF6C48"/>
    <w:rsid w:val="00FF7AD0"/>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7225F3"/>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nhideWhenUsed="0" w:uiPriority="0" w:semiHidden="0" w:name="heading 5" w:locked="1"/>
    <w:lsdException w:qFormat="1" w:uiPriority="0" w:semiHidden="0" w:name="heading 6" w:locked="1"/>
    <w:lsdException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39" w:semiHidden="0" w:name="toc 1" w:locked="1"/>
    <w:lsdException w:qFormat="1"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ocked="1"/>
    <w:lsdException w:qFormat="1"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sdException w:qFormat="1"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iPriority="99"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99" w:semiHidden="0" w:name="Hyperlink" w:locked="1"/>
    <w:lsdException w:qFormat="1" w:unhideWhenUsed="0" w:uiPriority="99" w:semiHidden="0" w:name="FollowedHyperlink" w:locked="1"/>
    <w:lsdException w:qFormat="1" w:unhideWhenUsed="0" w:uiPriority="22" w:semiHidden="0" w:name="Strong" w:locked="1"/>
    <w:lsdException w:qFormat="1" w:unhideWhenUsed="0" w:uiPriority="0" w:semiHidden="0" w:name="Emphasis" w:locked="1"/>
    <w:lsdException w:uiPriority="0" w:semiHidden="0" w:name="Document Map" w:locked="1"/>
    <w:lsdException w:qFormat="1" w:unhideWhenUsed="0" w:uiPriority="0" w:semiHidden="0" w:name="Plain Text" w:locked="1"/>
    <w:lsdException w:qFormat="1" w:unhideWhenUsed="0" w:uiPriority="0" w:semiHidden="0" w:name="E-mail Signature" w:locked="1"/>
    <w:lsdException w:unhideWhenUsed="0"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0"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iPriority="99" w:name="Normal Table"/>
    <w:lsdException w:qFormat="1" w:unhideWhenUsed="0" w:uiPriority="0" w:semiHidden="0" w:name="annotation subject"/>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unhideWhenUsed="0" w:uiPriority="99" w:semiHidden="0" w:name="Balloon Text"/>
    <w:lsdException w:qFormat="1" w:unhideWhenUsed="0" w:uiPriority="59" w:semiHidden="0" w:name="Table Grid"/>
    <w:lsdException w:qFormat="1" w:unhideWhenUsed="0" w:uiPriority="0" w:semiHidden="0" w:name="Table Theme" w:locked="1"/>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480" w:firstLineChars="200"/>
    </w:pPr>
    <w:rPr>
      <w:rFonts w:ascii="Times New Roman" w:hAnsi="Times New Roman" w:eastAsia="宋体" w:cs="Times New Roman"/>
      <w:kern w:val="2"/>
      <w:sz w:val="24"/>
      <w:szCs w:val="24"/>
      <w:lang w:val="en-US" w:eastAsia="zh-CN" w:bidi="ar-SA"/>
    </w:rPr>
  </w:style>
  <w:style w:type="paragraph" w:styleId="3">
    <w:name w:val="heading 1"/>
    <w:basedOn w:val="1"/>
    <w:next w:val="1"/>
    <w:link w:val="210"/>
    <w:autoRedefine/>
    <w:qFormat/>
    <w:locked/>
    <w:uiPriority w:val="0"/>
    <w:pPr>
      <w:numPr>
        <w:ilvl w:val="0"/>
        <w:numId w:val="1"/>
      </w:numPr>
      <w:overflowPunct w:val="0"/>
      <w:spacing w:before="120" w:after="160" w:line="259" w:lineRule="auto"/>
      <w:ind w:firstLineChars="0"/>
      <w:jc w:val="center"/>
      <w:outlineLvl w:val="0"/>
    </w:pPr>
    <w:rPr>
      <w:rFonts w:eastAsia="黑体"/>
      <w:b/>
      <w:bCs/>
      <w:snapToGrid w:val="0"/>
      <w:color w:val="000000"/>
      <w:kern w:val="44"/>
      <w:sz w:val="30"/>
      <w:szCs w:val="30"/>
    </w:rPr>
  </w:style>
  <w:style w:type="paragraph" w:styleId="4">
    <w:name w:val="heading 2"/>
    <w:basedOn w:val="1"/>
    <w:next w:val="1"/>
    <w:link w:val="175"/>
    <w:autoRedefine/>
    <w:unhideWhenUsed/>
    <w:qFormat/>
    <w:locked/>
    <w:uiPriority w:val="0"/>
    <w:pPr>
      <w:numPr>
        <w:ilvl w:val="1"/>
        <w:numId w:val="1"/>
      </w:numPr>
      <w:spacing w:before="50" w:beforeLines="50" w:after="50" w:afterLines="50"/>
      <w:ind w:firstLineChars="0"/>
      <w:outlineLvl w:val="1"/>
    </w:pPr>
    <w:rPr>
      <w:b/>
      <w:bCs/>
      <w:sz w:val="30"/>
      <w:szCs w:val="32"/>
    </w:rPr>
  </w:style>
  <w:style w:type="paragraph" w:styleId="5">
    <w:name w:val="heading 3"/>
    <w:basedOn w:val="1"/>
    <w:next w:val="1"/>
    <w:link w:val="173"/>
    <w:autoRedefine/>
    <w:unhideWhenUsed/>
    <w:qFormat/>
    <w:locked/>
    <w:uiPriority w:val="0"/>
    <w:pPr>
      <w:numPr>
        <w:ilvl w:val="2"/>
        <w:numId w:val="1"/>
      </w:numPr>
      <w:spacing w:before="120" w:beforeLines="50" w:after="120" w:afterLines="50"/>
      <w:ind w:firstLineChars="0"/>
      <w:outlineLvl w:val="2"/>
    </w:pPr>
    <w:rPr>
      <w:b/>
      <w:bCs/>
      <w:sz w:val="28"/>
      <w:szCs w:val="32"/>
    </w:rPr>
  </w:style>
  <w:style w:type="paragraph" w:styleId="6">
    <w:name w:val="heading 4"/>
    <w:basedOn w:val="5"/>
    <w:next w:val="1"/>
    <w:link w:val="174"/>
    <w:autoRedefine/>
    <w:unhideWhenUsed/>
    <w:qFormat/>
    <w:locked/>
    <w:uiPriority w:val="0"/>
    <w:pPr>
      <w:numPr>
        <w:ilvl w:val="3"/>
      </w:numPr>
      <w:outlineLvl w:val="3"/>
    </w:pPr>
    <w:rPr>
      <w:sz w:val="24"/>
    </w:rPr>
  </w:style>
  <w:style w:type="paragraph" w:styleId="7">
    <w:name w:val="heading 5"/>
    <w:basedOn w:val="1"/>
    <w:next w:val="1"/>
    <w:link w:val="743"/>
    <w:autoRedefine/>
    <w:qFormat/>
    <w:locked/>
    <w:uiPriority w:val="0"/>
    <w:pPr>
      <w:keepNext/>
      <w:keepLines/>
      <w:snapToGrid/>
      <w:spacing w:line="376" w:lineRule="auto"/>
      <w:ind w:left="1008" w:hanging="432" w:firstLineChars="0"/>
      <w:jc w:val="both"/>
      <w:outlineLvl w:val="4"/>
    </w:pPr>
    <w:rPr>
      <w:rFonts w:ascii="宋体"/>
      <w:b/>
      <w:spacing w:val="6"/>
      <w:sz w:val="26"/>
      <w:szCs w:val="26"/>
    </w:rPr>
  </w:style>
  <w:style w:type="paragraph" w:styleId="8">
    <w:name w:val="heading 6"/>
    <w:basedOn w:val="1"/>
    <w:next w:val="1"/>
    <w:link w:val="206"/>
    <w:unhideWhenUsed/>
    <w:qFormat/>
    <w:locked/>
    <w:uiPriority w:val="0"/>
    <w:pPr>
      <w:keepNext/>
      <w:keepLines/>
      <w:snapToGrid/>
      <w:spacing w:before="240" w:beforeLines="10" w:after="64" w:afterLines="10" w:line="320" w:lineRule="auto"/>
      <w:ind w:left="1152" w:hanging="432"/>
      <w:jc w:val="both"/>
      <w:outlineLvl w:val="5"/>
    </w:pPr>
    <w:rPr>
      <w:rFonts w:ascii="Cambria" w:hAnsi="Cambria"/>
      <w:b/>
      <w:bCs/>
    </w:rPr>
  </w:style>
  <w:style w:type="paragraph" w:styleId="9">
    <w:name w:val="heading 7"/>
    <w:basedOn w:val="1"/>
    <w:next w:val="1"/>
    <w:link w:val="207"/>
    <w:autoRedefine/>
    <w:locked/>
    <w:uiPriority w:val="0"/>
    <w:pPr>
      <w:keepNext/>
      <w:keepLines/>
      <w:snapToGrid/>
      <w:spacing w:line="320" w:lineRule="auto"/>
      <w:ind w:left="1296" w:hanging="288" w:firstLineChars="0"/>
      <w:jc w:val="both"/>
      <w:outlineLvl w:val="6"/>
    </w:pPr>
    <w:rPr>
      <w:b/>
      <w:bCs/>
      <w:color w:val="000000"/>
      <w:kern w:val="0"/>
    </w:rPr>
  </w:style>
  <w:style w:type="paragraph" w:styleId="10">
    <w:name w:val="heading 8"/>
    <w:basedOn w:val="1"/>
    <w:next w:val="1"/>
    <w:link w:val="208"/>
    <w:qFormat/>
    <w:locked/>
    <w:uiPriority w:val="0"/>
    <w:pPr>
      <w:keepNext/>
      <w:keepLines/>
      <w:snapToGrid/>
      <w:spacing w:line="320" w:lineRule="auto"/>
      <w:ind w:left="1440" w:hanging="432" w:firstLineChars="0"/>
      <w:jc w:val="both"/>
      <w:outlineLvl w:val="7"/>
    </w:pPr>
    <w:rPr>
      <w:rFonts w:ascii="Arial" w:hAnsi="Arial" w:eastAsia="黑体"/>
      <w:spacing w:val="6"/>
      <w:szCs w:val="26"/>
    </w:rPr>
  </w:style>
  <w:style w:type="paragraph" w:styleId="11">
    <w:name w:val="heading 9"/>
    <w:basedOn w:val="1"/>
    <w:next w:val="1"/>
    <w:link w:val="209"/>
    <w:qFormat/>
    <w:locked/>
    <w:uiPriority w:val="0"/>
    <w:pPr>
      <w:keepNext/>
      <w:keepLines/>
      <w:snapToGrid/>
      <w:spacing w:line="320" w:lineRule="auto"/>
      <w:ind w:left="1584" w:hanging="144" w:firstLineChars="0"/>
      <w:jc w:val="both"/>
      <w:outlineLvl w:val="8"/>
    </w:pPr>
    <w:rPr>
      <w:rFonts w:ascii="Arial" w:hAnsi="Arial" w:eastAsia="黑体"/>
      <w:spacing w:val="6"/>
      <w:sz w:val="21"/>
      <w:szCs w:val="26"/>
    </w:rPr>
  </w:style>
  <w:style w:type="character" w:default="1" w:styleId="132">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262"/>
    <w:autoRedefine/>
    <w:unhideWhenUsed/>
    <w:qFormat/>
    <w:lock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480" w:firstLineChars="200"/>
    </w:pPr>
    <w:rPr>
      <w:rFonts w:ascii="Courier New" w:hAnsi="Courier New" w:eastAsia="宋体" w:cs="Courier New"/>
      <w:kern w:val="2"/>
      <w:sz w:val="24"/>
      <w:szCs w:val="24"/>
      <w:lang w:val="en-US" w:eastAsia="zh-CN" w:bidi="ar-SA"/>
    </w:rPr>
  </w:style>
  <w:style w:type="paragraph" w:styleId="12">
    <w:name w:val="List 3"/>
    <w:basedOn w:val="1"/>
    <w:link w:val="2437"/>
    <w:autoRedefine/>
    <w:qFormat/>
    <w:locked/>
    <w:uiPriority w:val="0"/>
    <w:pPr>
      <w:snapToGrid/>
      <w:spacing w:line="240" w:lineRule="auto"/>
      <w:ind w:left="100" w:leftChars="400" w:hanging="200" w:hangingChars="200"/>
      <w:jc w:val="both"/>
    </w:pPr>
    <w:rPr>
      <w:sz w:val="21"/>
    </w:rPr>
  </w:style>
  <w:style w:type="paragraph" w:styleId="13">
    <w:name w:val="toc 7"/>
    <w:basedOn w:val="1"/>
    <w:next w:val="1"/>
    <w:autoRedefine/>
    <w:unhideWhenUsed/>
    <w:qFormat/>
    <w:locked/>
    <w:uiPriority w:val="39"/>
    <w:pPr>
      <w:snapToGrid/>
      <w:spacing w:beforeLines="10" w:afterLines="10"/>
      <w:ind w:left="1260" w:firstLine="200"/>
    </w:pPr>
    <w:rPr>
      <w:sz w:val="18"/>
      <w:szCs w:val="18"/>
    </w:rPr>
  </w:style>
  <w:style w:type="paragraph" w:styleId="14">
    <w:name w:val="List Number 2"/>
    <w:basedOn w:val="1"/>
    <w:autoRedefine/>
    <w:qFormat/>
    <w:locked/>
    <w:uiPriority w:val="0"/>
    <w:pPr>
      <w:tabs>
        <w:tab w:val="left" w:pos="1032"/>
      </w:tabs>
      <w:snapToGrid/>
      <w:spacing w:line="240" w:lineRule="auto"/>
      <w:ind w:left="1032" w:hanging="840" w:firstLineChars="0"/>
      <w:jc w:val="both"/>
    </w:pPr>
    <w:rPr>
      <w:rFonts w:ascii="Arial Narrow" w:hAnsi="Arial Narrow" w:eastAsia="仿宋_GB2312"/>
    </w:rPr>
  </w:style>
  <w:style w:type="paragraph" w:styleId="15">
    <w:name w:val="table of authorities"/>
    <w:basedOn w:val="1"/>
    <w:next w:val="1"/>
    <w:autoRedefine/>
    <w:qFormat/>
    <w:locked/>
    <w:uiPriority w:val="0"/>
    <w:pPr>
      <w:snapToGrid/>
      <w:spacing w:line="240" w:lineRule="auto"/>
      <w:ind w:left="420" w:firstLine="0" w:firstLineChars="0"/>
      <w:jc w:val="both"/>
    </w:pPr>
    <w:rPr>
      <w:rFonts w:ascii="宋体" w:hAnsi="宋体"/>
      <w:color w:val="000000"/>
      <w:kern w:val="0"/>
      <w:sz w:val="21"/>
      <w:szCs w:val="20"/>
    </w:rPr>
  </w:style>
  <w:style w:type="paragraph" w:styleId="16">
    <w:name w:val="Note Heading"/>
    <w:basedOn w:val="1"/>
    <w:next w:val="1"/>
    <w:link w:val="263"/>
    <w:autoRedefine/>
    <w:qFormat/>
    <w:locked/>
    <w:uiPriority w:val="0"/>
    <w:pPr>
      <w:snapToGrid/>
      <w:spacing w:line="240" w:lineRule="auto"/>
      <w:ind w:firstLine="0" w:firstLineChars="0"/>
      <w:jc w:val="center"/>
    </w:pPr>
    <w:rPr>
      <w:rFonts w:ascii="Arial Narrow" w:hAnsi="Arial Narrow" w:eastAsia="仿宋_GB2312"/>
    </w:rPr>
  </w:style>
  <w:style w:type="paragraph" w:styleId="17">
    <w:name w:val="List Bullet 4"/>
    <w:basedOn w:val="1"/>
    <w:autoRedefine/>
    <w:qFormat/>
    <w:locked/>
    <w:uiPriority w:val="0"/>
    <w:pPr>
      <w:tabs>
        <w:tab w:val="left" w:pos="432"/>
      </w:tabs>
      <w:snapToGrid/>
      <w:spacing w:line="240" w:lineRule="auto"/>
      <w:ind w:left="432" w:hanging="432" w:firstLineChars="0"/>
      <w:jc w:val="both"/>
    </w:pPr>
    <w:rPr>
      <w:rFonts w:ascii="Arial Narrow" w:hAnsi="Arial Narrow" w:eastAsia="仿宋_GB2312"/>
    </w:rPr>
  </w:style>
  <w:style w:type="paragraph" w:styleId="18">
    <w:name w:val="index 8"/>
    <w:basedOn w:val="1"/>
    <w:next w:val="1"/>
    <w:autoRedefine/>
    <w:qFormat/>
    <w:locked/>
    <w:uiPriority w:val="0"/>
    <w:pPr>
      <w:snapToGrid/>
      <w:spacing w:line="300" w:lineRule="auto"/>
      <w:ind w:left="1400" w:leftChars="1400" w:firstLine="0" w:firstLineChars="0"/>
      <w:jc w:val="both"/>
    </w:pPr>
    <w:rPr>
      <w:rFonts w:ascii="Arial Narrow" w:hAnsi="Arial Narrow" w:eastAsia="仿宋_GB2312"/>
    </w:rPr>
  </w:style>
  <w:style w:type="paragraph" w:styleId="19">
    <w:name w:val="E-mail Signature"/>
    <w:basedOn w:val="1"/>
    <w:link w:val="264"/>
    <w:autoRedefine/>
    <w:qFormat/>
    <w:locked/>
    <w:uiPriority w:val="0"/>
    <w:pPr>
      <w:snapToGrid/>
      <w:spacing w:line="240" w:lineRule="auto"/>
      <w:ind w:firstLine="0" w:firstLineChars="0"/>
      <w:jc w:val="both"/>
    </w:pPr>
    <w:rPr>
      <w:sz w:val="21"/>
    </w:rPr>
  </w:style>
  <w:style w:type="paragraph" w:styleId="20">
    <w:name w:val="List Number"/>
    <w:basedOn w:val="1"/>
    <w:autoRedefine/>
    <w:qFormat/>
    <w:locked/>
    <w:uiPriority w:val="0"/>
    <w:pPr>
      <w:tabs>
        <w:tab w:val="left" w:pos="0"/>
      </w:tabs>
      <w:snapToGrid/>
      <w:spacing w:line="240" w:lineRule="auto"/>
      <w:ind w:left="425" w:hanging="425" w:firstLineChars="0"/>
      <w:jc w:val="both"/>
    </w:pPr>
    <w:rPr>
      <w:rFonts w:ascii="Arial Narrow" w:hAnsi="Arial Narrow" w:eastAsia="仿宋_GB2312"/>
    </w:rPr>
  </w:style>
  <w:style w:type="paragraph" w:styleId="21">
    <w:name w:val="Normal Indent"/>
    <w:basedOn w:val="1"/>
    <w:link w:val="193"/>
    <w:autoRedefine/>
    <w:qFormat/>
    <w:locked/>
    <w:uiPriority w:val="0"/>
    <w:pPr>
      <w:snapToGrid/>
      <w:spacing w:line="240" w:lineRule="auto"/>
      <w:ind w:firstLine="420"/>
      <w:jc w:val="both"/>
    </w:pPr>
    <w:rPr>
      <w:szCs w:val="20"/>
    </w:rPr>
  </w:style>
  <w:style w:type="paragraph" w:styleId="22">
    <w:name w:val="caption"/>
    <w:basedOn w:val="1"/>
    <w:next w:val="1"/>
    <w:autoRedefine/>
    <w:unhideWhenUsed/>
    <w:qFormat/>
    <w:locked/>
    <w:uiPriority w:val="0"/>
    <w:rPr>
      <w:rFonts w:ascii="Cambria" w:hAnsi="Cambria" w:eastAsia="黑体"/>
      <w:sz w:val="20"/>
      <w:szCs w:val="20"/>
    </w:rPr>
  </w:style>
  <w:style w:type="paragraph" w:styleId="23">
    <w:name w:val="index 5"/>
    <w:basedOn w:val="1"/>
    <w:next w:val="1"/>
    <w:autoRedefine/>
    <w:qFormat/>
    <w:locked/>
    <w:uiPriority w:val="0"/>
    <w:pPr>
      <w:snapToGrid/>
      <w:spacing w:line="300" w:lineRule="auto"/>
      <w:ind w:left="800" w:leftChars="800" w:firstLine="0" w:firstLineChars="0"/>
      <w:jc w:val="both"/>
    </w:pPr>
    <w:rPr>
      <w:rFonts w:ascii="Arial Narrow" w:hAnsi="Arial Narrow" w:eastAsia="仿宋_GB2312"/>
    </w:rPr>
  </w:style>
  <w:style w:type="paragraph" w:styleId="24">
    <w:name w:val="List Bullet"/>
    <w:basedOn w:val="1"/>
    <w:autoRedefine/>
    <w:qFormat/>
    <w:locked/>
    <w:uiPriority w:val="0"/>
    <w:pPr>
      <w:tabs>
        <w:tab w:val="left" w:pos="1416"/>
      </w:tabs>
      <w:snapToGrid/>
      <w:spacing w:line="240" w:lineRule="auto"/>
      <w:ind w:left="1416" w:hanging="720" w:firstLineChars="0"/>
      <w:jc w:val="both"/>
    </w:pPr>
    <w:rPr>
      <w:rFonts w:ascii="Arial Narrow" w:hAnsi="Arial Narrow" w:eastAsia="仿宋_GB2312"/>
    </w:rPr>
  </w:style>
  <w:style w:type="paragraph" w:styleId="25">
    <w:name w:val="envelope address"/>
    <w:basedOn w:val="1"/>
    <w:autoRedefine/>
    <w:qFormat/>
    <w:locked/>
    <w:uiPriority w:val="0"/>
    <w:pPr>
      <w:framePr w:w="7920" w:h="1980" w:hRule="exact" w:hSpace="180" w:wrap="around" w:vAnchor="margin" w:hAnchor="page" w:xAlign="center" w:yAlign="bottom"/>
      <w:spacing w:line="240" w:lineRule="auto"/>
      <w:ind w:left="100" w:leftChars="1400" w:firstLine="0" w:firstLineChars="0"/>
      <w:jc w:val="both"/>
    </w:pPr>
    <w:rPr>
      <w:rFonts w:ascii="Arial" w:hAnsi="Arial" w:cs="Arial"/>
    </w:rPr>
  </w:style>
  <w:style w:type="paragraph" w:styleId="26">
    <w:name w:val="Document Map"/>
    <w:basedOn w:val="1"/>
    <w:link w:val="244"/>
    <w:autoRedefine/>
    <w:unhideWhenUsed/>
    <w:locked/>
    <w:uiPriority w:val="0"/>
    <w:pPr>
      <w:snapToGrid/>
      <w:spacing w:beforeLines="10" w:afterLines="10"/>
      <w:ind w:firstLine="200"/>
      <w:jc w:val="both"/>
    </w:pPr>
    <w:rPr>
      <w:rFonts w:ascii="宋体"/>
      <w:sz w:val="18"/>
      <w:szCs w:val="18"/>
    </w:rPr>
  </w:style>
  <w:style w:type="paragraph" w:styleId="27">
    <w:name w:val="toa heading"/>
    <w:basedOn w:val="1"/>
    <w:next w:val="1"/>
    <w:autoRedefine/>
    <w:qFormat/>
    <w:locked/>
    <w:uiPriority w:val="0"/>
    <w:pPr>
      <w:snapToGrid/>
      <w:spacing w:line="240" w:lineRule="auto"/>
      <w:ind w:firstLine="0" w:firstLineChars="0"/>
      <w:jc w:val="both"/>
    </w:pPr>
    <w:rPr>
      <w:rFonts w:ascii="Arial" w:hAnsi="Arial" w:cs="Arial"/>
    </w:rPr>
  </w:style>
  <w:style w:type="paragraph" w:styleId="28">
    <w:name w:val="annotation text"/>
    <w:basedOn w:val="1"/>
    <w:link w:val="156"/>
    <w:autoRedefine/>
    <w:qFormat/>
    <w:uiPriority w:val="0"/>
    <w:rPr>
      <w:kern w:val="0"/>
      <w:szCs w:val="20"/>
    </w:rPr>
  </w:style>
  <w:style w:type="paragraph" w:styleId="29">
    <w:name w:val="index 6"/>
    <w:basedOn w:val="1"/>
    <w:next w:val="1"/>
    <w:autoRedefine/>
    <w:qFormat/>
    <w:locked/>
    <w:uiPriority w:val="0"/>
    <w:pPr>
      <w:snapToGrid/>
      <w:spacing w:line="300" w:lineRule="auto"/>
      <w:ind w:left="1000" w:leftChars="1000" w:firstLine="0" w:firstLineChars="0"/>
      <w:jc w:val="both"/>
    </w:pPr>
    <w:rPr>
      <w:rFonts w:ascii="Arial Narrow" w:hAnsi="Arial Narrow" w:eastAsia="仿宋_GB2312"/>
    </w:rPr>
  </w:style>
  <w:style w:type="paragraph" w:styleId="30">
    <w:name w:val="Salutation"/>
    <w:basedOn w:val="1"/>
    <w:next w:val="1"/>
    <w:link w:val="265"/>
    <w:autoRedefine/>
    <w:qFormat/>
    <w:locked/>
    <w:uiPriority w:val="0"/>
    <w:pPr>
      <w:autoSpaceDE w:val="0"/>
      <w:autoSpaceDN w:val="0"/>
      <w:adjustRightInd w:val="0"/>
      <w:spacing w:line="300" w:lineRule="auto"/>
      <w:jc w:val="both"/>
    </w:pPr>
    <w:rPr>
      <w:rFonts w:ascii="仿宋_GB2312" w:hAnsi="宋体" w:eastAsia="仿宋_GB2312" w:cs="宋体"/>
      <w:sz w:val="21"/>
    </w:rPr>
  </w:style>
  <w:style w:type="paragraph" w:styleId="31">
    <w:name w:val="Body Text 3"/>
    <w:basedOn w:val="1"/>
    <w:link w:val="266"/>
    <w:autoRedefine/>
    <w:qFormat/>
    <w:locked/>
    <w:uiPriority w:val="0"/>
    <w:pPr>
      <w:snapToGrid/>
      <w:spacing w:beforeLines="50" w:afterLines="50"/>
      <w:ind w:firstLine="200"/>
      <w:jc w:val="both"/>
    </w:pPr>
    <w:rPr>
      <w:sz w:val="16"/>
      <w:szCs w:val="16"/>
    </w:rPr>
  </w:style>
  <w:style w:type="paragraph" w:styleId="32">
    <w:name w:val="Closing"/>
    <w:basedOn w:val="1"/>
    <w:link w:val="267"/>
    <w:autoRedefine/>
    <w:qFormat/>
    <w:locked/>
    <w:uiPriority w:val="0"/>
    <w:pPr>
      <w:snapToGrid/>
      <w:spacing w:line="240" w:lineRule="auto"/>
      <w:ind w:left="100" w:leftChars="2100" w:firstLine="0" w:firstLineChars="0"/>
      <w:jc w:val="both"/>
    </w:pPr>
    <w:rPr>
      <w:sz w:val="21"/>
    </w:rPr>
  </w:style>
  <w:style w:type="paragraph" w:styleId="33">
    <w:name w:val="List Bullet 3"/>
    <w:basedOn w:val="1"/>
    <w:autoRedefine/>
    <w:qFormat/>
    <w:locked/>
    <w:uiPriority w:val="0"/>
    <w:pPr>
      <w:tabs>
        <w:tab w:val="left" w:pos="1416"/>
      </w:tabs>
      <w:autoSpaceDE w:val="0"/>
      <w:autoSpaceDN w:val="0"/>
      <w:adjustRightInd w:val="0"/>
      <w:snapToGrid/>
      <w:spacing w:line="240" w:lineRule="auto"/>
      <w:ind w:left="1416" w:hanging="720" w:firstLineChars="0"/>
      <w:textAlignment w:val="baseline"/>
    </w:pPr>
    <w:rPr>
      <w:kern w:val="0"/>
      <w:sz w:val="20"/>
      <w:szCs w:val="20"/>
    </w:rPr>
  </w:style>
  <w:style w:type="paragraph" w:styleId="34">
    <w:name w:val="Body Text"/>
    <w:basedOn w:val="1"/>
    <w:link w:val="155"/>
    <w:qFormat/>
    <w:uiPriority w:val="0"/>
    <w:pPr>
      <w:widowControl/>
      <w:spacing w:before="60" w:after="160" w:line="259" w:lineRule="auto"/>
      <w:ind w:right="113"/>
    </w:pPr>
    <w:rPr>
      <w:kern w:val="0"/>
      <w:sz w:val="18"/>
      <w:szCs w:val="20"/>
    </w:rPr>
  </w:style>
  <w:style w:type="paragraph" w:styleId="35">
    <w:name w:val="Body Text Indent"/>
    <w:basedOn w:val="1"/>
    <w:link w:val="164"/>
    <w:autoRedefine/>
    <w:qFormat/>
    <w:uiPriority w:val="0"/>
    <w:pPr>
      <w:spacing w:after="120"/>
      <w:ind w:left="420" w:leftChars="200"/>
    </w:pPr>
    <w:rPr>
      <w:kern w:val="0"/>
      <w:szCs w:val="20"/>
    </w:rPr>
  </w:style>
  <w:style w:type="paragraph" w:styleId="36">
    <w:name w:val="List Number 3"/>
    <w:basedOn w:val="1"/>
    <w:autoRedefine/>
    <w:qFormat/>
    <w:locked/>
    <w:uiPriority w:val="0"/>
    <w:pPr>
      <w:tabs>
        <w:tab w:val="left" w:pos="720"/>
      </w:tabs>
      <w:snapToGrid/>
      <w:spacing w:line="240" w:lineRule="auto"/>
      <w:ind w:left="720" w:hanging="720" w:firstLineChars="0"/>
      <w:jc w:val="both"/>
    </w:pPr>
    <w:rPr>
      <w:rFonts w:ascii="Arial Narrow" w:hAnsi="Arial Narrow" w:eastAsia="仿宋_GB2312"/>
    </w:rPr>
  </w:style>
  <w:style w:type="paragraph" w:styleId="37">
    <w:name w:val="List 2"/>
    <w:basedOn w:val="1"/>
    <w:autoRedefine/>
    <w:qFormat/>
    <w:locked/>
    <w:uiPriority w:val="0"/>
    <w:pPr>
      <w:snapToGrid/>
      <w:spacing w:line="240" w:lineRule="auto"/>
      <w:ind w:left="100" w:leftChars="200" w:hanging="200" w:hangingChars="200"/>
      <w:jc w:val="both"/>
    </w:pPr>
    <w:rPr>
      <w:sz w:val="21"/>
    </w:rPr>
  </w:style>
  <w:style w:type="paragraph" w:styleId="38">
    <w:name w:val="List Continue"/>
    <w:basedOn w:val="1"/>
    <w:autoRedefine/>
    <w:qFormat/>
    <w:locked/>
    <w:uiPriority w:val="0"/>
    <w:pPr>
      <w:snapToGrid/>
      <w:spacing w:line="240" w:lineRule="auto"/>
      <w:ind w:left="420" w:leftChars="200" w:firstLine="0" w:firstLineChars="0"/>
      <w:jc w:val="both"/>
    </w:pPr>
    <w:rPr>
      <w:sz w:val="21"/>
    </w:rPr>
  </w:style>
  <w:style w:type="paragraph" w:styleId="39">
    <w:name w:val="Block Text"/>
    <w:basedOn w:val="1"/>
    <w:autoRedefine/>
    <w:qFormat/>
    <w:locked/>
    <w:uiPriority w:val="0"/>
    <w:pPr>
      <w:snapToGrid/>
      <w:spacing w:line="336" w:lineRule="auto"/>
      <w:ind w:left="103" w:leftChars="43" w:right="480" w:rightChars="200" w:firstLine="317" w:firstLineChars="0"/>
      <w:jc w:val="both"/>
    </w:pPr>
    <w:rPr>
      <w:rFonts w:ascii="宋体"/>
      <w:szCs w:val="20"/>
    </w:rPr>
  </w:style>
  <w:style w:type="paragraph" w:styleId="40">
    <w:name w:val="List Bullet 2"/>
    <w:basedOn w:val="1"/>
    <w:autoRedefine/>
    <w:qFormat/>
    <w:locked/>
    <w:uiPriority w:val="0"/>
    <w:pPr>
      <w:tabs>
        <w:tab w:val="left" w:pos="720"/>
      </w:tabs>
      <w:snapToGrid/>
      <w:spacing w:line="240" w:lineRule="auto"/>
      <w:ind w:left="720" w:hanging="720" w:firstLineChars="0"/>
      <w:jc w:val="both"/>
    </w:pPr>
    <w:rPr>
      <w:rFonts w:ascii="Arial Narrow" w:hAnsi="Arial Narrow" w:eastAsia="仿宋_GB2312"/>
    </w:rPr>
  </w:style>
  <w:style w:type="paragraph" w:styleId="41">
    <w:name w:val="HTML Address"/>
    <w:basedOn w:val="1"/>
    <w:link w:val="268"/>
    <w:autoRedefine/>
    <w:qFormat/>
    <w:locked/>
    <w:uiPriority w:val="0"/>
    <w:pPr>
      <w:snapToGrid/>
      <w:spacing w:line="240" w:lineRule="auto"/>
      <w:ind w:firstLine="0" w:firstLineChars="0"/>
      <w:jc w:val="both"/>
    </w:pPr>
    <w:rPr>
      <w:i/>
      <w:iCs/>
      <w:sz w:val="21"/>
    </w:rPr>
  </w:style>
  <w:style w:type="paragraph" w:styleId="42">
    <w:name w:val="index 4"/>
    <w:basedOn w:val="1"/>
    <w:next w:val="1"/>
    <w:autoRedefine/>
    <w:qFormat/>
    <w:locked/>
    <w:uiPriority w:val="0"/>
    <w:pPr>
      <w:snapToGrid/>
      <w:spacing w:line="300" w:lineRule="auto"/>
      <w:ind w:left="600" w:leftChars="600" w:firstLine="0" w:firstLineChars="0"/>
      <w:jc w:val="both"/>
    </w:pPr>
    <w:rPr>
      <w:rFonts w:ascii="Arial Narrow" w:hAnsi="Arial Narrow" w:eastAsia="仿宋_GB2312"/>
    </w:rPr>
  </w:style>
  <w:style w:type="paragraph" w:styleId="43">
    <w:name w:val="toc 5"/>
    <w:basedOn w:val="1"/>
    <w:next w:val="1"/>
    <w:autoRedefine/>
    <w:unhideWhenUsed/>
    <w:qFormat/>
    <w:locked/>
    <w:uiPriority w:val="39"/>
    <w:pPr>
      <w:snapToGrid/>
      <w:spacing w:beforeLines="10" w:afterLines="10"/>
      <w:ind w:left="840" w:firstLine="200"/>
    </w:pPr>
    <w:rPr>
      <w:sz w:val="18"/>
      <w:szCs w:val="18"/>
    </w:rPr>
  </w:style>
  <w:style w:type="paragraph" w:styleId="44">
    <w:name w:val="toc 3"/>
    <w:basedOn w:val="1"/>
    <w:next w:val="1"/>
    <w:autoRedefine/>
    <w:unhideWhenUsed/>
    <w:qFormat/>
    <w:locked/>
    <w:uiPriority w:val="39"/>
    <w:pPr>
      <w:snapToGrid/>
      <w:spacing w:beforeLines="10" w:afterLines="10"/>
      <w:ind w:left="420" w:firstLine="200"/>
    </w:pPr>
    <w:rPr>
      <w:i/>
      <w:iCs/>
      <w:sz w:val="20"/>
      <w:szCs w:val="20"/>
    </w:rPr>
  </w:style>
  <w:style w:type="paragraph" w:styleId="45">
    <w:name w:val="Plain Text"/>
    <w:basedOn w:val="1"/>
    <w:link w:val="218"/>
    <w:qFormat/>
    <w:locked/>
    <w:uiPriority w:val="0"/>
    <w:pPr>
      <w:adjustRightInd w:val="0"/>
      <w:snapToGrid/>
      <w:spacing w:beforeLines="10" w:afterLines="10"/>
      <w:ind w:firstLine="200"/>
      <w:textAlignment w:val="baseline"/>
    </w:pPr>
    <w:rPr>
      <w:rFonts w:ascii="宋体" w:hAnsi="Courier New"/>
      <w:szCs w:val="20"/>
    </w:rPr>
  </w:style>
  <w:style w:type="paragraph" w:styleId="46">
    <w:name w:val="List Bullet 5"/>
    <w:basedOn w:val="1"/>
    <w:autoRedefine/>
    <w:qFormat/>
    <w:locked/>
    <w:uiPriority w:val="0"/>
    <w:pPr>
      <w:tabs>
        <w:tab w:val="left" w:pos="0"/>
      </w:tabs>
      <w:snapToGrid/>
      <w:spacing w:line="240" w:lineRule="auto"/>
      <w:ind w:left="425" w:hanging="425" w:firstLineChars="0"/>
      <w:jc w:val="both"/>
    </w:pPr>
    <w:rPr>
      <w:rFonts w:ascii="Arial Narrow" w:hAnsi="Arial Narrow" w:eastAsia="仿宋_GB2312"/>
    </w:rPr>
  </w:style>
  <w:style w:type="paragraph" w:styleId="47">
    <w:name w:val="List Number 4"/>
    <w:basedOn w:val="1"/>
    <w:autoRedefine/>
    <w:qFormat/>
    <w:locked/>
    <w:uiPriority w:val="0"/>
    <w:pPr>
      <w:tabs>
        <w:tab w:val="left" w:pos="1416"/>
      </w:tabs>
      <w:snapToGrid/>
      <w:spacing w:line="240" w:lineRule="auto"/>
      <w:ind w:left="1416" w:hanging="720" w:firstLineChars="0"/>
      <w:jc w:val="both"/>
    </w:pPr>
    <w:rPr>
      <w:rFonts w:ascii="Arial Narrow" w:hAnsi="Arial Narrow" w:eastAsia="仿宋_GB2312"/>
    </w:rPr>
  </w:style>
  <w:style w:type="paragraph" w:styleId="48">
    <w:name w:val="toc 8"/>
    <w:basedOn w:val="1"/>
    <w:next w:val="1"/>
    <w:autoRedefine/>
    <w:unhideWhenUsed/>
    <w:qFormat/>
    <w:locked/>
    <w:uiPriority w:val="39"/>
    <w:pPr>
      <w:snapToGrid/>
      <w:spacing w:beforeLines="10" w:afterLines="10"/>
      <w:ind w:left="1470" w:firstLine="200"/>
    </w:pPr>
    <w:rPr>
      <w:sz w:val="18"/>
      <w:szCs w:val="18"/>
    </w:rPr>
  </w:style>
  <w:style w:type="paragraph" w:styleId="49">
    <w:name w:val="index 3"/>
    <w:basedOn w:val="1"/>
    <w:next w:val="1"/>
    <w:autoRedefine/>
    <w:qFormat/>
    <w:locked/>
    <w:uiPriority w:val="0"/>
    <w:pPr>
      <w:snapToGrid/>
      <w:spacing w:line="300" w:lineRule="auto"/>
      <w:ind w:left="400" w:leftChars="400" w:firstLine="0" w:firstLineChars="0"/>
      <w:jc w:val="both"/>
    </w:pPr>
    <w:rPr>
      <w:rFonts w:ascii="Arial Narrow" w:hAnsi="Arial Narrow" w:eastAsia="仿宋_GB2312"/>
    </w:rPr>
  </w:style>
  <w:style w:type="paragraph" w:styleId="50">
    <w:name w:val="Date"/>
    <w:basedOn w:val="1"/>
    <w:next w:val="1"/>
    <w:link w:val="151"/>
    <w:autoRedefine/>
    <w:uiPriority w:val="99"/>
    <w:pPr>
      <w:ind w:left="100" w:leftChars="2500"/>
    </w:pPr>
    <w:rPr>
      <w:kern w:val="0"/>
      <w:szCs w:val="20"/>
    </w:rPr>
  </w:style>
  <w:style w:type="paragraph" w:styleId="51">
    <w:name w:val="Body Text Indent 2"/>
    <w:basedOn w:val="1"/>
    <w:link w:val="197"/>
    <w:autoRedefine/>
    <w:qFormat/>
    <w:locked/>
    <w:uiPriority w:val="0"/>
    <w:pPr>
      <w:spacing w:after="120" w:line="480" w:lineRule="auto"/>
      <w:ind w:left="420" w:leftChars="200"/>
    </w:pPr>
  </w:style>
  <w:style w:type="paragraph" w:styleId="52">
    <w:name w:val="endnote text"/>
    <w:basedOn w:val="1"/>
    <w:link w:val="269"/>
    <w:autoRedefine/>
    <w:qFormat/>
    <w:locked/>
    <w:uiPriority w:val="0"/>
    <w:pPr>
      <w:spacing w:beforeLines="50" w:afterLines="50"/>
      <w:ind w:firstLine="200"/>
      <w:jc w:val="both"/>
    </w:pPr>
  </w:style>
  <w:style w:type="paragraph" w:styleId="53">
    <w:name w:val="List Continue 5"/>
    <w:basedOn w:val="1"/>
    <w:autoRedefine/>
    <w:qFormat/>
    <w:locked/>
    <w:uiPriority w:val="0"/>
    <w:pPr>
      <w:snapToGrid/>
      <w:spacing w:line="240" w:lineRule="auto"/>
      <w:ind w:left="2100" w:leftChars="1000" w:firstLine="0" w:firstLineChars="0"/>
      <w:jc w:val="both"/>
    </w:pPr>
    <w:rPr>
      <w:sz w:val="21"/>
    </w:rPr>
  </w:style>
  <w:style w:type="paragraph" w:styleId="54">
    <w:name w:val="Balloon Text"/>
    <w:basedOn w:val="1"/>
    <w:link w:val="160"/>
    <w:autoRedefine/>
    <w:uiPriority w:val="99"/>
    <w:rPr>
      <w:kern w:val="0"/>
      <w:sz w:val="18"/>
      <w:szCs w:val="20"/>
    </w:rPr>
  </w:style>
  <w:style w:type="paragraph" w:styleId="55">
    <w:name w:val="footer"/>
    <w:basedOn w:val="1"/>
    <w:link w:val="150"/>
    <w:qFormat/>
    <w:uiPriority w:val="99"/>
    <w:pPr>
      <w:tabs>
        <w:tab w:val="center" w:pos="4153"/>
        <w:tab w:val="right" w:pos="8306"/>
      </w:tabs>
    </w:pPr>
    <w:rPr>
      <w:kern w:val="0"/>
      <w:sz w:val="18"/>
      <w:szCs w:val="20"/>
    </w:rPr>
  </w:style>
  <w:style w:type="paragraph" w:styleId="56">
    <w:name w:val="envelope return"/>
    <w:basedOn w:val="1"/>
    <w:autoRedefine/>
    <w:qFormat/>
    <w:locked/>
    <w:uiPriority w:val="0"/>
    <w:pPr>
      <w:spacing w:line="240" w:lineRule="auto"/>
      <w:ind w:firstLine="0" w:firstLineChars="0"/>
      <w:jc w:val="both"/>
    </w:pPr>
    <w:rPr>
      <w:rFonts w:ascii="Arial" w:hAnsi="Arial" w:cs="Arial"/>
      <w:sz w:val="21"/>
    </w:rPr>
  </w:style>
  <w:style w:type="paragraph" w:styleId="57">
    <w:name w:val="header"/>
    <w:basedOn w:val="1"/>
    <w:link w:val="162"/>
    <w:autoRedefine/>
    <w:qFormat/>
    <w:uiPriority w:val="99"/>
    <w:pPr>
      <w:pBdr>
        <w:bottom w:val="single" w:color="auto" w:sz="6" w:space="1"/>
      </w:pBdr>
      <w:tabs>
        <w:tab w:val="center" w:pos="4153"/>
        <w:tab w:val="right" w:pos="8306"/>
      </w:tabs>
      <w:jc w:val="center"/>
    </w:pPr>
    <w:rPr>
      <w:kern w:val="0"/>
      <w:sz w:val="18"/>
      <w:szCs w:val="20"/>
    </w:rPr>
  </w:style>
  <w:style w:type="paragraph" w:styleId="58">
    <w:name w:val="Signature"/>
    <w:basedOn w:val="1"/>
    <w:link w:val="271"/>
    <w:autoRedefine/>
    <w:qFormat/>
    <w:locked/>
    <w:uiPriority w:val="0"/>
    <w:pPr>
      <w:snapToGrid/>
      <w:spacing w:line="240" w:lineRule="auto"/>
      <w:ind w:left="100" w:leftChars="2100" w:firstLine="0" w:firstLineChars="0"/>
      <w:jc w:val="both"/>
    </w:pPr>
    <w:rPr>
      <w:sz w:val="21"/>
    </w:rPr>
  </w:style>
  <w:style w:type="paragraph" w:styleId="59">
    <w:name w:val="toc 1"/>
    <w:basedOn w:val="1"/>
    <w:next w:val="1"/>
    <w:autoRedefine/>
    <w:unhideWhenUsed/>
    <w:qFormat/>
    <w:locked/>
    <w:uiPriority w:val="39"/>
    <w:pPr>
      <w:tabs>
        <w:tab w:val="right" w:leader="dot" w:pos="9060"/>
      </w:tabs>
      <w:snapToGrid/>
      <w:spacing w:beforeLines="50" w:afterLines="50"/>
      <w:ind w:firstLine="0" w:firstLineChars="0"/>
      <w:jc w:val="center"/>
    </w:pPr>
    <w:rPr>
      <w:b/>
      <w:sz w:val="28"/>
      <w:szCs w:val="28"/>
      <w:lang w:val="zh-CN"/>
    </w:rPr>
  </w:style>
  <w:style w:type="paragraph" w:styleId="60">
    <w:name w:val="List Continue 4"/>
    <w:basedOn w:val="1"/>
    <w:autoRedefine/>
    <w:qFormat/>
    <w:locked/>
    <w:uiPriority w:val="0"/>
    <w:pPr>
      <w:snapToGrid/>
      <w:spacing w:line="240" w:lineRule="auto"/>
      <w:ind w:left="1680" w:leftChars="800" w:firstLine="0" w:firstLineChars="0"/>
      <w:jc w:val="both"/>
    </w:pPr>
    <w:rPr>
      <w:sz w:val="21"/>
    </w:rPr>
  </w:style>
  <w:style w:type="paragraph" w:styleId="61">
    <w:name w:val="toc 4"/>
    <w:basedOn w:val="1"/>
    <w:next w:val="1"/>
    <w:autoRedefine/>
    <w:unhideWhenUsed/>
    <w:qFormat/>
    <w:locked/>
    <w:uiPriority w:val="39"/>
    <w:pPr>
      <w:snapToGrid/>
      <w:spacing w:beforeLines="10" w:afterLines="10"/>
      <w:ind w:left="630" w:firstLine="200"/>
    </w:pPr>
    <w:rPr>
      <w:sz w:val="18"/>
      <w:szCs w:val="18"/>
    </w:rPr>
  </w:style>
  <w:style w:type="paragraph" w:styleId="62">
    <w:name w:val="index heading"/>
    <w:basedOn w:val="1"/>
    <w:next w:val="63"/>
    <w:autoRedefine/>
    <w:qFormat/>
    <w:locked/>
    <w:uiPriority w:val="0"/>
    <w:pPr>
      <w:snapToGrid/>
      <w:spacing w:line="300" w:lineRule="auto"/>
      <w:ind w:firstLine="0" w:firstLineChars="0"/>
      <w:jc w:val="both"/>
    </w:pPr>
    <w:rPr>
      <w:rFonts w:ascii="Arial Narrow" w:hAnsi="Arial Narrow" w:eastAsia="仿宋_GB2312"/>
    </w:rPr>
  </w:style>
  <w:style w:type="paragraph" w:styleId="63">
    <w:name w:val="index 1"/>
    <w:basedOn w:val="1"/>
    <w:next w:val="1"/>
    <w:autoRedefine/>
    <w:locked/>
    <w:uiPriority w:val="0"/>
    <w:pPr>
      <w:ind w:firstLine="0"/>
    </w:pPr>
  </w:style>
  <w:style w:type="paragraph" w:styleId="64">
    <w:name w:val="Subtitle"/>
    <w:basedOn w:val="1"/>
    <w:link w:val="272"/>
    <w:autoRedefine/>
    <w:qFormat/>
    <w:locked/>
    <w:uiPriority w:val="0"/>
    <w:pPr>
      <w:snapToGrid/>
      <w:spacing w:line="312" w:lineRule="auto"/>
      <w:ind w:firstLine="0" w:firstLineChars="0"/>
      <w:jc w:val="center"/>
      <w:outlineLvl w:val="1"/>
    </w:pPr>
    <w:rPr>
      <w:rFonts w:ascii="Arial" w:hAnsi="Arial" w:cs="Arial"/>
      <w:b/>
      <w:bCs/>
      <w:kern w:val="28"/>
      <w:sz w:val="32"/>
      <w:szCs w:val="32"/>
    </w:rPr>
  </w:style>
  <w:style w:type="paragraph" w:styleId="65">
    <w:name w:val="List Number 5"/>
    <w:basedOn w:val="1"/>
    <w:autoRedefine/>
    <w:qFormat/>
    <w:locked/>
    <w:uiPriority w:val="0"/>
    <w:pPr>
      <w:tabs>
        <w:tab w:val="left" w:pos="1416"/>
      </w:tabs>
      <w:snapToGrid/>
      <w:spacing w:line="240" w:lineRule="auto"/>
      <w:ind w:left="1416" w:hanging="720" w:firstLineChars="0"/>
      <w:jc w:val="both"/>
    </w:pPr>
    <w:rPr>
      <w:rFonts w:ascii="Arial Narrow" w:hAnsi="Arial Narrow" w:eastAsia="仿宋_GB2312"/>
    </w:rPr>
  </w:style>
  <w:style w:type="paragraph" w:styleId="66">
    <w:name w:val="List"/>
    <w:basedOn w:val="1"/>
    <w:link w:val="294"/>
    <w:autoRedefine/>
    <w:qFormat/>
    <w:locked/>
    <w:uiPriority w:val="0"/>
    <w:pPr>
      <w:snapToGrid/>
      <w:spacing w:line="240" w:lineRule="auto"/>
      <w:ind w:firstLine="0" w:firstLineChars="0"/>
      <w:jc w:val="center"/>
      <w:textAlignment w:val="baseline"/>
    </w:pPr>
    <w:rPr>
      <w:sz w:val="21"/>
      <w:szCs w:val="21"/>
    </w:rPr>
  </w:style>
  <w:style w:type="paragraph" w:styleId="67">
    <w:name w:val="footnote text"/>
    <w:basedOn w:val="1"/>
    <w:link w:val="273"/>
    <w:autoRedefine/>
    <w:qFormat/>
    <w:locked/>
    <w:uiPriority w:val="0"/>
    <w:pPr>
      <w:spacing w:line="300" w:lineRule="auto"/>
      <w:ind w:firstLine="0" w:firstLineChars="0"/>
    </w:pPr>
    <w:rPr>
      <w:rFonts w:ascii="Arial Narrow" w:hAnsi="Arial Narrow" w:eastAsia="仿宋_GB2312"/>
      <w:sz w:val="18"/>
      <w:szCs w:val="18"/>
    </w:rPr>
  </w:style>
  <w:style w:type="paragraph" w:styleId="68">
    <w:name w:val="toc 6"/>
    <w:basedOn w:val="1"/>
    <w:next w:val="1"/>
    <w:autoRedefine/>
    <w:unhideWhenUsed/>
    <w:qFormat/>
    <w:locked/>
    <w:uiPriority w:val="39"/>
    <w:pPr>
      <w:snapToGrid/>
      <w:spacing w:beforeLines="10" w:afterLines="10"/>
      <w:ind w:left="1050" w:firstLine="200"/>
    </w:pPr>
    <w:rPr>
      <w:sz w:val="18"/>
      <w:szCs w:val="18"/>
    </w:rPr>
  </w:style>
  <w:style w:type="paragraph" w:styleId="69">
    <w:name w:val="List 5"/>
    <w:basedOn w:val="1"/>
    <w:autoRedefine/>
    <w:qFormat/>
    <w:locked/>
    <w:uiPriority w:val="0"/>
    <w:pPr>
      <w:snapToGrid/>
      <w:spacing w:line="240" w:lineRule="auto"/>
      <w:ind w:left="100" w:leftChars="800" w:hanging="200" w:hangingChars="200"/>
      <w:jc w:val="both"/>
    </w:pPr>
    <w:rPr>
      <w:sz w:val="21"/>
    </w:rPr>
  </w:style>
  <w:style w:type="paragraph" w:styleId="70">
    <w:name w:val="Body Text Indent 3"/>
    <w:basedOn w:val="1"/>
    <w:link w:val="240"/>
    <w:autoRedefine/>
    <w:qFormat/>
    <w:locked/>
    <w:uiPriority w:val="0"/>
    <w:pPr>
      <w:snapToGrid/>
      <w:spacing w:beforeLines="10" w:after="120" w:afterLines="10"/>
      <w:ind w:left="420" w:leftChars="200" w:firstLine="200"/>
      <w:jc w:val="both"/>
    </w:pPr>
    <w:rPr>
      <w:sz w:val="16"/>
      <w:szCs w:val="16"/>
    </w:rPr>
  </w:style>
  <w:style w:type="paragraph" w:styleId="71">
    <w:name w:val="index 7"/>
    <w:basedOn w:val="1"/>
    <w:next w:val="1"/>
    <w:autoRedefine/>
    <w:qFormat/>
    <w:locked/>
    <w:uiPriority w:val="0"/>
    <w:pPr>
      <w:snapToGrid/>
      <w:spacing w:line="300" w:lineRule="auto"/>
      <w:ind w:left="1200" w:leftChars="1200" w:firstLine="0" w:firstLineChars="0"/>
      <w:jc w:val="both"/>
    </w:pPr>
    <w:rPr>
      <w:rFonts w:ascii="Arial Narrow" w:hAnsi="Arial Narrow" w:eastAsia="仿宋_GB2312"/>
    </w:rPr>
  </w:style>
  <w:style w:type="paragraph" w:styleId="72">
    <w:name w:val="index 9"/>
    <w:basedOn w:val="1"/>
    <w:next w:val="1"/>
    <w:autoRedefine/>
    <w:qFormat/>
    <w:locked/>
    <w:uiPriority w:val="0"/>
    <w:pPr>
      <w:snapToGrid/>
      <w:spacing w:line="300" w:lineRule="auto"/>
      <w:ind w:left="1600" w:leftChars="1600" w:firstLine="0" w:firstLineChars="0"/>
      <w:jc w:val="both"/>
    </w:pPr>
    <w:rPr>
      <w:rFonts w:ascii="Arial Narrow" w:hAnsi="Arial Narrow" w:eastAsia="仿宋_GB2312"/>
    </w:rPr>
  </w:style>
  <w:style w:type="paragraph" w:styleId="73">
    <w:name w:val="table of figures"/>
    <w:basedOn w:val="1"/>
    <w:next w:val="1"/>
    <w:autoRedefine/>
    <w:qFormat/>
    <w:locked/>
    <w:uiPriority w:val="0"/>
    <w:pPr>
      <w:snapToGrid/>
      <w:spacing w:line="240" w:lineRule="auto"/>
      <w:ind w:left="840" w:leftChars="200" w:hanging="420" w:hangingChars="200"/>
      <w:jc w:val="both"/>
    </w:pPr>
    <w:rPr>
      <w:sz w:val="21"/>
      <w:szCs w:val="20"/>
    </w:rPr>
  </w:style>
  <w:style w:type="paragraph" w:styleId="74">
    <w:name w:val="toc 2"/>
    <w:basedOn w:val="1"/>
    <w:next w:val="1"/>
    <w:autoRedefine/>
    <w:unhideWhenUsed/>
    <w:qFormat/>
    <w:locked/>
    <w:uiPriority w:val="39"/>
    <w:pPr>
      <w:tabs>
        <w:tab w:val="right" w:leader="dot" w:pos="9060"/>
      </w:tabs>
      <w:snapToGrid/>
      <w:spacing w:before="24" w:beforeLines="10" w:after="24" w:afterLines="10"/>
    </w:pPr>
    <w:rPr>
      <w:smallCaps/>
    </w:rPr>
  </w:style>
  <w:style w:type="paragraph" w:styleId="75">
    <w:name w:val="toc 9"/>
    <w:basedOn w:val="1"/>
    <w:next w:val="1"/>
    <w:autoRedefine/>
    <w:unhideWhenUsed/>
    <w:qFormat/>
    <w:locked/>
    <w:uiPriority w:val="39"/>
    <w:pPr>
      <w:snapToGrid/>
      <w:spacing w:beforeLines="10" w:afterLines="10"/>
      <w:ind w:left="1680" w:firstLine="200"/>
    </w:pPr>
    <w:rPr>
      <w:sz w:val="18"/>
      <w:szCs w:val="18"/>
    </w:rPr>
  </w:style>
  <w:style w:type="paragraph" w:styleId="76">
    <w:name w:val="Body Text 2"/>
    <w:basedOn w:val="1"/>
    <w:link w:val="223"/>
    <w:locked/>
    <w:uiPriority w:val="0"/>
    <w:pPr>
      <w:snapToGrid/>
      <w:spacing w:beforeLines="10" w:after="120" w:afterLines="10" w:line="480" w:lineRule="auto"/>
      <w:ind w:firstLine="200"/>
      <w:jc w:val="both"/>
    </w:pPr>
  </w:style>
  <w:style w:type="paragraph" w:styleId="77">
    <w:name w:val="List 4"/>
    <w:basedOn w:val="1"/>
    <w:autoRedefine/>
    <w:qFormat/>
    <w:locked/>
    <w:uiPriority w:val="0"/>
    <w:pPr>
      <w:snapToGrid/>
      <w:spacing w:line="240" w:lineRule="auto"/>
      <w:ind w:left="100" w:leftChars="600" w:hanging="200" w:hangingChars="200"/>
      <w:jc w:val="both"/>
    </w:pPr>
    <w:rPr>
      <w:sz w:val="21"/>
    </w:rPr>
  </w:style>
  <w:style w:type="paragraph" w:styleId="78">
    <w:name w:val="List Continue 2"/>
    <w:basedOn w:val="1"/>
    <w:autoRedefine/>
    <w:qFormat/>
    <w:locked/>
    <w:uiPriority w:val="0"/>
    <w:pPr>
      <w:snapToGrid/>
      <w:spacing w:line="240" w:lineRule="auto"/>
      <w:ind w:left="840" w:leftChars="400" w:firstLine="0" w:firstLineChars="0"/>
      <w:jc w:val="both"/>
    </w:pPr>
    <w:rPr>
      <w:sz w:val="21"/>
    </w:rPr>
  </w:style>
  <w:style w:type="paragraph" w:styleId="79">
    <w:name w:val="Message Header"/>
    <w:basedOn w:val="1"/>
    <w:link w:val="274"/>
    <w:autoRedefine/>
    <w:qFormat/>
    <w:locked/>
    <w:uiPriority w:val="0"/>
    <w:pPr>
      <w:pBdr>
        <w:top w:val="single" w:color="auto" w:sz="6" w:space="1"/>
        <w:left w:val="single" w:color="auto" w:sz="6" w:space="1"/>
        <w:bottom w:val="single" w:color="auto" w:sz="6" w:space="1"/>
        <w:right w:val="single" w:color="auto" w:sz="6" w:space="1"/>
      </w:pBdr>
      <w:shd w:val="pct20" w:color="auto" w:fill="auto"/>
      <w:snapToGrid/>
      <w:spacing w:line="240" w:lineRule="auto"/>
      <w:ind w:left="1080" w:leftChars="500" w:hanging="1080" w:hangingChars="500"/>
      <w:jc w:val="both"/>
    </w:pPr>
    <w:rPr>
      <w:rFonts w:ascii="Arial" w:hAnsi="Arial" w:cs="Arial"/>
    </w:rPr>
  </w:style>
  <w:style w:type="paragraph" w:styleId="80">
    <w:name w:val="HTML Preformatted"/>
    <w:basedOn w:val="1"/>
    <w:link w:val="275"/>
    <w:autoRedefine/>
    <w:unhideWhenUsed/>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30" w:lineRule="atLeast"/>
      <w:ind w:firstLine="0" w:firstLineChars="0"/>
    </w:pPr>
    <w:rPr>
      <w:rFonts w:ascii="Arial" w:hAnsi="Arial" w:cs="Arial"/>
      <w:kern w:val="0"/>
      <w:sz w:val="21"/>
      <w:szCs w:val="21"/>
    </w:rPr>
  </w:style>
  <w:style w:type="paragraph" w:styleId="81">
    <w:name w:val="Normal (Web)"/>
    <w:basedOn w:val="1"/>
    <w:link w:val="153"/>
    <w:uiPriority w:val="99"/>
    <w:pPr>
      <w:widowControl/>
      <w:spacing w:before="100" w:beforeAutospacing="1" w:after="100" w:afterAutospacing="1"/>
    </w:pPr>
    <w:rPr>
      <w:rFonts w:ascii="宋体" w:hAnsi="宋体"/>
      <w:kern w:val="0"/>
      <w:szCs w:val="20"/>
    </w:rPr>
  </w:style>
  <w:style w:type="paragraph" w:styleId="82">
    <w:name w:val="List Continue 3"/>
    <w:basedOn w:val="1"/>
    <w:autoRedefine/>
    <w:qFormat/>
    <w:locked/>
    <w:uiPriority w:val="0"/>
    <w:pPr>
      <w:snapToGrid/>
      <w:spacing w:line="240" w:lineRule="auto"/>
      <w:ind w:left="1260" w:leftChars="600" w:firstLine="0" w:firstLineChars="0"/>
      <w:jc w:val="both"/>
    </w:pPr>
    <w:rPr>
      <w:sz w:val="21"/>
    </w:rPr>
  </w:style>
  <w:style w:type="paragraph" w:styleId="83">
    <w:name w:val="index 2"/>
    <w:basedOn w:val="1"/>
    <w:next w:val="1"/>
    <w:autoRedefine/>
    <w:qFormat/>
    <w:locked/>
    <w:uiPriority w:val="0"/>
    <w:pPr>
      <w:snapToGrid/>
      <w:spacing w:line="300" w:lineRule="auto"/>
      <w:ind w:left="200" w:leftChars="200" w:firstLine="0" w:firstLineChars="0"/>
      <w:jc w:val="both"/>
    </w:pPr>
    <w:rPr>
      <w:rFonts w:ascii="Arial Narrow" w:hAnsi="Arial Narrow" w:eastAsia="仿宋_GB2312"/>
    </w:rPr>
  </w:style>
  <w:style w:type="paragraph" w:styleId="84">
    <w:name w:val="Title"/>
    <w:basedOn w:val="1"/>
    <w:next w:val="1"/>
    <w:link w:val="179"/>
    <w:autoRedefine/>
    <w:qFormat/>
    <w:locked/>
    <w:uiPriority w:val="0"/>
    <w:pPr>
      <w:adjustRightInd w:val="0"/>
      <w:spacing w:beforeLines="50" w:line="480" w:lineRule="exact"/>
      <w:ind w:firstLine="0" w:firstLineChars="0"/>
      <w:jc w:val="center"/>
    </w:pPr>
    <w:rPr>
      <w:bCs/>
      <w:snapToGrid w:val="0"/>
      <w:spacing w:val="8"/>
      <w:sz w:val="26"/>
      <w:szCs w:val="26"/>
    </w:rPr>
  </w:style>
  <w:style w:type="paragraph" w:styleId="85">
    <w:name w:val="annotation subject"/>
    <w:basedOn w:val="28"/>
    <w:next w:val="28"/>
    <w:link w:val="161"/>
    <w:autoRedefine/>
    <w:qFormat/>
    <w:uiPriority w:val="0"/>
    <w:rPr>
      <w:b/>
    </w:rPr>
  </w:style>
  <w:style w:type="paragraph" w:styleId="86">
    <w:name w:val="Body Text First Indent"/>
    <w:basedOn w:val="34"/>
    <w:link w:val="586"/>
    <w:autoRedefine/>
    <w:qFormat/>
    <w:locked/>
    <w:uiPriority w:val="0"/>
    <w:pPr>
      <w:widowControl w:val="0"/>
      <w:snapToGrid/>
      <w:spacing w:before="0" w:after="120" w:line="240" w:lineRule="auto"/>
      <w:ind w:right="0" w:firstLine="420" w:firstLineChars="100"/>
      <w:jc w:val="both"/>
    </w:pPr>
    <w:rPr>
      <w:color w:val="000000"/>
      <w:kern w:val="2"/>
      <w:sz w:val="24"/>
      <w:szCs w:val="24"/>
    </w:rPr>
  </w:style>
  <w:style w:type="paragraph" w:styleId="87">
    <w:name w:val="Body Text First Indent 2"/>
    <w:basedOn w:val="35"/>
    <w:link w:val="270"/>
    <w:autoRedefine/>
    <w:qFormat/>
    <w:locked/>
    <w:uiPriority w:val="0"/>
    <w:pPr>
      <w:snapToGrid/>
      <w:spacing w:line="300" w:lineRule="auto"/>
      <w:ind w:left="0" w:leftChars="0" w:firstLine="420" w:firstLineChars="0"/>
      <w:jc w:val="both"/>
    </w:pPr>
    <w:rPr>
      <w:rFonts w:ascii="Arial Narrow" w:hAnsi="Arial Narrow" w:eastAsia="仿宋_GB2312"/>
      <w:kern w:val="2"/>
      <w:szCs w:val="24"/>
    </w:r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qFormat/>
    <w:locked/>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2"/>
    <w:basedOn w:val="88"/>
    <w:autoRedefine/>
    <w:qFormat/>
    <w:locked/>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2">
    <w:name w:val="Table Colorful 3"/>
    <w:basedOn w:val="88"/>
    <w:autoRedefine/>
    <w:qFormat/>
    <w:locked/>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3">
    <w:name w:val="Table Elegant"/>
    <w:basedOn w:val="88"/>
    <w:autoRedefine/>
    <w:qFormat/>
    <w:locked/>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4">
    <w:name w:val="Table Classic 1"/>
    <w:basedOn w:val="88"/>
    <w:autoRedefine/>
    <w:qFormat/>
    <w:locked/>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5">
    <w:name w:val="Table Classic 2"/>
    <w:basedOn w:val="88"/>
    <w:autoRedefine/>
    <w:qFormat/>
    <w:locked/>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6">
    <w:name w:val="Table Classic 3"/>
    <w:basedOn w:val="88"/>
    <w:autoRedefine/>
    <w:qFormat/>
    <w:locked/>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7">
    <w:name w:val="Table Classic 4"/>
    <w:basedOn w:val="88"/>
    <w:autoRedefine/>
    <w:qFormat/>
    <w:locked/>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8">
    <w:name w:val="Table Simple 1"/>
    <w:basedOn w:val="88"/>
    <w:autoRedefine/>
    <w:qFormat/>
    <w:locked/>
    <w:uiPriority w:val="0"/>
    <w:pPr>
      <w:widowControl w:val="0"/>
      <w:adjustRightInd w:val="0"/>
      <w:textAlignment w:val="baseline"/>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9">
    <w:name w:val="Table Simple 2"/>
    <w:basedOn w:val="88"/>
    <w:qFormat/>
    <w:locked/>
    <w:uiPriority w:val="0"/>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0">
    <w:name w:val="Table Simple 3"/>
    <w:basedOn w:val="88"/>
    <w:autoRedefine/>
    <w:qFormat/>
    <w:locked/>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1">
    <w:name w:val="Table Subtle 1"/>
    <w:basedOn w:val="88"/>
    <w:autoRedefine/>
    <w:qFormat/>
    <w:locked/>
    <w:uiPriority w:val="0"/>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Subtle 2"/>
    <w:basedOn w:val="88"/>
    <w:autoRedefine/>
    <w:qFormat/>
    <w:locked/>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3D effects 1"/>
    <w:basedOn w:val="88"/>
    <w:autoRedefine/>
    <w:qFormat/>
    <w:locked/>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4">
    <w:name w:val="Table 3D effects 2"/>
    <w:basedOn w:val="88"/>
    <w:autoRedefine/>
    <w:qFormat/>
    <w:locked/>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3D effects 3"/>
    <w:basedOn w:val="88"/>
    <w:autoRedefine/>
    <w:qFormat/>
    <w:locked/>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List 1"/>
    <w:basedOn w:val="88"/>
    <w:autoRedefine/>
    <w:qFormat/>
    <w:locked/>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2"/>
    <w:basedOn w:val="88"/>
    <w:autoRedefine/>
    <w:qFormat/>
    <w:locked/>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3"/>
    <w:basedOn w:val="88"/>
    <w:autoRedefine/>
    <w:qFormat/>
    <w:locked/>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9">
    <w:name w:val="Table List 4"/>
    <w:basedOn w:val="88"/>
    <w:autoRedefine/>
    <w:qFormat/>
    <w:locked/>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0">
    <w:name w:val="Table List 5"/>
    <w:basedOn w:val="88"/>
    <w:autoRedefine/>
    <w:qFormat/>
    <w:locked/>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1">
    <w:name w:val="Table List 6"/>
    <w:basedOn w:val="88"/>
    <w:autoRedefine/>
    <w:qFormat/>
    <w:locked/>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2">
    <w:name w:val="Table List 7"/>
    <w:basedOn w:val="88"/>
    <w:autoRedefine/>
    <w:qFormat/>
    <w:locked/>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3">
    <w:name w:val="Table List 8"/>
    <w:basedOn w:val="88"/>
    <w:autoRedefine/>
    <w:qFormat/>
    <w:locked/>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4">
    <w:name w:val="Table Contemporary"/>
    <w:basedOn w:val="88"/>
    <w:autoRedefine/>
    <w:qFormat/>
    <w:locked/>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5">
    <w:name w:val="Table Columns 1"/>
    <w:basedOn w:val="88"/>
    <w:autoRedefine/>
    <w:qFormat/>
    <w:locked/>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2"/>
    <w:basedOn w:val="88"/>
    <w:autoRedefine/>
    <w:qFormat/>
    <w:locked/>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3"/>
    <w:basedOn w:val="88"/>
    <w:autoRedefine/>
    <w:qFormat/>
    <w:locked/>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8">
    <w:name w:val="Table Columns 4"/>
    <w:basedOn w:val="88"/>
    <w:autoRedefine/>
    <w:qFormat/>
    <w:locked/>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9">
    <w:name w:val="Table Columns 5"/>
    <w:basedOn w:val="88"/>
    <w:autoRedefine/>
    <w:qFormat/>
    <w:locked/>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0">
    <w:name w:val="Table Grid 1"/>
    <w:basedOn w:val="88"/>
    <w:autoRedefine/>
    <w:qFormat/>
    <w:locked/>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2"/>
    <w:basedOn w:val="88"/>
    <w:autoRedefine/>
    <w:qFormat/>
    <w:locked/>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2">
    <w:name w:val="Table Grid 3"/>
    <w:basedOn w:val="88"/>
    <w:autoRedefine/>
    <w:qFormat/>
    <w:locked/>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4"/>
    <w:basedOn w:val="88"/>
    <w:autoRedefine/>
    <w:qFormat/>
    <w:locked/>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4">
    <w:name w:val="Table Grid 5"/>
    <w:basedOn w:val="88"/>
    <w:autoRedefine/>
    <w:qFormat/>
    <w:locked/>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6"/>
    <w:basedOn w:val="88"/>
    <w:autoRedefine/>
    <w:qFormat/>
    <w:locked/>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7"/>
    <w:basedOn w:val="88"/>
    <w:autoRedefine/>
    <w:qFormat/>
    <w:locked/>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8"/>
    <w:basedOn w:val="88"/>
    <w:autoRedefine/>
    <w:qFormat/>
    <w:locked/>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8">
    <w:name w:val="Table Web 1"/>
    <w:basedOn w:val="88"/>
    <w:autoRedefine/>
    <w:qFormat/>
    <w:locked/>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2"/>
    <w:basedOn w:val="88"/>
    <w:autoRedefine/>
    <w:qFormat/>
    <w:locked/>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3"/>
    <w:basedOn w:val="88"/>
    <w:autoRedefine/>
    <w:qFormat/>
    <w:locked/>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Professional"/>
    <w:basedOn w:val="88"/>
    <w:autoRedefine/>
    <w:qFormat/>
    <w:locked/>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33">
    <w:name w:val="Strong"/>
    <w:autoRedefine/>
    <w:qFormat/>
    <w:locked/>
    <w:uiPriority w:val="22"/>
    <w:rPr>
      <w:b/>
      <w:bCs/>
    </w:rPr>
  </w:style>
  <w:style w:type="character" w:styleId="134">
    <w:name w:val="endnote reference"/>
    <w:autoRedefine/>
    <w:qFormat/>
    <w:locked/>
    <w:uiPriority w:val="0"/>
    <w:rPr>
      <w:vertAlign w:val="superscript"/>
    </w:rPr>
  </w:style>
  <w:style w:type="character" w:styleId="135">
    <w:name w:val="page number"/>
    <w:basedOn w:val="132"/>
    <w:autoRedefine/>
    <w:qFormat/>
    <w:locked/>
    <w:uiPriority w:val="0"/>
  </w:style>
  <w:style w:type="character" w:styleId="136">
    <w:name w:val="FollowedHyperlink"/>
    <w:autoRedefine/>
    <w:qFormat/>
    <w:locked/>
    <w:uiPriority w:val="99"/>
    <w:rPr>
      <w:color w:val="800080"/>
      <w:u w:val="single"/>
    </w:rPr>
  </w:style>
  <w:style w:type="character" w:styleId="137">
    <w:name w:val="Emphasis"/>
    <w:autoRedefine/>
    <w:qFormat/>
    <w:locked/>
    <w:uiPriority w:val="0"/>
    <w:rPr>
      <w:rFonts w:ascii="宋体" w:hAnsi="宋体" w:eastAsia="宋体" w:cs="Courier New"/>
      <w:i/>
      <w:iCs/>
      <w:kern w:val="2"/>
      <w:sz w:val="32"/>
      <w:szCs w:val="32"/>
      <w:lang w:val="en-US" w:eastAsia="zh-CN" w:bidi="ar-SA"/>
    </w:rPr>
  </w:style>
  <w:style w:type="character" w:styleId="138">
    <w:name w:val="line number"/>
    <w:autoRedefine/>
    <w:qFormat/>
    <w:locked/>
    <w:uiPriority w:val="0"/>
    <w:rPr>
      <w:rFonts w:ascii="Verdana" w:hAnsi="Verdana" w:eastAsia="宋体"/>
      <w:lang w:val="en-US" w:eastAsia="en-US" w:bidi="ar-SA"/>
    </w:rPr>
  </w:style>
  <w:style w:type="character" w:styleId="139">
    <w:name w:val="HTML Definition"/>
    <w:autoRedefine/>
    <w:qFormat/>
    <w:locked/>
    <w:uiPriority w:val="0"/>
    <w:rPr>
      <w:rFonts w:ascii="Verdana" w:hAnsi="Verdana" w:eastAsia="宋体"/>
      <w:i/>
      <w:iCs/>
      <w:lang w:val="en-US" w:eastAsia="en-US" w:bidi="ar-SA"/>
    </w:rPr>
  </w:style>
  <w:style w:type="character" w:styleId="140">
    <w:name w:val="HTML Typewriter"/>
    <w:autoRedefine/>
    <w:qFormat/>
    <w:locked/>
    <w:uiPriority w:val="0"/>
    <w:rPr>
      <w:rFonts w:ascii="Courier New" w:hAnsi="Courier New" w:eastAsia="宋体" w:cs="Courier New"/>
      <w:kern w:val="2"/>
      <w:sz w:val="20"/>
      <w:szCs w:val="20"/>
      <w:lang w:val="en-US" w:eastAsia="zh-CN" w:bidi="ar-SA"/>
    </w:rPr>
  </w:style>
  <w:style w:type="character" w:styleId="141">
    <w:name w:val="HTML Acronym"/>
    <w:autoRedefine/>
    <w:qFormat/>
    <w:locked/>
    <w:uiPriority w:val="0"/>
    <w:rPr>
      <w:rFonts w:ascii="宋体" w:hAnsi="宋体" w:eastAsia="宋体" w:cs="Courier New"/>
      <w:kern w:val="2"/>
      <w:sz w:val="32"/>
      <w:szCs w:val="32"/>
      <w:lang w:val="en-US" w:eastAsia="zh-CN" w:bidi="ar-SA"/>
    </w:rPr>
  </w:style>
  <w:style w:type="character" w:styleId="142">
    <w:name w:val="HTML Variable"/>
    <w:autoRedefine/>
    <w:qFormat/>
    <w:locked/>
    <w:uiPriority w:val="0"/>
    <w:rPr>
      <w:rFonts w:ascii="宋体" w:hAnsi="宋体" w:eastAsia="宋体" w:cs="Courier New"/>
      <w:i/>
      <w:iCs/>
      <w:kern w:val="2"/>
      <w:sz w:val="32"/>
      <w:szCs w:val="32"/>
      <w:lang w:val="en-US" w:eastAsia="zh-CN" w:bidi="ar-SA"/>
    </w:rPr>
  </w:style>
  <w:style w:type="character" w:styleId="143">
    <w:name w:val="Hyperlink"/>
    <w:autoRedefine/>
    <w:qFormat/>
    <w:locked/>
    <w:uiPriority w:val="99"/>
    <w:rPr>
      <w:color w:val="0000FF"/>
      <w:u w:val="single"/>
    </w:rPr>
  </w:style>
  <w:style w:type="character" w:styleId="144">
    <w:name w:val="HTML Code"/>
    <w:autoRedefine/>
    <w:qFormat/>
    <w:locked/>
    <w:uiPriority w:val="0"/>
    <w:rPr>
      <w:rFonts w:ascii="Courier New" w:hAnsi="Courier New" w:eastAsia="宋体" w:cs="Courier New"/>
      <w:sz w:val="20"/>
      <w:szCs w:val="20"/>
      <w:lang w:val="en-US" w:eastAsia="en-US" w:bidi="ar-SA"/>
    </w:rPr>
  </w:style>
  <w:style w:type="character" w:styleId="145">
    <w:name w:val="annotation reference"/>
    <w:qFormat/>
    <w:uiPriority w:val="0"/>
    <w:rPr>
      <w:sz w:val="21"/>
    </w:rPr>
  </w:style>
  <w:style w:type="character" w:styleId="146">
    <w:name w:val="HTML Cite"/>
    <w:autoRedefine/>
    <w:qFormat/>
    <w:locked/>
    <w:uiPriority w:val="0"/>
    <w:rPr>
      <w:rFonts w:ascii="宋体" w:hAnsi="宋体" w:eastAsia="宋体" w:cs="Courier New"/>
      <w:i/>
      <w:iCs/>
      <w:kern w:val="2"/>
      <w:sz w:val="32"/>
      <w:szCs w:val="32"/>
      <w:lang w:val="en-US" w:eastAsia="zh-CN" w:bidi="ar-SA"/>
    </w:rPr>
  </w:style>
  <w:style w:type="character" w:styleId="147">
    <w:name w:val="footnote reference"/>
    <w:autoRedefine/>
    <w:qFormat/>
    <w:locked/>
    <w:uiPriority w:val="0"/>
    <w:rPr>
      <w:rFonts w:ascii="Verdana" w:hAnsi="Verdana" w:eastAsia="宋体"/>
      <w:vertAlign w:val="superscript"/>
      <w:lang w:val="en-US" w:eastAsia="en-US" w:bidi="ar-SA"/>
    </w:rPr>
  </w:style>
  <w:style w:type="character" w:styleId="148">
    <w:name w:val="HTML Keyboard"/>
    <w:autoRedefine/>
    <w:qFormat/>
    <w:locked/>
    <w:uiPriority w:val="0"/>
    <w:rPr>
      <w:rFonts w:ascii="Courier New" w:hAnsi="Courier New" w:eastAsia="宋体"/>
      <w:sz w:val="20"/>
      <w:szCs w:val="20"/>
      <w:lang w:val="en-US" w:eastAsia="en-US" w:bidi="ar-SA"/>
    </w:rPr>
  </w:style>
  <w:style w:type="character" w:styleId="149">
    <w:name w:val="HTML Sample"/>
    <w:autoRedefine/>
    <w:qFormat/>
    <w:locked/>
    <w:uiPriority w:val="0"/>
    <w:rPr>
      <w:rFonts w:ascii="Courier New" w:hAnsi="Courier New" w:eastAsia="宋体" w:cs="Courier New"/>
      <w:kern w:val="2"/>
      <w:sz w:val="32"/>
      <w:szCs w:val="32"/>
      <w:lang w:val="en-US" w:eastAsia="zh-CN" w:bidi="ar-SA"/>
    </w:rPr>
  </w:style>
  <w:style w:type="character" w:customStyle="1" w:styleId="150">
    <w:name w:val="页脚 Char"/>
    <w:link w:val="55"/>
    <w:autoRedefine/>
    <w:qFormat/>
    <w:locked/>
    <w:uiPriority w:val="99"/>
    <w:rPr>
      <w:sz w:val="18"/>
    </w:rPr>
  </w:style>
  <w:style w:type="character" w:customStyle="1" w:styleId="151">
    <w:name w:val="日期 Char"/>
    <w:link w:val="50"/>
    <w:autoRedefine/>
    <w:qFormat/>
    <w:locked/>
    <w:uiPriority w:val="99"/>
    <w:rPr>
      <w:rFonts w:ascii="Times New Roman" w:hAnsi="Times New Roman" w:eastAsia="宋体"/>
      <w:sz w:val="24"/>
    </w:rPr>
  </w:style>
  <w:style w:type="character" w:customStyle="1" w:styleId="152">
    <w:name w:val="页脚 字符"/>
    <w:basedOn w:val="132"/>
    <w:qFormat/>
    <w:uiPriority w:val="99"/>
  </w:style>
  <w:style w:type="character" w:customStyle="1" w:styleId="153">
    <w:name w:val="普通(网站) Char"/>
    <w:link w:val="81"/>
    <w:qFormat/>
    <w:locked/>
    <w:uiPriority w:val="0"/>
    <w:rPr>
      <w:rFonts w:ascii="宋体" w:hAnsi="宋体" w:eastAsia="宋体"/>
      <w:sz w:val="24"/>
    </w:rPr>
  </w:style>
  <w:style w:type="character" w:customStyle="1" w:styleId="154">
    <w:name w:val="正文文本 字符1"/>
    <w:autoRedefine/>
    <w:semiHidden/>
    <w:uiPriority w:val="0"/>
    <w:rPr>
      <w:rFonts w:ascii="Times New Roman" w:hAnsi="Times New Roman" w:eastAsia="宋体"/>
      <w:sz w:val="24"/>
    </w:rPr>
  </w:style>
  <w:style w:type="character" w:customStyle="1" w:styleId="155">
    <w:name w:val="正文文本 Char"/>
    <w:link w:val="34"/>
    <w:autoRedefine/>
    <w:qFormat/>
    <w:locked/>
    <w:uiPriority w:val="0"/>
    <w:rPr>
      <w:sz w:val="18"/>
    </w:rPr>
  </w:style>
  <w:style w:type="character" w:customStyle="1" w:styleId="156">
    <w:name w:val="批注文字 Char"/>
    <w:link w:val="28"/>
    <w:autoRedefine/>
    <w:qFormat/>
    <w:locked/>
    <w:uiPriority w:val="0"/>
    <w:rPr>
      <w:rFonts w:ascii="Times New Roman" w:hAnsi="Times New Roman" w:eastAsia="宋体"/>
      <w:sz w:val="24"/>
    </w:rPr>
  </w:style>
  <w:style w:type="character" w:customStyle="1" w:styleId="157">
    <w:name w:val="表格 Char"/>
    <w:link w:val="158"/>
    <w:autoRedefine/>
    <w:qFormat/>
    <w:locked/>
    <w:uiPriority w:val="0"/>
    <w:rPr>
      <w:rFonts w:ascii="宋体"/>
      <w:sz w:val="21"/>
    </w:rPr>
  </w:style>
  <w:style w:type="paragraph" w:customStyle="1" w:styleId="158">
    <w:name w:val="表格"/>
    <w:basedOn w:val="1"/>
    <w:next w:val="1"/>
    <w:link w:val="157"/>
    <w:autoRedefine/>
    <w:qFormat/>
    <w:uiPriority w:val="0"/>
    <w:pPr>
      <w:adjustRightInd w:val="0"/>
      <w:spacing w:beforeLines="10" w:afterLines="10" w:line="259" w:lineRule="auto"/>
      <w:jc w:val="center"/>
    </w:pPr>
    <w:rPr>
      <w:rFonts w:ascii="宋体"/>
      <w:kern w:val="0"/>
      <w:szCs w:val="20"/>
    </w:rPr>
  </w:style>
  <w:style w:type="character" w:customStyle="1" w:styleId="159">
    <w:name w:val="日期 字符"/>
    <w:autoRedefine/>
    <w:semiHidden/>
    <w:qFormat/>
    <w:uiPriority w:val="0"/>
    <w:rPr>
      <w:rFonts w:ascii="Times New Roman" w:hAnsi="Times New Roman" w:eastAsia="宋体"/>
      <w:sz w:val="24"/>
    </w:rPr>
  </w:style>
  <w:style w:type="character" w:customStyle="1" w:styleId="160">
    <w:name w:val="批注框文本 Char"/>
    <w:link w:val="54"/>
    <w:autoRedefine/>
    <w:qFormat/>
    <w:locked/>
    <w:uiPriority w:val="99"/>
    <w:rPr>
      <w:rFonts w:ascii="Times New Roman" w:hAnsi="Times New Roman" w:eastAsia="宋体"/>
      <w:sz w:val="18"/>
    </w:rPr>
  </w:style>
  <w:style w:type="character" w:customStyle="1" w:styleId="161">
    <w:name w:val="批注主题 Char"/>
    <w:link w:val="85"/>
    <w:autoRedefine/>
    <w:qFormat/>
    <w:locked/>
    <w:uiPriority w:val="0"/>
    <w:rPr>
      <w:rFonts w:ascii="Times New Roman" w:hAnsi="Times New Roman" w:eastAsia="宋体"/>
      <w:b/>
      <w:kern w:val="2"/>
      <w:sz w:val="24"/>
    </w:rPr>
  </w:style>
  <w:style w:type="character" w:customStyle="1" w:styleId="162">
    <w:name w:val="页眉 Char"/>
    <w:link w:val="57"/>
    <w:autoRedefine/>
    <w:qFormat/>
    <w:locked/>
    <w:uiPriority w:val="99"/>
    <w:rPr>
      <w:sz w:val="18"/>
    </w:rPr>
  </w:style>
  <w:style w:type="character" w:customStyle="1" w:styleId="163">
    <w:name w:val="批注文字 字符1"/>
    <w:autoRedefine/>
    <w:semiHidden/>
    <w:qFormat/>
    <w:uiPriority w:val="0"/>
    <w:rPr>
      <w:rFonts w:ascii="Times New Roman" w:hAnsi="Times New Roman" w:eastAsia="宋体"/>
      <w:sz w:val="24"/>
    </w:rPr>
  </w:style>
  <w:style w:type="character" w:customStyle="1" w:styleId="164">
    <w:name w:val="正文文本缩进 Char"/>
    <w:link w:val="35"/>
    <w:qFormat/>
    <w:locked/>
    <w:uiPriority w:val="0"/>
    <w:rPr>
      <w:rFonts w:ascii="Times New Roman" w:hAnsi="Times New Roman" w:eastAsia="宋体"/>
      <w:sz w:val="24"/>
    </w:rPr>
  </w:style>
  <w:style w:type="paragraph" w:customStyle="1" w:styleId="165">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普通(网站)2"/>
    <w:basedOn w:val="1"/>
    <w:autoRedefine/>
    <w:qFormat/>
    <w:uiPriority w:val="0"/>
    <w:pPr>
      <w:widowControl/>
      <w:spacing w:before="100" w:beforeAutospacing="1" w:after="100" w:afterAutospacing="1"/>
    </w:pPr>
    <w:rPr>
      <w:rFonts w:ascii="宋体" w:hAnsi="宋体"/>
      <w:szCs w:val="20"/>
    </w:rPr>
  </w:style>
  <w:style w:type="paragraph" w:customStyle="1" w:styleId="167">
    <w:name w:val="m表/图名"/>
    <w:basedOn w:val="1"/>
    <w:link w:val="168"/>
    <w:qFormat/>
    <w:uiPriority w:val="0"/>
    <w:pPr>
      <w:ind w:firstLine="420"/>
      <w:jc w:val="center"/>
      <w:outlineLvl w:val="4"/>
    </w:pPr>
    <w:rPr>
      <w:rFonts w:ascii="黑体" w:hAnsi="黑体" w:eastAsia="黑体"/>
      <w:color w:val="000000"/>
      <w:sz w:val="21"/>
      <w:szCs w:val="20"/>
      <w:lang w:val="zh-CN" w:eastAsia="zh-CN"/>
    </w:rPr>
  </w:style>
  <w:style w:type="character" w:customStyle="1" w:styleId="168">
    <w:name w:val="m表/图名 Char"/>
    <w:link w:val="167"/>
    <w:qFormat/>
    <w:uiPriority w:val="0"/>
    <w:rPr>
      <w:rFonts w:ascii="黑体" w:hAnsi="黑体" w:eastAsia="黑体"/>
      <w:color w:val="000000"/>
      <w:kern w:val="2"/>
      <w:sz w:val="21"/>
      <w:lang w:val="zh-CN" w:eastAsia="zh-CN"/>
    </w:rPr>
  </w:style>
  <w:style w:type="paragraph" w:customStyle="1" w:styleId="169">
    <w:name w:val="m表格文字"/>
    <w:link w:val="170"/>
    <w:qFormat/>
    <w:uiPriority w:val="0"/>
    <w:pPr>
      <w:jc w:val="center"/>
    </w:pPr>
    <w:rPr>
      <w:rFonts w:ascii="Times New Roman" w:hAnsi="Times New Roman" w:eastAsia="宋体" w:cs="Times New Roman"/>
      <w:sz w:val="21"/>
      <w:lang w:val="en-US" w:eastAsia="zh-CN" w:bidi="ar-SA"/>
    </w:rPr>
  </w:style>
  <w:style w:type="character" w:customStyle="1" w:styleId="170">
    <w:name w:val="m表格文字 Char"/>
    <w:link w:val="169"/>
    <w:autoRedefine/>
    <w:qFormat/>
    <w:uiPriority w:val="0"/>
    <w:rPr>
      <w:sz w:val="21"/>
    </w:rPr>
  </w:style>
  <w:style w:type="paragraph" w:customStyle="1" w:styleId="171">
    <w:name w:val="m表格文字多"/>
    <w:basedOn w:val="1"/>
    <w:link w:val="172"/>
    <w:autoRedefine/>
    <w:qFormat/>
    <w:uiPriority w:val="0"/>
    <w:pPr>
      <w:widowControl/>
      <w:tabs>
        <w:tab w:val="left" w:pos="0"/>
        <w:tab w:val="left" w:pos="993"/>
      </w:tabs>
      <w:adjustRightInd w:val="0"/>
      <w:ind w:firstLine="100" w:firstLineChars="100"/>
    </w:pPr>
    <w:rPr>
      <w:color w:val="000000"/>
      <w:kern w:val="0"/>
      <w:szCs w:val="18"/>
    </w:rPr>
  </w:style>
  <w:style w:type="character" w:customStyle="1" w:styleId="172">
    <w:name w:val="m表格文字多 Char"/>
    <w:link w:val="171"/>
    <w:autoRedefine/>
    <w:uiPriority w:val="0"/>
    <w:rPr>
      <w:color w:val="000000"/>
      <w:sz w:val="21"/>
      <w:szCs w:val="18"/>
    </w:rPr>
  </w:style>
  <w:style w:type="character" w:customStyle="1" w:styleId="173">
    <w:name w:val="标题 3 Char"/>
    <w:link w:val="5"/>
    <w:autoRedefine/>
    <w:qFormat/>
    <w:uiPriority w:val="0"/>
    <w:rPr>
      <w:b/>
      <w:bCs/>
      <w:kern w:val="2"/>
      <w:sz w:val="28"/>
      <w:szCs w:val="32"/>
    </w:rPr>
  </w:style>
  <w:style w:type="character" w:customStyle="1" w:styleId="174">
    <w:name w:val="标题 4 Char"/>
    <w:link w:val="6"/>
    <w:autoRedefine/>
    <w:qFormat/>
    <w:uiPriority w:val="0"/>
    <w:rPr>
      <w:b/>
      <w:bCs/>
      <w:kern w:val="2"/>
      <w:sz w:val="24"/>
      <w:szCs w:val="32"/>
    </w:rPr>
  </w:style>
  <w:style w:type="character" w:customStyle="1" w:styleId="175">
    <w:name w:val="标题 2 Char"/>
    <w:link w:val="4"/>
    <w:autoRedefine/>
    <w:qFormat/>
    <w:uiPriority w:val="0"/>
    <w:rPr>
      <w:b/>
      <w:bCs/>
      <w:kern w:val="2"/>
      <w:sz w:val="30"/>
      <w:szCs w:val="32"/>
    </w:rPr>
  </w:style>
  <w:style w:type="table" w:customStyle="1" w:styleId="176">
    <w:name w:val="Table Normal"/>
    <w:autoRedefine/>
    <w:unhideWhenUsed/>
    <w:qFormat/>
    <w:uiPriority w:val="2"/>
    <w:rPr>
      <w:rFonts w:ascii="Arial" w:hAnsi="Arial" w:cs="Arial"/>
      <w:snapToGrid w:val="0"/>
      <w:color w:val="000000"/>
      <w:sz w:val="21"/>
      <w:szCs w:val="21"/>
    </w:rPr>
    <w:tblPr>
      <w:tblCellMar>
        <w:top w:w="0" w:type="dxa"/>
        <w:left w:w="0" w:type="dxa"/>
        <w:bottom w:w="0" w:type="dxa"/>
        <w:right w:w="0" w:type="dxa"/>
      </w:tblCellMar>
    </w:tblPr>
  </w:style>
  <w:style w:type="character" w:customStyle="1" w:styleId="177">
    <w:name w:val="m表名 Char"/>
    <w:link w:val="178"/>
    <w:autoRedefine/>
    <w:qFormat/>
    <w:uiPriority w:val="0"/>
    <w:rPr>
      <w:rFonts w:eastAsia="黑体"/>
      <w:color w:val="000000"/>
      <w:kern w:val="2"/>
      <w:sz w:val="21"/>
    </w:rPr>
  </w:style>
  <w:style w:type="paragraph" w:customStyle="1" w:styleId="178">
    <w:name w:val="m表名"/>
    <w:basedOn w:val="1"/>
    <w:link w:val="177"/>
    <w:autoRedefine/>
    <w:qFormat/>
    <w:uiPriority w:val="0"/>
    <w:pPr>
      <w:widowControl/>
      <w:tabs>
        <w:tab w:val="left" w:pos="993"/>
      </w:tabs>
      <w:snapToGrid/>
      <w:spacing w:line="240" w:lineRule="auto"/>
      <w:jc w:val="center"/>
      <w:outlineLvl w:val="4"/>
    </w:pPr>
    <w:rPr>
      <w:rFonts w:eastAsia="黑体"/>
      <w:color w:val="000000"/>
      <w:sz w:val="21"/>
      <w:szCs w:val="20"/>
    </w:rPr>
  </w:style>
  <w:style w:type="character" w:customStyle="1" w:styleId="179">
    <w:name w:val="标题 Char"/>
    <w:link w:val="84"/>
    <w:qFormat/>
    <w:uiPriority w:val="0"/>
    <w:rPr>
      <w:bCs/>
      <w:snapToGrid w:val="0"/>
      <w:spacing w:val="8"/>
      <w:kern w:val="2"/>
      <w:sz w:val="26"/>
      <w:szCs w:val="26"/>
    </w:rPr>
  </w:style>
  <w:style w:type="paragraph" w:customStyle="1" w:styleId="180">
    <w:name w:val="Default"/>
    <w:autoRedefine/>
    <w:qFormat/>
    <w:uiPriority w:val="0"/>
    <w:pPr>
      <w:widowControl w:val="0"/>
      <w:suppressAutoHyphens/>
      <w:autoSpaceDE w:val="0"/>
      <w:autoSpaceDN w:val="0"/>
      <w:textAlignment w:val="baseline"/>
    </w:pPr>
    <w:rPr>
      <w:rFonts w:ascii="宋体" w:hAnsi="宋体" w:eastAsia="宋体" w:cs="宋体"/>
      <w:color w:val="000000"/>
      <w:sz w:val="24"/>
      <w:szCs w:val="24"/>
      <w:lang w:val="en-US" w:eastAsia="zh-CN" w:bidi="ar-SA"/>
    </w:rPr>
  </w:style>
  <w:style w:type="paragraph" w:customStyle="1" w:styleId="181">
    <w:name w:val="Revision"/>
    <w:autoRedefine/>
    <w:hidden/>
    <w:semiHidden/>
    <w:qFormat/>
    <w:uiPriority w:val="99"/>
    <w:rPr>
      <w:rFonts w:ascii="Times New Roman" w:hAnsi="Times New Roman" w:eastAsia="宋体" w:cs="Times New Roman"/>
      <w:kern w:val="2"/>
      <w:sz w:val="24"/>
      <w:szCs w:val="24"/>
      <w:lang w:val="en-US" w:eastAsia="zh-CN" w:bidi="ar-SA"/>
    </w:rPr>
  </w:style>
  <w:style w:type="paragraph" w:customStyle="1" w:styleId="182">
    <w:name w:val="m表格多文字"/>
    <w:basedOn w:val="1"/>
    <w:link w:val="183"/>
    <w:autoRedefine/>
    <w:qFormat/>
    <w:uiPriority w:val="0"/>
    <w:pPr>
      <w:widowControl/>
      <w:snapToGrid/>
      <w:spacing w:line="240" w:lineRule="auto"/>
      <w:ind w:firstLine="420"/>
      <w:jc w:val="both"/>
    </w:pPr>
    <w:rPr>
      <w:kern w:val="0"/>
      <w:sz w:val="21"/>
      <w:szCs w:val="20"/>
    </w:rPr>
  </w:style>
  <w:style w:type="character" w:customStyle="1" w:styleId="183">
    <w:name w:val="m表格多文字 Char"/>
    <w:link w:val="182"/>
    <w:autoRedefine/>
    <w:uiPriority w:val="0"/>
    <w:rPr>
      <w:sz w:val="21"/>
    </w:rPr>
  </w:style>
  <w:style w:type="character" w:customStyle="1" w:styleId="184">
    <w:name w:val="表格文字2 字符"/>
    <w:link w:val="185"/>
    <w:autoRedefine/>
    <w:qFormat/>
    <w:uiPriority w:val="0"/>
    <w:rPr>
      <w:szCs w:val="24"/>
    </w:rPr>
  </w:style>
  <w:style w:type="paragraph" w:customStyle="1" w:styleId="185">
    <w:name w:val="表格文字"/>
    <w:basedOn w:val="1"/>
    <w:link w:val="184"/>
    <w:autoRedefine/>
    <w:qFormat/>
    <w:uiPriority w:val="0"/>
    <w:pPr>
      <w:widowControl/>
      <w:snapToGrid/>
      <w:spacing w:line="300" w:lineRule="exact"/>
      <w:ind w:firstLine="0" w:firstLineChars="0"/>
      <w:jc w:val="center"/>
    </w:pPr>
    <w:rPr>
      <w:kern w:val="0"/>
      <w:sz w:val="20"/>
    </w:rPr>
  </w:style>
  <w:style w:type="paragraph" w:customStyle="1" w:styleId="186">
    <w:name w:val="h正文表格文字"/>
    <w:basedOn w:val="1"/>
    <w:autoRedefine/>
    <w:qFormat/>
    <w:uiPriority w:val="0"/>
    <w:pPr>
      <w:adjustRightInd w:val="0"/>
      <w:spacing w:line="240" w:lineRule="auto"/>
      <w:ind w:firstLine="0" w:firstLineChars="0"/>
      <w:jc w:val="center"/>
    </w:pPr>
    <w:rPr>
      <w:sz w:val="21"/>
    </w:rPr>
  </w:style>
  <w:style w:type="character" w:customStyle="1" w:styleId="187">
    <w:name w:val="无间隔 Char"/>
    <w:link w:val="188"/>
    <w:autoRedefine/>
    <w:qFormat/>
    <w:uiPriority w:val="0"/>
    <w:rPr>
      <w:rFonts w:ascii="宋体" w:hAnsi="宋体"/>
      <w:bCs/>
      <w:kern w:val="2"/>
      <w:sz w:val="21"/>
      <w:szCs w:val="21"/>
    </w:rPr>
  </w:style>
  <w:style w:type="paragraph" w:styleId="188">
    <w:name w:val="No Spacing"/>
    <w:link w:val="187"/>
    <w:qFormat/>
    <w:uiPriority w:val="1"/>
    <w:rPr>
      <w:rFonts w:ascii="宋体" w:hAnsi="宋体" w:eastAsia="宋体" w:cs="Times New Roman"/>
      <w:bCs/>
      <w:kern w:val="2"/>
      <w:sz w:val="21"/>
      <w:szCs w:val="21"/>
      <w:lang w:val="en-US" w:eastAsia="zh-CN" w:bidi="ar-SA"/>
    </w:rPr>
  </w:style>
  <w:style w:type="paragraph" w:styleId="189">
    <w:name w:val="List Paragraph"/>
    <w:basedOn w:val="1"/>
    <w:autoRedefine/>
    <w:qFormat/>
    <w:uiPriority w:val="34"/>
    <w:pPr>
      <w:ind w:firstLine="420"/>
    </w:pPr>
  </w:style>
  <w:style w:type="character" w:customStyle="1" w:styleId="190">
    <w:name w:val="Intense Emphasis"/>
    <w:qFormat/>
    <w:uiPriority w:val="21"/>
    <w:rPr>
      <w:b/>
      <w:bCs/>
      <w:i/>
      <w:iCs/>
      <w:color w:val="4F81BD"/>
    </w:rPr>
  </w:style>
  <w:style w:type="character" w:customStyle="1" w:styleId="191">
    <w:name w:val="m表内字体 Char"/>
    <w:link w:val="192"/>
    <w:uiPriority w:val="0"/>
    <w:rPr>
      <w:rFonts w:ascii="宋体"/>
      <w:color w:val="000000"/>
      <w:szCs w:val="18"/>
    </w:rPr>
  </w:style>
  <w:style w:type="paragraph" w:customStyle="1" w:styleId="192">
    <w:name w:val="m表内字体"/>
    <w:basedOn w:val="1"/>
    <w:link w:val="191"/>
    <w:qFormat/>
    <w:uiPriority w:val="0"/>
    <w:pPr>
      <w:tabs>
        <w:tab w:val="left" w:pos="0"/>
      </w:tabs>
      <w:adjustRightInd w:val="0"/>
      <w:spacing w:line="240" w:lineRule="auto"/>
      <w:ind w:firstLine="0" w:firstLineChars="0"/>
      <w:jc w:val="center"/>
    </w:pPr>
    <w:rPr>
      <w:rFonts w:ascii="宋体"/>
      <w:color w:val="000000"/>
      <w:kern w:val="0"/>
      <w:sz w:val="20"/>
      <w:szCs w:val="18"/>
    </w:rPr>
  </w:style>
  <w:style w:type="character" w:customStyle="1" w:styleId="193">
    <w:name w:val="正文缩进 Char2"/>
    <w:link w:val="21"/>
    <w:autoRedefine/>
    <w:qFormat/>
    <w:uiPriority w:val="0"/>
    <w:rPr>
      <w:kern w:val="2"/>
      <w:sz w:val="24"/>
    </w:rPr>
  </w:style>
  <w:style w:type="character" w:customStyle="1" w:styleId="194">
    <w:name w:val="表内字体111 Char"/>
    <w:link w:val="195"/>
    <w:autoRedefine/>
    <w:qFormat/>
    <w:uiPriority w:val="0"/>
    <w:rPr>
      <w:sz w:val="22"/>
      <w:szCs w:val="24"/>
    </w:rPr>
  </w:style>
  <w:style w:type="paragraph" w:customStyle="1" w:styleId="195">
    <w:name w:val="表内字体111"/>
    <w:basedOn w:val="1"/>
    <w:link w:val="194"/>
    <w:autoRedefine/>
    <w:qFormat/>
    <w:uiPriority w:val="0"/>
    <w:pPr>
      <w:adjustRightInd w:val="0"/>
      <w:spacing w:line="240" w:lineRule="auto"/>
      <w:ind w:firstLine="0" w:firstLineChars="0"/>
      <w:jc w:val="center"/>
    </w:pPr>
    <w:rPr>
      <w:kern w:val="0"/>
      <w:sz w:val="22"/>
    </w:rPr>
  </w:style>
  <w:style w:type="paragraph" w:customStyle="1" w:styleId="196">
    <w:name w:val="zw1"/>
    <w:basedOn w:val="1"/>
    <w:autoRedefine/>
    <w:qFormat/>
    <w:uiPriority w:val="0"/>
    <w:pPr>
      <w:snapToGrid/>
      <w:spacing w:line="240" w:lineRule="auto"/>
      <w:ind w:firstLine="0" w:firstLineChars="0"/>
      <w:jc w:val="both"/>
    </w:pPr>
    <w:rPr>
      <w:rFonts w:eastAsia="仿宋_GB2312"/>
      <w:szCs w:val="20"/>
    </w:rPr>
  </w:style>
  <w:style w:type="character" w:customStyle="1" w:styleId="197">
    <w:name w:val="正文文本缩进 2 Char"/>
    <w:link w:val="51"/>
    <w:autoRedefine/>
    <w:qFormat/>
    <w:uiPriority w:val="0"/>
    <w:rPr>
      <w:kern w:val="2"/>
      <w:sz w:val="24"/>
      <w:szCs w:val="24"/>
    </w:rPr>
  </w:style>
  <w:style w:type="paragraph" w:customStyle="1" w:styleId="198">
    <w:name w:val="表体"/>
    <w:basedOn w:val="1"/>
    <w:link w:val="2680"/>
    <w:autoRedefine/>
    <w:qFormat/>
    <w:uiPriority w:val="0"/>
    <w:pPr>
      <w:snapToGrid/>
      <w:spacing w:line="240" w:lineRule="exact"/>
      <w:ind w:firstLine="0" w:firstLineChars="0"/>
      <w:jc w:val="center"/>
    </w:pPr>
    <w:rPr>
      <w:rFonts w:ascii="宋体" w:hAnsi="宋体"/>
      <w:color w:val="FF0000"/>
      <w:sz w:val="21"/>
      <w:szCs w:val="21"/>
    </w:rPr>
  </w:style>
  <w:style w:type="character" w:customStyle="1" w:styleId="199">
    <w:name w:val="m表内字体小 Char"/>
    <w:link w:val="200"/>
    <w:autoRedefine/>
    <w:qFormat/>
    <w:uiPriority w:val="0"/>
    <w:rPr>
      <w:rFonts w:ascii="宋体"/>
      <w:color w:val="000000"/>
      <w:szCs w:val="18"/>
    </w:rPr>
  </w:style>
  <w:style w:type="paragraph" w:customStyle="1" w:styleId="200">
    <w:name w:val="m表内字体小"/>
    <w:basedOn w:val="1"/>
    <w:link w:val="199"/>
    <w:autoRedefine/>
    <w:qFormat/>
    <w:uiPriority w:val="0"/>
    <w:pPr>
      <w:tabs>
        <w:tab w:val="left" w:pos="0"/>
      </w:tabs>
      <w:adjustRightInd w:val="0"/>
      <w:spacing w:line="240" w:lineRule="auto"/>
      <w:ind w:firstLine="0" w:firstLineChars="0"/>
      <w:jc w:val="center"/>
    </w:pPr>
    <w:rPr>
      <w:rFonts w:ascii="宋体"/>
      <w:color w:val="000000"/>
      <w:kern w:val="0"/>
      <w:sz w:val="20"/>
      <w:szCs w:val="18"/>
    </w:rPr>
  </w:style>
  <w:style w:type="paragraph" w:customStyle="1" w:styleId="201">
    <w:name w:val="L表名"/>
    <w:basedOn w:val="1"/>
    <w:next w:val="1"/>
    <w:autoRedefine/>
    <w:qFormat/>
    <w:uiPriority w:val="0"/>
    <w:pPr>
      <w:snapToGrid/>
      <w:spacing w:line="500" w:lineRule="exact"/>
      <w:ind w:firstLine="0" w:firstLineChars="0"/>
      <w:jc w:val="center"/>
      <w:outlineLvl w:val="4"/>
    </w:pPr>
    <w:rPr>
      <w:b/>
      <w:sz w:val="25"/>
      <w:szCs w:val="21"/>
    </w:rPr>
  </w:style>
  <w:style w:type="paragraph" w:customStyle="1" w:styleId="202">
    <w:name w:val="L表内容"/>
    <w:basedOn w:val="1"/>
    <w:qFormat/>
    <w:uiPriority w:val="0"/>
    <w:pPr>
      <w:snapToGrid/>
      <w:spacing w:line="240" w:lineRule="atLeast"/>
      <w:ind w:firstLine="0" w:firstLineChars="0"/>
      <w:jc w:val="center"/>
    </w:pPr>
    <w:rPr>
      <w:sz w:val="21"/>
      <w:szCs w:val="21"/>
    </w:rPr>
  </w:style>
  <w:style w:type="paragraph" w:customStyle="1" w:styleId="203">
    <w:name w:val="L正文"/>
    <w:basedOn w:val="1"/>
    <w:link w:val="1452"/>
    <w:qFormat/>
    <w:uiPriority w:val="0"/>
    <w:pPr>
      <w:snapToGrid/>
      <w:spacing w:line="500" w:lineRule="exact"/>
      <w:ind w:firstLine="200"/>
      <w:jc w:val="both"/>
    </w:pPr>
    <w:rPr>
      <w:sz w:val="25"/>
      <w:szCs w:val="21"/>
    </w:rPr>
  </w:style>
  <w:style w:type="paragraph" w:customStyle="1" w:styleId="204">
    <w:name w:val="L三级"/>
    <w:basedOn w:val="203"/>
    <w:next w:val="203"/>
    <w:qFormat/>
    <w:uiPriority w:val="0"/>
    <w:pPr>
      <w:spacing w:before="10" w:beforeLines="10" w:after="10" w:afterLines="10"/>
      <w:ind w:firstLine="0" w:firstLineChars="0"/>
      <w:jc w:val="left"/>
      <w:outlineLvl w:val="2"/>
    </w:pPr>
    <w:rPr>
      <w:b/>
    </w:rPr>
  </w:style>
  <w:style w:type="character" w:customStyle="1" w:styleId="205">
    <w:name w:val="标题 5 Char"/>
    <w:autoRedefine/>
    <w:uiPriority w:val="0"/>
    <w:rPr>
      <w:b/>
      <w:bCs/>
      <w:kern w:val="2"/>
      <w:sz w:val="28"/>
      <w:szCs w:val="28"/>
    </w:rPr>
  </w:style>
  <w:style w:type="character" w:customStyle="1" w:styleId="206">
    <w:name w:val="标题 6 Char"/>
    <w:link w:val="8"/>
    <w:autoRedefine/>
    <w:qFormat/>
    <w:uiPriority w:val="0"/>
    <w:rPr>
      <w:rFonts w:ascii="Cambria" w:hAnsi="Cambria"/>
      <w:b/>
      <w:bCs/>
      <w:kern w:val="2"/>
      <w:sz w:val="24"/>
      <w:szCs w:val="24"/>
    </w:rPr>
  </w:style>
  <w:style w:type="character" w:customStyle="1" w:styleId="207">
    <w:name w:val="标题 7 Char"/>
    <w:link w:val="9"/>
    <w:autoRedefine/>
    <w:qFormat/>
    <w:uiPriority w:val="0"/>
    <w:rPr>
      <w:b/>
      <w:bCs/>
      <w:color w:val="000000"/>
      <w:sz w:val="24"/>
      <w:szCs w:val="24"/>
    </w:rPr>
  </w:style>
  <w:style w:type="character" w:customStyle="1" w:styleId="208">
    <w:name w:val="标题 8 Char"/>
    <w:link w:val="10"/>
    <w:autoRedefine/>
    <w:qFormat/>
    <w:uiPriority w:val="0"/>
    <w:rPr>
      <w:rFonts w:ascii="Arial" w:hAnsi="Arial" w:eastAsia="黑体"/>
      <w:spacing w:val="6"/>
      <w:kern w:val="2"/>
      <w:sz w:val="24"/>
      <w:szCs w:val="26"/>
    </w:rPr>
  </w:style>
  <w:style w:type="character" w:customStyle="1" w:styleId="209">
    <w:name w:val="标题 9 Char"/>
    <w:link w:val="11"/>
    <w:autoRedefine/>
    <w:qFormat/>
    <w:uiPriority w:val="0"/>
    <w:rPr>
      <w:rFonts w:ascii="Arial" w:hAnsi="Arial" w:eastAsia="黑体"/>
      <w:spacing w:val="6"/>
      <w:kern w:val="2"/>
      <w:sz w:val="21"/>
      <w:szCs w:val="26"/>
    </w:rPr>
  </w:style>
  <w:style w:type="character" w:customStyle="1" w:styleId="210">
    <w:name w:val="标题 1 Char"/>
    <w:link w:val="3"/>
    <w:autoRedefine/>
    <w:qFormat/>
    <w:uiPriority w:val="0"/>
    <w:rPr>
      <w:rFonts w:eastAsia="黑体"/>
      <w:b/>
      <w:bCs/>
      <w:snapToGrid w:val="0"/>
      <w:color w:val="000000"/>
      <w:kern w:val="44"/>
      <w:sz w:val="30"/>
      <w:szCs w:val="30"/>
    </w:rPr>
  </w:style>
  <w:style w:type="paragraph" w:customStyle="1" w:styleId="211">
    <w:name w:val="样式 样式 纯文本 + (符号) 宋体 小四 段后: 0.5 行 行距: 1.5 倍行距 + 首行缩进:  1.5 字符"/>
    <w:basedOn w:val="1"/>
    <w:autoRedefine/>
    <w:uiPriority w:val="0"/>
    <w:pPr>
      <w:snapToGrid/>
      <w:spacing w:beforeLines="30" w:afterLines="30"/>
      <w:ind w:firstLine="200"/>
      <w:jc w:val="both"/>
    </w:pPr>
    <w:rPr>
      <w:rFonts w:ascii="新宋体" w:hAnsi="宋体" w:eastAsia="新宋体" w:cs="宋体"/>
      <w:w w:val="90"/>
      <w:kern w:val="0"/>
      <w:sz w:val="22"/>
      <w:szCs w:val="22"/>
    </w:rPr>
  </w:style>
  <w:style w:type="paragraph" w:customStyle="1" w:styleId="212">
    <w:name w:val="reader-word-layer"/>
    <w:basedOn w:val="1"/>
    <w:autoRedefine/>
    <w:uiPriority w:val="0"/>
    <w:pPr>
      <w:widowControl/>
      <w:snapToGrid/>
      <w:spacing w:before="100" w:beforeLines="10" w:beforeAutospacing="1" w:after="100" w:afterLines="10" w:afterAutospacing="1"/>
      <w:ind w:firstLine="200"/>
    </w:pPr>
    <w:rPr>
      <w:rFonts w:ascii="宋体" w:hAnsi="宋体" w:cs="宋体"/>
      <w:kern w:val="0"/>
    </w:rPr>
  </w:style>
  <w:style w:type="paragraph" w:customStyle="1" w:styleId="213">
    <w:name w:val="默认段落字体 Para Char"/>
    <w:basedOn w:val="1"/>
    <w:next w:val="1"/>
    <w:link w:val="737"/>
    <w:autoRedefine/>
    <w:uiPriority w:val="0"/>
    <w:pPr>
      <w:snapToGrid/>
      <w:spacing w:beforeLines="10" w:afterLines="10"/>
      <w:ind w:firstLine="200"/>
      <w:jc w:val="both"/>
    </w:pPr>
    <w:rPr>
      <w:rFonts w:ascii="宋体" w:hAnsi="宋体" w:cs="宋体"/>
    </w:rPr>
  </w:style>
  <w:style w:type="character" w:customStyle="1" w:styleId="214">
    <w:name w:val="正文四号 Char Char"/>
    <w:link w:val="215"/>
    <w:autoRedefine/>
    <w:qFormat/>
    <w:uiPriority w:val="0"/>
    <w:rPr>
      <w:sz w:val="24"/>
      <w:szCs w:val="28"/>
    </w:rPr>
  </w:style>
  <w:style w:type="paragraph" w:customStyle="1" w:styleId="215">
    <w:name w:val="正文四号"/>
    <w:basedOn w:val="1"/>
    <w:link w:val="214"/>
    <w:qFormat/>
    <w:uiPriority w:val="0"/>
    <w:pPr>
      <w:snapToGrid/>
      <w:spacing w:beforeLines="10" w:afterLines="50"/>
      <w:ind w:firstLine="200"/>
      <w:jc w:val="both"/>
    </w:pPr>
    <w:rPr>
      <w:kern w:val="0"/>
      <w:szCs w:val="28"/>
    </w:rPr>
  </w:style>
  <w:style w:type="character" w:customStyle="1" w:styleId="216">
    <w:name w:val="apple-converted-space"/>
    <w:autoRedefine/>
    <w:uiPriority w:val="0"/>
  </w:style>
  <w:style w:type="character" w:customStyle="1" w:styleId="217">
    <w:name w:val="纯文本 Char"/>
    <w:qFormat/>
    <w:uiPriority w:val="0"/>
    <w:rPr>
      <w:rFonts w:ascii="宋体" w:hAnsi="Courier New" w:cs="Courier New"/>
      <w:kern w:val="2"/>
      <w:sz w:val="21"/>
      <w:szCs w:val="21"/>
    </w:rPr>
  </w:style>
  <w:style w:type="character" w:customStyle="1" w:styleId="218">
    <w:name w:val="纯文本 Char2"/>
    <w:link w:val="45"/>
    <w:autoRedefine/>
    <w:uiPriority w:val="0"/>
    <w:rPr>
      <w:rFonts w:ascii="宋体" w:hAnsi="Courier New"/>
      <w:kern w:val="2"/>
      <w:sz w:val="24"/>
    </w:rPr>
  </w:style>
  <w:style w:type="character" w:customStyle="1" w:styleId="219">
    <w:name w:val="正文 Char"/>
    <w:link w:val="220"/>
    <w:autoRedefine/>
    <w:qFormat/>
    <w:uiPriority w:val="0"/>
    <w:rPr>
      <w:rFonts w:ascii="宋体" w:hAnsi="宋体" w:cs="宋体"/>
      <w:sz w:val="28"/>
      <w:szCs w:val="24"/>
    </w:rPr>
  </w:style>
  <w:style w:type="paragraph" w:customStyle="1" w:styleId="220">
    <w:name w:val="正文1"/>
    <w:basedOn w:val="1"/>
    <w:link w:val="219"/>
    <w:autoRedefine/>
    <w:qFormat/>
    <w:uiPriority w:val="0"/>
    <w:pPr>
      <w:snapToGrid/>
      <w:spacing w:beforeLines="10" w:after="120" w:afterLines="10"/>
      <w:ind w:left="560" w:leftChars="200" w:firstLine="560"/>
    </w:pPr>
    <w:rPr>
      <w:rFonts w:ascii="宋体" w:hAnsi="宋体" w:cs="宋体"/>
      <w:kern w:val="0"/>
      <w:sz w:val="28"/>
    </w:rPr>
  </w:style>
  <w:style w:type="paragraph" w:customStyle="1" w:styleId="221">
    <w:name w:val="Char Char Char Char Char Char Char"/>
    <w:basedOn w:val="1"/>
    <w:link w:val="940"/>
    <w:autoRedefine/>
    <w:uiPriority w:val="0"/>
    <w:pPr>
      <w:widowControl/>
      <w:snapToGrid/>
      <w:spacing w:beforeLines="10" w:after="160" w:afterLines="10" w:line="240" w:lineRule="exact"/>
      <w:ind w:firstLine="200"/>
    </w:pPr>
    <w:rPr>
      <w:rFonts w:ascii="Verdana" w:hAnsi="Verdana" w:eastAsia="仿宋_GB2312"/>
      <w:kern w:val="0"/>
      <w:szCs w:val="20"/>
      <w:lang w:eastAsia="en-US"/>
    </w:rPr>
  </w:style>
  <w:style w:type="paragraph" w:customStyle="1" w:styleId="222">
    <w:name w:val="标题4 第1条"/>
    <w:basedOn w:val="6"/>
    <w:autoRedefine/>
    <w:uiPriority w:val="0"/>
    <w:pPr>
      <w:keepNext/>
      <w:keepLines/>
      <w:numPr>
        <w:ilvl w:val="0"/>
        <w:numId w:val="2"/>
      </w:numPr>
      <w:tabs>
        <w:tab w:val="left" w:pos="0"/>
      </w:tabs>
      <w:snapToGrid/>
      <w:spacing w:before="280" w:beforeLines="10" w:after="290" w:afterLines="10" w:line="376" w:lineRule="auto"/>
      <w:ind w:left="864" w:hanging="144" w:firstLineChars="200"/>
      <w:jc w:val="both"/>
    </w:pPr>
    <w:rPr>
      <w:rFonts w:ascii="Cambria" w:hAnsi="Cambria"/>
      <w:sz w:val="28"/>
      <w:szCs w:val="28"/>
    </w:rPr>
  </w:style>
  <w:style w:type="character" w:customStyle="1" w:styleId="223">
    <w:name w:val="正文文本 2 Char"/>
    <w:link w:val="76"/>
    <w:autoRedefine/>
    <w:qFormat/>
    <w:uiPriority w:val="0"/>
    <w:rPr>
      <w:kern w:val="2"/>
      <w:sz w:val="24"/>
      <w:szCs w:val="24"/>
    </w:rPr>
  </w:style>
  <w:style w:type="paragraph" w:customStyle="1" w:styleId="224">
    <w:name w:val="环评正文"/>
    <w:basedOn w:val="1"/>
    <w:link w:val="939"/>
    <w:qFormat/>
    <w:uiPriority w:val="0"/>
    <w:pPr>
      <w:snapToGrid/>
      <w:spacing w:before="60" w:beforeLines="10" w:after="60" w:afterLines="10" w:line="400" w:lineRule="exact"/>
      <w:ind w:firstLine="200"/>
      <w:jc w:val="both"/>
    </w:pPr>
    <w:rPr>
      <w:rFonts w:eastAsia="仿宋_GB2312"/>
    </w:rPr>
  </w:style>
  <w:style w:type="paragraph" w:customStyle="1" w:styleId="225">
    <w:name w:val="xl25"/>
    <w:basedOn w:val="1"/>
    <w:qFormat/>
    <w:uiPriority w:val="0"/>
    <w:pPr>
      <w:widowControl/>
      <w:snapToGrid/>
      <w:spacing w:before="100" w:beforeLines="10" w:beforeAutospacing="1" w:after="100" w:afterLines="10" w:afterAutospacing="1"/>
      <w:ind w:firstLine="200"/>
      <w:jc w:val="center"/>
    </w:pPr>
    <w:rPr>
      <w:rFonts w:hint="eastAsia" w:ascii="宋体" w:hAnsi="宋体"/>
      <w:kern w:val="0"/>
    </w:rPr>
  </w:style>
  <w:style w:type="character" w:customStyle="1" w:styleId="226">
    <w:name w:val="表中文字 Char"/>
    <w:link w:val="227"/>
    <w:autoRedefine/>
    <w:qFormat/>
    <w:uiPriority w:val="0"/>
    <w:rPr>
      <w:rFonts w:ascii="Arial" w:hAnsi="Arial" w:eastAsia="楷体_GB2312"/>
    </w:rPr>
  </w:style>
  <w:style w:type="paragraph" w:customStyle="1" w:styleId="227">
    <w:name w:val="表中文字"/>
    <w:basedOn w:val="1"/>
    <w:link w:val="226"/>
    <w:uiPriority w:val="0"/>
    <w:pPr>
      <w:tabs>
        <w:tab w:val="left" w:pos="3286"/>
        <w:tab w:val="left" w:pos="8362"/>
      </w:tabs>
      <w:spacing w:beforeLines="10" w:afterLines="10" w:line="340" w:lineRule="exact"/>
      <w:ind w:firstLine="200"/>
      <w:jc w:val="center"/>
    </w:pPr>
    <w:rPr>
      <w:rFonts w:ascii="Arial" w:hAnsi="Arial" w:eastAsia="楷体_GB2312"/>
      <w:kern w:val="0"/>
      <w:sz w:val="20"/>
      <w:szCs w:val="20"/>
      <w:shd w:val="clear" w:color="auto" w:fill="FFFFFF"/>
    </w:rPr>
  </w:style>
  <w:style w:type="paragraph" w:customStyle="1" w:styleId="228">
    <w:name w:val="样式 纯文本表内文字 + 楷体_GB2312 左"/>
    <w:basedOn w:val="1"/>
    <w:uiPriority w:val="0"/>
    <w:pPr>
      <w:tabs>
        <w:tab w:val="left" w:pos="1350"/>
      </w:tabs>
      <w:autoSpaceDE w:val="0"/>
      <w:autoSpaceDN w:val="0"/>
      <w:adjustRightInd w:val="0"/>
      <w:spacing w:beforeLines="10" w:afterLines="10" w:line="320" w:lineRule="exact"/>
      <w:ind w:firstLine="200"/>
    </w:pPr>
    <w:rPr>
      <w:rFonts w:ascii="Arial" w:hAnsi="Arial" w:eastAsia="楷体_GB2312"/>
      <w:szCs w:val="20"/>
    </w:rPr>
  </w:style>
  <w:style w:type="paragraph" w:customStyle="1" w:styleId="229">
    <w:name w:val="Char Char Char Char"/>
    <w:basedOn w:val="1"/>
    <w:qFormat/>
    <w:uiPriority w:val="0"/>
    <w:pPr>
      <w:snapToGrid/>
      <w:spacing w:beforeLines="10" w:afterLines="10"/>
      <w:ind w:firstLine="200"/>
      <w:jc w:val="both"/>
    </w:pPr>
    <w:rPr>
      <w:rFonts w:ascii="宋体" w:hAnsi="宋体" w:cs="宋体"/>
    </w:rPr>
  </w:style>
  <w:style w:type="paragraph" w:customStyle="1" w:styleId="230">
    <w:name w:val="图表文字"/>
    <w:autoRedefine/>
    <w:uiPriority w:val="0"/>
    <w:pPr>
      <w:adjustRightInd w:val="0"/>
      <w:snapToGrid w:val="0"/>
      <w:spacing w:line="380" w:lineRule="exact"/>
      <w:jc w:val="center"/>
    </w:pPr>
    <w:rPr>
      <w:rFonts w:ascii="Times New Roman" w:hAnsi="Times New Roman" w:eastAsia="宋体" w:cs="Times New Roman"/>
      <w:sz w:val="21"/>
      <w:lang w:val="en-US" w:eastAsia="zh-CN" w:bidi="ar-SA"/>
    </w:rPr>
  </w:style>
  <w:style w:type="paragraph" w:customStyle="1" w:styleId="231">
    <w:name w:val="表头11"/>
    <w:basedOn w:val="1"/>
    <w:link w:val="232"/>
    <w:autoRedefine/>
    <w:qFormat/>
    <w:uiPriority w:val="0"/>
    <w:pPr>
      <w:adjustRightInd w:val="0"/>
      <w:spacing w:beforeLines="30" w:afterLines="10" w:line="460" w:lineRule="exact"/>
      <w:ind w:firstLine="0" w:firstLineChars="0"/>
      <w:jc w:val="center"/>
    </w:pPr>
    <w:rPr>
      <w:b/>
      <w:snapToGrid w:val="0"/>
      <w:kern w:val="0"/>
    </w:rPr>
  </w:style>
  <w:style w:type="character" w:customStyle="1" w:styleId="232">
    <w:name w:val="表头11 Char"/>
    <w:link w:val="231"/>
    <w:autoRedefine/>
    <w:qFormat/>
    <w:uiPriority w:val="0"/>
    <w:rPr>
      <w:b/>
      <w:snapToGrid w:val="0"/>
      <w:sz w:val="24"/>
      <w:szCs w:val="24"/>
    </w:rPr>
  </w:style>
  <w:style w:type="paragraph" w:customStyle="1" w:styleId="233">
    <w:name w:val="样式 样式 环评正文 + (西文) 仿宋_GB2312 (中文) 宋体 10.5 磅 首行缩进:  2 字符 + 首行缩进:  ..."/>
    <w:basedOn w:val="1"/>
    <w:autoRedefine/>
    <w:qFormat/>
    <w:uiPriority w:val="0"/>
    <w:pPr>
      <w:snapToGrid/>
      <w:spacing w:beforeLines="10" w:afterLines="10" w:line="400" w:lineRule="exact"/>
      <w:ind w:firstLine="200"/>
      <w:jc w:val="both"/>
    </w:pPr>
    <w:rPr>
      <w:rFonts w:ascii="仿宋_GB2312" w:hAnsi="仿宋_GB2312"/>
      <w:szCs w:val="20"/>
    </w:rPr>
  </w:style>
  <w:style w:type="paragraph" w:customStyle="1" w:styleId="234">
    <w:name w:val="环评"/>
    <w:basedOn w:val="1"/>
    <w:autoRedefine/>
    <w:qFormat/>
    <w:uiPriority w:val="0"/>
    <w:pPr>
      <w:snapToGrid/>
      <w:spacing w:before="60" w:beforeLines="10" w:after="60" w:afterLines="10" w:line="360" w:lineRule="exact"/>
      <w:ind w:firstLine="200"/>
      <w:jc w:val="both"/>
    </w:pPr>
    <w:rPr>
      <w:rFonts w:eastAsia="仿宋_GB2312"/>
      <w:bCs/>
    </w:rPr>
  </w:style>
  <w:style w:type="character" w:customStyle="1" w:styleId="235">
    <w:name w:val="正文四号 Char"/>
    <w:autoRedefine/>
    <w:qFormat/>
    <w:uiPriority w:val="0"/>
    <w:rPr>
      <w:rFonts w:ascii="Times New Roman" w:hAnsi="Times New Roman" w:eastAsia="宋体" w:cs="Times New Roman"/>
      <w:sz w:val="24"/>
      <w:szCs w:val="24"/>
    </w:rPr>
  </w:style>
  <w:style w:type="character" w:customStyle="1" w:styleId="236">
    <w:name w:val="报告书正文 Char Char"/>
    <w:link w:val="237"/>
    <w:autoRedefine/>
    <w:qFormat/>
    <w:uiPriority w:val="0"/>
    <w:rPr>
      <w:rFonts w:ascii="Arial" w:hAnsi="Arial" w:cs="Arial"/>
      <w:color w:val="000000"/>
      <w:sz w:val="24"/>
      <w:szCs w:val="24"/>
    </w:rPr>
  </w:style>
  <w:style w:type="paragraph" w:customStyle="1" w:styleId="237">
    <w:name w:val="报告书正文"/>
    <w:basedOn w:val="1"/>
    <w:link w:val="236"/>
    <w:autoRedefine/>
    <w:uiPriority w:val="0"/>
    <w:pPr>
      <w:adjustRightInd w:val="0"/>
      <w:spacing w:beforeLines="10" w:afterLines="10" w:line="460" w:lineRule="exact"/>
      <w:jc w:val="both"/>
    </w:pPr>
    <w:rPr>
      <w:rFonts w:ascii="Arial" w:hAnsi="Arial" w:cs="Arial"/>
      <w:color w:val="000000"/>
      <w:kern w:val="0"/>
    </w:rPr>
  </w:style>
  <w:style w:type="paragraph" w:customStyle="1" w:styleId="238">
    <w:name w:val="图头11"/>
    <w:basedOn w:val="1"/>
    <w:link w:val="239"/>
    <w:autoRedefine/>
    <w:qFormat/>
    <w:uiPriority w:val="0"/>
    <w:pPr>
      <w:adjustRightInd w:val="0"/>
      <w:spacing w:afterLines="100" w:line="0" w:lineRule="atLeast"/>
      <w:ind w:firstLine="0" w:firstLineChars="0"/>
      <w:jc w:val="center"/>
    </w:pPr>
    <w:rPr>
      <w:b/>
      <w:snapToGrid w:val="0"/>
      <w:kern w:val="0"/>
    </w:rPr>
  </w:style>
  <w:style w:type="character" w:customStyle="1" w:styleId="239">
    <w:name w:val="图头11 Char"/>
    <w:link w:val="238"/>
    <w:autoRedefine/>
    <w:uiPriority w:val="0"/>
    <w:rPr>
      <w:b/>
      <w:snapToGrid w:val="0"/>
      <w:sz w:val="24"/>
      <w:szCs w:val="24"/>
    </w:rPr>
  </w:style>
  <w:style w:type="character" w:customStyle="1" w:styleId="240">
    <w:name w:val="正文文本缩进 3 Char"/>
    <w:link w:val="70"/>
    <w:qFormat/>
    <w:uiPriority w:val="0"/>
    <w:rPr>
      <w:kern w:val="2"/>
      <w:sz w:val="16"/>
      <w:szCs w:val="16"/>
    </w:rPr>
  </w:style>
  <w:style w:type="paragraph" w:customStyle="1" w:styleId="241">
    <w:name w:val="日期6"/>
    <w:basedOn w:val="1"/>
    <w:next w:val="1"/>
    <w:autoRedefine/>
    <w:uiPriority w:val="0"/>
    <w:pPr>
      <w:adjustRightInd w:val="0"/>
      <w:snapToGrid/>
      <w:spacing w:beforeLines="10" w:afterLines="10"/>
      <w:ind w:firstLine="200"/>
      <w:jc w:val="both"/>
      <w:textAlignment w:val="baseline"/>
    </w:pPr>
    <w:rPr>
      <w:szCs w:val="20"/>
    </w:rPr>
  </w:style>
  <w:style w:type="paragraph" w:customStyle="1" w:styleId="242">
    <w:name w:val="样式8"/>
    <w:basedOn w:val="1"/>
    <w:link w:val="1311"/>
    <w:qFormat/>
    <w:uiPriority w:val="0"/>
    <w:pPr>
      <w:adjustRightInd w:val="0"/>
      <w:spacing w:beforeLines="10" w:afterLines="10" w:line="300" w:lineRule="exact"/>
      <w:ind w:firstLine="200"/>
      <w:jc w:val="center"/>
    </w:pPr>
    <w:rPr>
      <w:rFonts w:ascii="Arial" w:cs="Arial"/>
      <w:szCs w:val="21"/>
    </w:rPr>
  </w:style>
  <w:style w:type="paragraph" w:customStyle="1" w:styleId="243">
    <w:name w:val="样式 宋体 五号 首行缩进:  2 字符"/>
    <w:basedOn w:val="1"/>
    <w:next w:val="1"/>
    <w:autoRedefine/>
    <w:uiPriority w:val="0"/>
    <w:pPr>
      <w:snapToGrid/>
      <w:spacing w:beforeLines="10" w:afterLines="10"/>
      <w:ind w:firstLine="200"/>
      <w:jc w:val="center"/>
    </w:pPr>
    <w:rPr>
      <w:rFonts w:cs="宋体"/>
      <w:szCs w:val="21"/>
    </w:rPr>
  </w:style>
  <w:style w:type="character" w:customStyle="1" w:styleId="244">
    <w:name w:val="文档结构图 Char"/>
    <w:link w:val="26"/>
    <w:autoRedefine/>
    <w:qFormat/>
    <w:uiPriority w:val="0"/>
    <w:rPr>
      <w:rFonts w:ascii="宋体"/>
      <w:kern w:val="2"/>
      <w:sz w:val="18"/>
      <w:szCs w:val="18"/>
    </w:rPr>
  </w:style>
  <w:style w:type="paragraph" w:customStyle="1" w:styleId="245">
    <w:name w:val="正文文本缩进1"/>
    <w:basedOn w:val="1"/>
    <w:autoRedefine/>
    <w:uiPriority w:val="0"/>
    <w:pPr>
      <w:widowControl/>
      <w:snapToGrid/>
      <w:spacing w:beforeLines="10" w:after="120" w:afterLines="10"/>
      <w:ind w:left="420" w:leftChars="200" w:firstLine="200"/>
      <w:jc w:val="both"/>
    </w:pPr>
    <w:rPr>
      <w:rFonts w:ascii="Calibri" w:hAnsi="Calibri"/>
      <w:kern w:val="0"/>
    </w:rPr>
  </w:style>
  <w:style w:type="paragraph" w:customStyle="1" w:styleId="246">
    <w:name w:val="【正文】"/>
    <w:basedOn w:val="1"/>
    <w:link w:val="247"/>
    <w:autoRedefine/>
    <w:qFormat/>
    <w:uiPriority w:val="0"/>
    <w:pPr>
      <w:snapToGrid/>
      <w:spacing w:beforeLines="10" w:afterLines="10" w:line="440" w:lineRule="exact"/>
      <w:ind w:firstLine="544"/>
      <w:jc w:val="both"/>
    </w:pPr>
    <w:rPr>
      <w:szCs w:val="20"/>
    </w:rPr>
  </w:style>
  <w:style w:type="character" w:customStyle="1" w:styleId="247">
    <w:name w:val="【正文】 Char"/>
    <w:link w:val="246"/>
    <w:autoRedefine/>
    <w:qFormat/>
    <w:uiPriority w:val="0"/>
    <w:rPr>
      <w:kern w:val="2"/>
      <w:sz w:val="24"/>
    </w:rPr>
  </w:style>
  <w:style w:type="paragraph" w:customStyle="1" w:styleId="248">
    <w:name w:val="CM26"/>
    <w:basedOn w:val="1"/>
    <w:next w:val="1"/>
    <w:autoRedefine/>
    <w:uiPriority w:val="99"/>
    <w:pPr>
      <w:autoSpaceDE w:val="0"/>
      <w:autoSpaceDN w:val="0"/>
      <w:adjustRightInd w:val="0"/>
      <w:snapToGrid/>
      <w:spacing w:beforeLines="10" w:afterLines="10" w:line="471" w:lineRule="atLeast"/>
      <w:ind w:firstLine="200"/>
    </w:pPr>
    <w:rPr>
      <w:rFonts w:ascii="宋体"/>
      <w:kern w:val="0"/>
    </w:rPr>
  </w:style>
  <w:style w:type="paragraph" w:customStyle="1" w:styleId="249">
    <w:name w:val="表文"/>
    <w:basedOn w:val="1"/>
    <w:link w:val="1497"/>
    <w:autoRedefine/>
    <w:qFormat/>
    <w:uiPriority w:val="0"/>
    <w:pPr>
      <w:widowControl/>
      <w:snapToGrid/>
      <w:spacing w:beforeLines="10" w:afterLines="10"/>
      <w:ind w:firstLine="200"/>
      <w:jc w:val="center"/>
    </w:pPr>
    <w:rPr>
      <w:rFonts w:ascii="宋体" w:hAnsi="宋体"/>
      <w:kern w:val="0"/>
      <w:szCs w:val="18"/>
    </w:rPr>
  </w:style>
  <w:style w:type="paragraph" w:customStyle="1" w:styleId="250">
    <w:name w:val="Char"/>
    <w:basedOn w:val="1"/>
    <w:autoRedefine/>
    <w:qFormat/>
    <w:uiPriority w:val="0"/>
    <w:pPr>
      <w:snapToGrid/>
      <w:spacing w:beforeLines="10" w:afterLines="10"/>
      <w:ind w:firstLine="200"/>
      <w:jc w:val="both"/>
    </w:pPr>
    <w:rPr>
      <w:rFonts w:ascii="Tahoma" w:hAnsi="Tahoma"/>
      <w:szCs w:val="20"/>
    </w:rPr>
  </w:style>
  <w:style w:type="paragraph" w:customStyle="1" w:styleId="251">
    <w:name w:val="char"/>
    <w:basedOn w:val="1"/>
    <w:autoRedefine/>
    <w:qFormat/>
    <w:uiPriority w:val="0"/>
    <w:pPr>
      <w:widowControl/>
      <w:snapToGrid/>
      <w:spacing w:beforeLines="10" w:after="160" w:afterLines="10"/>
      <w:ind w:firstLine="200"/>
    </w:pPr>
    <w:rPr>
      <w:rFonts w:ascii="Verdana" w:hAnsi="Verdana" w:eastAsia="仿宋_GB2312" w:cs="”“Times New Roman”“"/>
      <w:kern w:val="0"/>
      <w:sz w:val="28"/>
      <w:szCs w:val="28"/>
      <w:lang w:eastAsia="en-US"/>
    </w:rPr>
  </w:style>
  <w:style w:type="character" w:customStyle="1" w:styleId="252">
    <w:name w:val="03表格文字 Char"/>
    <w:link w:val="253"/>
    <w:autoRedefine/>
    <w:qFormat/>
    <w:uiPriority w:val="0"/>
    <w:rPr>
      <w:sz w:val="22"/>
    </w:rPr>
  </w:style>
  <w:style w:type="paragraph" w:customStyle="1" w:styleId="253">
    <w:name w:val="03表格文字"/>
    <w:basedOn w:val="1"/>
    <w:link w:val="252"/>
    <w:autoRedefine/>
    <w:qFormat/>
    <w:uiPriority w:val="0"/>
    <w:pPr>
      <w:adjustRightInd w:val="0"/>
      <w:spacing w:beforeLines="10" w:afterLines="10" w:line="360" w:lineRule="exact"/>
      <w:ind w:firstLine="200"/>
      <w:jc w:val="center"/>
    </w:pPr>
    <w:rPr>
      <w:kern w:val="0"/>
      <w:sz w:val="22"/>
      <w:szCs w:val="20"/>
    </w:rPr>
  </w:style>
  <w:style w:type="paragraph" w:customStyle="1" w:styleId="254">
    <w:name w:val="标题1"/>
    <w:basedOn w:val="1"/>
    <w:link w:val="256"/>
    <w:autoRedefine/>
    <w:qFormat/>
    <w:uiPriority w:val="0"/>
    <w:pPr>
      <w:snapToGrid/>
      <w:spacing w:beforeLines="100" w:afterLines="100"/>
      <w:ind w:firstLine="0" w:firstLineChars="0"/>
      <w:jc w:val="center"/>
      <w:outlineLvl w:val="0"/>
    </w:pPr>
    <w:rPr>
      <w:b/>
      <w:color w:val="000000"/>
      <w:sz w:val="28"/>
      <w:szCs w:val="28"/>
    </w:rPr>
  </w:style>
  <w:style w:type="paragraph" w:customStyle="1" w:styleId="255">
    <w:name w:val="标题2"/>
    <w:basedOn w:val="1"/>
    <w:autoRedefine/>
    <w:qFormat/>
    <w:uiPriority w:val="0"/>
    <w:pPr>
      <w:snapToGrid/>
      <w:spacing w:beforeLines="50" w:afterLines="50"/>
      <w:ind w:firstLine="0" w:firstLineChars="0"/>
      <w:jc w:val="both"/>
      <w:outlineLvl w:val="1"/>
    </w:pPr>
    <w:rPr>
      <w:b/>
      <w:color w:val="000000"/>
      <w:szCs w:val="22"/>
    </w:rPr>
  </w:style>
  <w:style w:type="character" w:customStyle="1" w:styleId="256">
    <w:name w:val="标题1 Char"/>
    <w:link w:val="254"/>
    <w:autoRedefine/>
    <w:qFormat/>
    <w:uiPriority w:val="0"/>
    <w:rPr>
      <w:b/>
      <w:color w:val="000000"/>
      <w:kern w:val="2"/>
      <w:sz w:val="28"/>
      <w:szCs w:val="28"/>
    </w:rPr>
  </w:style>
  <w:style w:type="paragraph" w:customStyle="1" w:styleId="257">
    <w:name w:val="注释"/>
    <w:basedOn w:val="1"/>
    <w:link w:val="259"/>
    <w:autoRedefine/>
    <w:qFormat/>
    <w:uiPriority w:val="0"/>
    <w:pPr>
      <w:adjustRightInd w:val="0"/>
      <w:spacing w:line="240" w:lineRule="auto"/>
      <w:ind w:firstLine="0" w:firstLineChars="0"/>
    </w:pPr>
    <w:rPr>
      <w:sz w:val="18"/>
      <w:szCs w:val="21"/>
      <w:lang w:val="fr-FR"/>
    </w:rPr>
  </w:style>
  <w:style w:type="paragraph" w:customStyle="1" w:styleId="258">
    <w:name w:val="标题4"/>
    <w:basedOn w:val="1"/>
    <w:autoRedefine/>
    <w:qFormat/>
    <w:uiPriority w:val="0"/>
    <w:pPr>
      <w:snapToGrid/>
      <w:spacing w:beforeLines="50" w:afterLines="10"/>
      <w:ind w:firstLine="0" w:firstLineChars="0"/>
      <w:outlineLvl w:val="3"/>
    </w:pPr>
    <w:rPr>
      <w:b/>
      <w:szCs w:val="22"/>
    </w:rPr>
  </w:style>
  <w:style w:type="character" w:customStyle="1" w:styleId="259">
    <w:name w:val="注释 Char"/>
    <w:link w:val="257"/>
    <w:autoRedefine/>
    <w:qFormat/>
    <w:uiPriority w:val="0"/>
    <w:rPr>
      <w:kern w:val="2"/>
      <w:sz w:val="18"/>
      <w:szCs w:val="21"/>
      <w:lang w:val="fr-FR"/>
    </w:rPr>
  </w:style>
  <w:style w:type="paragraph" w:customStyle="1" w:styleId="260">
    <w:name w:val="TOC Heading"/>
    <w:basedOn w:val="3"/>
    <w:next w:val="1"/>
    <w:autoRedefine/>
    <w:unhideWhenUsed/>
    <w:qFormat/>
    <w:uiPriority w:val="39"/>
    <w:pPr>
      <w:keepNext/>
      <w:keepLines/>
      <w:numPr>
        <w:numId w:val="0"/>
      </w:numPr>
      <w:overflowPunct/>
      <w:snapToGrid/>
      <w:spacing w:before="340" w:beforeLines="10" w:after="330" w:afterLines="10" w:line="578" w:lineRule="auto"/>
      <w:ind w:firstLine="200" w:firstLineChars="200"/>
      <w:jc w:val="both"/>
      <w:outlineLvl w:val="9"/>
    </w:pPr>
    <w:rPr>
      <w:rFonts w:eastAsia="宋体"/>
      <w:snapToGrid/>
      <w:color w:val="auto"/>
      <w:sz w:val="44"/>
      <w:szCs w:val="44"/>
    </w:rPr>
  </w:style>
  <w:style w:type="character" w:customStyle="1" w:styleId="261">
    <w:name w:val="正文首行缩进 Char"/>
    <w:autoRedefine/>
    <w:qFormat/>
    <w:uiPriority w:val="0"/>
    <w:rPr>
      <w:kern w:val="2"/>
      <w:sz w:val="24"/>
      <w:szCs w:val="24"/>
    </w:rPr>
  </w:style>
  <w:style w:type="character" w:customStyle="1" w:styleId="262">
    <w:name w:val="宏文本 Char"/>
    <w:link w:val="2"/>
    <w:autoRedefine/>
    <w:qFormat/>
    <w:uiPriority w:val="99"/>
    <w:rPr>
      <w:rFonts w:ascii="Courier New" w:hAnsi="Courier New" w:cs="Courier New"/>
      <w:kern w:val="2"/>
      <w:sz w:val="24"/>
      <w:szCs w:val="24"/>
    </w:rPr>
  </w:style>
  <w:style w:type="character" w:customStyle="1" w:styleId="263">
    <w:name w:val="注释标题 Char"/>
    <w:link w:val="16"/>
    <w:autoRedefine/>
    <w:qFormat/>
    <w:uiPriority w:val="0"/>
    <w:rPr>
      <w:rFonts w:ascii="Arial Narrow" w:hAnsi="Arial Narrow" w:eastAsia="仿宋_GB2312"/>
      <w:kern w:val="2"/>
      <w:sz w:val="24"/>
      <w:szCs w:val="24"/>
    </w:rPr>
  </w:style>
  <w:style w:type="character" w:customStyle="1" w:styleId="264">
    <w:name w:val="电子邮件签名 Char"/>
    <w:link w:val="19"/>
    <w:autoRedefine/>
    <w:qFormat/>
    <w:uiPriority w:val="0"/>
    <w:rPr>
      <w:kern w:val="2"/>
      <w:sz w:val="21"/>
      <w:szCs w:val="24"/>
    </w:rPr>
  </w:style>
  <w:style w:type="character" w:customStyle="1" w:styleId="265">
    <w:name w:val="称呼 Char"/>
    <w:link w:val="30"/>
    <w:autoRedefine/>
    <w:qFormat/>
    <w:uiPriority w:val="0"/>
    <w:rPr>
      <w:rFonts w:ascii="仿宋_GB2312" w:hAnsi="宋体" w:eastAsia="仿宋_GB2312" w:cs="宋体"/>
      <w:kern w:val="2"/>
      <w:sz w:val="21"/>
      <w:szCs w:val="24"/>
    </w:rPr>
  </w:style>
  <w:style w:type="character" w:customStyle="1" w:styleId="266">
    <w:name w:val="正文文本 3 Char"/>
    <w:link w:val="31"/>
    <w:autoRedefine/>
    <w:qFormat/>
    <w:uiPriority w:val="0"/>
    <w:rPr>
      <w:kern w:val="2"/>
      <w:sz w:val="16"/>
      <w:szCs w:val="16"/>
    </w:rPr>
  </w:style>
  <w:style w:type="character" w:customStyle="1" w:styleId="267">
    <w:name w:val="结束语 Char"/>
    <w:link w:val="32"/>
    <w:autoRedefine/>
    <w:qFormat/>
    <w:uiPriority w:val="0"/>
    <w:rPr>
      <w:kern w:val="2"/>
      <w:sz w:val="21"/>
      <w:szCs w:val="24"/>
    </w:rPr>
  </w:style>
  <w:style w:type="character" w:customStyle="1" w:styleId="268">
    <w:name w:val="HTML 地址 Char"/>
    <w:link w:val="41"/>
    <w:autoRedefine/>
    <w:qFormat/>
    <w:uiPriority w:val="0"/>
    <w:rPr>
      <w:i/>
      <w:iCs/>
      <w:kern w:val="2"/>
      <w:sz w:val="21"/>
      <w:szCs w:val="24"/>
    </w:rPr>
  </w:style>
  <w:style w:type="character" w:customStyle="1" w:styleId="269">
    <w:name w:val="尾注文本 Char"/>
    <w:link w:val="52"/>
    <w:autoRedefine/>
    <w:qFormat/>
    <w:uiPriority w:val="0"/>
    <w:rPr>
      <w:kern w:val="2"/>
      <w:sz w:val="24"/>
      <w:szCs w:val="24"/>
    </w:rPr>
  </w:style>
  <w:style w:type="character" w:customStyle="1" w:styleId="270">
    <w:name w:val="正文首行缩进 2 Char"/>
    <w:link w:val="87"/>
    <w:autoRedefine/>
    <w:qFormat/>
    <w:uiPriority w:val="0"/>
    <w:rPr>
      <w:rFonts w:ascii="Arial Narrow" w:hAnsi="Arial Narrow" w:eastAsia="仿宋_GB2312"/>
      <w:kern w:val="2"/>
      <w:sz w:val="24"/>
      <w:szCs w:val="24"/>
    </w:rPr>
  </w:style>
  <w:style w:type="character" w:customStyle="1" w:styleId="271">
    <w:name w:val="签名 Char"/>
    <w:link w:val="58"/>
    <w:autoRedefine/>
    <w:qFormat/>
    <w:uiPriority w:val="0"/>
    <w:rPr>
      <w:kern w:val="2"/>
      <w:sz w:val="21"/>
      <w:szCs w:val="24"/>
    </w:rPr>
  </w:style>
  <w:style w:type="character" w:customStyle="1" w:styleId="272">
    <w:name w:val="副标题 Char"/>
    <w:link w:val="64"/>
    <w:autoRedefine/>
    <w:qFormat/>
    <w:uiPriority w:val="0"/>
    <w:rPr>
      <w:rFonts w:ascii="Arial" w:hAnsi="Arial" w:cs="Arial"/>
      <w:b/>
      <w:bCs/>
      <w:kern w:val="28"/>
      <w:sz w:val="32"/>
      <w:szCs w:val="32"/>
    </w:rPr>
  </w:style>
  <w:style w:type="character" w:customStyle="1" w:styleId="273">
    <w:name w:val="脚注文本 Char"/>
    <w:link w:val="67"/>
    <w:autoRedefine/>
    <w:qFormat/>
    <w:uiPriority w:val="0"/>
    <w:rPr>
      <w:rFonts w:ascii="Arial Narrow" w:hAnsi="Arial Narrow" w:eastAsia="仿宋_GB2312"/>
      <w:kern w:val="2"/>
      <w:sz w:val="18"/>
      <w:szCs w:val="18"/>
    </w:rPr>
  </w:style>
  <w:style w:type="character" w:customStyle="1" w:styleId="274">
    <w:name w:val="信息标题 Char"/>
    <w:link w:val="79"/>
    <w:autoRedefine/>
    <w:qFormat/>
    <w:uiPriority w:val="0"/>
    <w:rPr>
      <w:rFonts w:ascii="Arial" w:hAnsi="Arial" w:cs="Arial"/>
      <w:kern w:val="2"/>
      <w:sz w:val="24"/>
      <w:szCs w:val="24"/>
      <w:shd w:val="pct20" w:color="auto" w:fill="auto"/>
    </w:rPr>
  </w:style>
  <w:style w:type="character" w:customStyle="1" w:styleId="275">
    <w:name w:val="HTML 预设格式 Char"/>
    <w:link w:val="80"/>
    <w:autoRedefine/>
    <w:qFormat/>
    <w:uiPriority w:val="0"/>
    <w:rPr>
      <w:rFonts w:ascii="Arial" w:hAnsi="Arial" w:cs="Arial"/>
      <w:sz w:val="21"/>
      <w:szCs w:val="21"/>
    </w:rPr>
  </w:style>
  <w:style w:type="table" w:customStyle="1" w:styleId="276">
    <w:name w:val="网格型2"/>
    <w:basedOn w:val="8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7">
    <w:name w:val="表格主题1"/>
    <w:basedOn w:val="88"/>
    <w:autoRedefine/>
    <w:qFormat/>
    <w:uiPriority w:val="0"/>
    <w:pPr>
      <w:widowControl w:val="0"/>
      <w:jc w:val="both"/>
    </w:pPr>
    <w:tblP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
  </w:style>
  <w:style w:type="paragraph" w:customStyle="1" w:styleId="278">
    <w:name w:val="Char Char3 Char Char Char Char Char Char"/>
    <w:basedOn w:val="1"/>
    <w:autoRedefine/>
    <w:qFormat/>
    <w:uiPriority w:val="0"/>
    <w:pPr>
      <w:widowControl/>
      <w:tabs>
        <w:tab w:val="left" w:pos="480"/>
      </w:tabs>
      <w:snapToGrid/>
      <w:spacing w:line="240" w:lineRule="exact"/>
      <w:ind w:firstLine="0" w:firstLineChars="0"/>
    </w:pPr>
    <w:rPr>
      <w:rFonts w:ascii="Verdana" w:hAnsi="Verdana"/>
      <w:kern w:val="0"/>
      <w:sz w:val="20"/>
      <w:szCs w:val="20"/>
      <w:lang w:eastAsia="en-US"/>
    </w:rPr>
  </w:style>
  <w:style w:type="paragraph" w:customStyle="1" w:styleId="279">
    <w:name w:val="表格正文"/>
    <w:basedOn w:val="21"/>
    <w:link w:val="280"/>
    <w:autoRedefine/>
    <w:qFormat/>
    <w:uiPriority w:val="0"/>
    <w:pPr>
      <w:ind w:firstLine="0" w:firstLineChars="0"/>
      <w:jc w:val="center"/>
    </w:pPr>
    <w:rPr>
      <w:kern w:val="0"/>
      <w:sz w:val="28"/>
      <w:lang w:val="zh-CN"/>
    </w:rPr>
  </w:style>
  <w:style w:type="character" w:customStyle="1" w:styleId="280">
    <w:name w:val="表格正文 Char1"/>
    <w:link w:val="279"/>
    <w:autoRedefine/>
    <w:qFormat/>
    <w:uiPriority w:val="0"/>
    <w:rPr>
      <w:sz w:val="28"/>
      <w:lang w:val="zh-CN"/>
    </w:rPr>
  </w:style>
  <w:style w:type="character" w:customStyle="1" w:styleId="281">
    <w:name w:val="标题 1 Char1"/>
    <w:autoRedefine/>
    <w:qFormat/>
    <w:uiPriority w:val="0"/>
    <w:rPr>
      <w:rFonts w:ascii="Times New Roman" w:hAnsi="Times New Roman"/>
      <w:b/>
      <w:sz w:val="30"/>
      <w:szCs w:val="30"/>
    </w:rPr>
  </w:style>
  <w:style w:type="character" w:customStyle="1" w:styleId="282">
    <w:name w:val="正文文本缩进 2 Char1"/>
    <w:autoRedefine/>
    <w:qFormat/>
    <w:uiPriority w:val="99"/>
    <w:rPr>
      <w:rFonts w:eastAsia="宋体"/>
      <w:bCs/>
      <w:color w:val="000000"/>
      <w:sz w:val="24"/>
      <w:szCs w:val="19"/>
      <w:lang w:val="en-US" w:eastAsia="zh-CN" w:bidi="ar-SA"/>
    </w:rPr>
  </w:style>
  <w:style w:type="character" w:customStyle="1" w:styleId="283">
    <w:name w:val="bold1"/>
    <w:autoRedefine/>
    <w:qFormat/>
    <w:uiPriority w:val="0"/>
    <w:rPr>
      <w:b/>
      <w:bCs/>
    </w:rPr>
  </w:style>
  <w:style w:type="character" w:customStyle="1" w:styleId="284">
    <w:name w:val="普通文字 Char Char Char2"/>
    <w:autoRedefine/>
    <w:qFormat/>
    <w:uiPriority w:val="0"/>
    <w:rPr>
      <w:rFonts w:ascii="宋体" w:hAnsi="Courier New" w:eastAsia="宋体" w:cs="Times New Roman"/>
      <w:szCs w:val="20"/>
    </w:rPr>
  </w:style>
  <w:style w:type="paragraph" w:customStyle="1" w:styleId="285">
    <w:name w:val="样式3"/>
    <w:basedOn w:val="1"/>
    <w:link w:val="286"/>
    <w:autoRedefine/>
    <w:qFormat/>
    <w:uiPriority w:val="0"/>
    <w:pPr>
      <w:adjustRightInd w:val="0"/>
      <w:spacing w:before="31" w:beforeLines="10" w:after="31" w:afterLines="10" w:line="240" w:lineRule="auto"/>
      <w:ind w:firstLine="0" w:firstLineChars="0"/>
    </w:pPr>
    <w:rPr>
      <w:snapToGrid w:val="0"/>
      <w:color w:val="000000"/>
      <w:kern w:val="0"/>
      <w:sz w:val="21"/>
      <w:szCs w:val="20"/>
    </w:rPr>
  </w:style>
  <w:style w:type="character" w:customStyle="1" w:styleId="286">
    <w:name w:val="样式3 Char"/>
    <w:link w:val="285"/>
    <w:autoRedefine/>
    <w:qFormat/>
    <w:uiPriority w:val="0"/>
    <w:rPr>
      <w:snapToGrid w:val="0"/>
      <w:color w:val="000000"/>
      <w:sz w:val="21"/>
    </w:rPr>
  </w:style>
  <w:style w:type="paragraph" w:customStyle="1" w:styleId="287">
    <w:name w:val="表头"/>
    <w:basedOn w:val="1"/>
    <w:next w:val="1"/>
    <w:autoRedefine/>
    <w:qFormat/>
    <w:uiPriority w:val="0"/>
    <w:pPr>
      <w:tabs>
        <w:tab w:val="center" w:pos="4060"/>
        <w:tab w:val="right" w:pos="8261"/>
      </w:tabs>
      <w:suppressAutoHyphens/>
      <w:adjustRightInd w:val="0"/>
      <w:snapToGrid/>
      <w:spacing w:line="240" w:lineRule="auto"/>
      <w:ind w:firstLine="200"/>
      <w:jc w:val="both"/>
    </w:pPr>
    <w:rPr>
      <w:rFonts w:ascii="黑体" w:eastAsia="黑体"/>
      <w:spacing w:val="6"/>
      <w:kern w:val="0"/>
      <w:sz w:val="26"/>
      <w:szCs w:val="26"/>
    </w:rPr>
  </w:style>
  <w:style w:type="paragraph" w:customStyle="1" w:styleId="288">
    <w:name w:val="样式1"/>
    <w:basedOn w:val="1"/>
    <w:link w:val="289"/>
    <w:autoRedefine/>
    <w:qFormat/>
    <w:uiPriority w:val="0"/>
    <w:pPr>
      <w:snapToGrid/>
      <w:spacing w:line="240" w:lineRule="auto"/>
      <w:ind w:firstLine="0" w:firstLineChars="0"/>
      <w:jc w:val="both"/>
    </w:pPr>
  </w:style>
  <w:style w:type="character" w:customStyle="1" w:styleId="289">
    <w:name w:val="样式1 Char"/>
    <w:link w:val="288"/>
    <w:autoRedefine/>
    <w:qFormat/>
    <w:uiPriority w:val="0"/>
    <w:rPr>
      <w:kern w:val="2"/>
      <w:sz w:val="24"/>
      <w:szCs w:val="24"/>
    </w:rPr>
  </w:style>
  <w:style w:type="paragraph" w:customStyle="1" w:styleId="290">
    <w:name w:val="亚行正文"/>
    <w:basedOn w:val="1"/>
    <w:link w:val="291"/>
    <w:autoRedefine/>
    <w:qFormat/>
    <w:uiPriority w:val="0"/>
    <w:pPr>
      <w:wordWrap w:val="0"/>
      <w:snapToGrid/>
      <w:ind w:left="-2" w:leftChars="-1" w:firstLine="473" w:firstLineChars="197"/>
      <w:jc w:val="both"/>
    </w:pPr>
    <w:rPr>
      <w:snapToGrid w:val="0"/>
      <w:kern w:val="0"/>
    </w:rPr>
  </w:style>
  <w:style w:type="character" w:customStyle="1" w:styleId="291">
    <w:name w:val="亚行正文 Char"/>
    <w:link w:val="290"/>
    <w:autoRedefine/>
    <w:qFormat/>
    <w:uiPriority w:val="0"/>
    <w:rPr>
      <w:snapToGrid w:val="0"/>
      <w:sz w:val="24"/>
      <w:szCs w:val="24"/>
    </w:rPr>
  </w:style>
  <w:style w:type="paragraph" w:customStyle="1" w:styleId="292">
    <w:name w:val="小四正文"/>
    <w:link w:val="293"/>
    <w:autoRedefine/>
    <w:qFormat/>
    <w:uiPriority w:val="0"/>
    <w:pPr>
      <w:spacing w:line="480" w:lineRule="exact"/>
      <w:jc w:val="both"/>
    </w:pPr>
    <w:rPr>
      <w:rFonts w:ascii="Times New Roman" w:hAnsi="宋体" w:eastAsia="宋体" w:cs="Times New Roman"/>
      <w:b/>
      <w:color w:val="000000"/>
      <w:kern w:val="2"/>
      <w:sz w:val="24"/>
      <w:szCs w:val="24"/>
      <w:lang w:val="en-US" w:eastAsia="zh-CN" w:bidi="ar-SA"/>
    </w:rPr>
  </w:style>
  <w:style w:type="character" w:customStyle="1" w:styleId="293">
    <w:name w:val="小四正文 Char"/>
    <w:link w:val="292"/>
    <w:autoRedefine/>
    <w:qFormat/>
    <w:uiPriority w:val="0"/>
    <w:rPr>
      <w:rFonts w:hAnsi="宋体"/>
      <w:b/>
      <w:color w:val="000000"/>
      <w:kern w:val="2"/>
      <w:sz w:val="24"/>
      <w:szCs w:val="24"/>
    </w:rPr>
  </w:style>
  <w:style w:type="character" w:customStyle="1" w:styleId="294">
    <w:name w:val="列表 Char"/>
    <w:link w:val="66"/>
    <w:autoRedefine/>
    <w:qFormat/>
    <w:uiPriority w:val="0"/>
    <w:rPr>
      <w:kern w:val="2"/>
      <w:sz w:val="21"/>
      <w:szCs w:val="21"/>
    </w:rPr>
  </w:style>
  <w:style w:type="paragraph" w:customStyle="1" w:styleId="295">
    <w:name w:val="样式7"/>
    <w:basedOn w:val="1"/>
    <w:link w:val="296"/>
    <w:autoRedefine/>
    <w:qFormat/>
    <w:uiPriority w:val="0"/>
    <w:pPr>
      <w:adjustRightInd w:val="0"/>
      <w:spacing w:line="480" w:lineRule="exact"/>
      <w:ind w:firstLine="200"/>
      <w:jc w:val="both"/>
    </w:pPr>
    <w:rPr>
      <w:sz w:val="26"/>
      <w:szCs w:val="26"/>
    </w:rPr>
  </w:style>
  <w:style w:type="character" w:customStyle="1" w:styleId="296">
    <w:name w:val="样式7 Char"/>
    <w:link w:val="295"/>
    <w:autoRedefine/>
    <w:qFormat/>
    <w:uiPriority w:val="0"/>
    <w:rPr>
      <w:kern w:val="2"/>
      <w:sz w:val="26"/>
      <w:szCs w:val="26"/>
    </w:rPr>
  </w:style>
  <w:style w:type="paragraph" w:customStyle="1" w:styleId="297">
    <w:name w:val="正文(首行缩进)"/>
    <w:basedOn w:val="1"/>
    <w:link w:val="298"/>
    <w:autoRedefine/>
    <w:qFormat/>
    <w:uiPriority w:val="0"/>
    <w:pPr>
      <w:snapToGrid/>
      <w:ind w:firstLine="0" w:firstLineChars="0"/>
      <w:jc w:val="both"/>
    </w:pPr>
    <w:rPr>
      <w:snapToGrid w:val="0"/>
      <w:kern w:val="0"/>
    </w:rPr>
  </w:style>
  <w:style w:type="character" w:customStyle="1" w:styleId="298">
    <w:name w:val="正文(首行缩进) Char"/>
    <w:link w:val="297"/>
    <w:autoRedefine/>
    <w:qFormat/>
    <w:uiPriority w:val="0"/>
    <w:rPr>
      <w:snapToGrid w:val="0"/>
      <w:sz w:val="24"/>
      <w:szCs w:val="24"/>
    </w:rPr>
  </w:style>
  <w:style w:type="paragraph" w:customStyle="1" w:styleId="299">
    <w:name w:val="首页页眉样式"/>
    <w:basedOn w:val="1"/>
    <w:autoRedefine/>
    <w:qFormat/>
    <w:uiPriority w:val="0"/>
    <w:pPr>
      <w:snapToGrid/>
      <w:spacing w:line="320" w:lineRule="exact"/>
      <w:ind w:firstLine="0" w:firstLineChars="0"/>
      <w:jc w:val="center"/>
    </w:pPr>
    <w:rPr>
      <w:rFonts w:ascii="宋体" w:hAnsi="宋体"/>
      <w:sz w:val="21"/>
      <w:szCs w:val="20"/>
    </w:rPr>
  </w:style>
  <w:style w:type="paragraph" w:customStyle="1" w:styleId="300">
    <w:name w:val="表头1"/>
    <w:basedOn w:val="1"/>
    <w:next w:val="1"/>
    <w:link w:val="301"/>
    <w:autoRedefine/>
    <w:qFormat/>
    <w:uiPriority w:val="0"/>
    <w:pPr>
      <w:tabs>
        <w:tab w:val="left" w:pos="605"/>
      </w:tabs>
      <w:adjustRightInd w:val="0"/>
      <w:spacing w:line="240" w:lineRule="auto"/>
      <w:ind w:firstLine="0" w:firstLineChars="0"/>
      <w:jc w:val="center"/>
    </w:pPr>
    <w:rPr>
      <w:rFonts w:eastAsia="黑体"/>
      <w:kern w:val="0"/>
      <w:sz w:val="21"/>
      <w:szCs w:val="28"/>
    </w:rPr>
  </w:style>
  <w:style w:type="character" w:customStyle="1" w:styleId="301">
    <w:name w:val="表头1 Char"/>
    <w:link w:val="300"/>
    <w:autoRedefine/>
    <w:qFormat/>
    <w:uiPriority w:val="0"/>
    <w:rPr>
      <w:rFonts w:eastAsia="黑体"/>
      <w:sz w:val="21"/>
      <w:szCs w:val="28"/>
    </w:rPr>
  </w:style>
  <w:style w:type="paragraph" w:customStyle="1" w:styleId="302">
    <w:name w:val="排版正文"/>
    <w:basedOn w:val="1"/>
    <w:link w:val="303"/>
    <w:autoRedefine/>
    <w:qFormat/>
    <w:uiPriority w:val="0"/>
    <w:pPr>
      <w:adjustRightInd w:val="0"/>
      <w:spacing w:line="480" w:lineRule="exact"/>
      <w:jc w:val="both"/>
    </w:pPr>
    <w:rPr>
      <w:rFonts w:ascii="宋体" w:hAnsi="宋体"/>
      <w:color w:val="000000"/>
    </w:rPr>
  </w:style>
  <w:style w:type="character" w:customStyle="1" w:styleId="303">
    <w:name w:val="排版正文 Char"/>
    <w:link w:val="302"/>
    <w:autoRedefine/>
    <w:qFormat/>
    <w:uiPriority w:val="0"/>
    <w:rPr>
      <w:rFonts w:ascii="宋体" w:hAnsi="宋体"/>
      <w:color w:val="000000"/>
      <w:kern w:val="2"/>
      <w:sz w:val="24"/>
      <w:szCs w:val="24"/>
    </w:rPr>
  </w:style>
  <w:style w:type="paragraph" w:customStyle="1" w:styleId="304">
    <w:name w:val="正文111111111"/>
    <w:basedOn w:val="1"/>
    <w:link w:val="305"/>
    <w:autoRedefine/>
    <w:qFormat/>
    <w:uiPriority w:val="0"/>
    <w:pPr>
      <w:snapToGrid/>
      <w:jc w:val="both"/>
    </w:pPr>
    <w:rPr>
      <w:rFonts w:cs="宋体"/>
      <w:szCs w:val="20"/>
    </w:rPr>
  </w:style>
  <w:style w:type="character" w:customStyle="1" w:styleId="305">
    <w:name w:val="正文111111111 Char"/>
    <w:link w:val="304"/>
    <w:autoRedefine/>
    <w:qFormat/>
    <w:uiPriority w:val="0"/>
    <w:rPr>
      <w:rFonts w:cs="宋体"/>
      <w:kern w:val="2"/>
      <w:sz w:val="24"/>
    </w:rPr>
  </w:style>
  <w:style w:type="paragraph" w:customStyle="1" w:styleId="306">
    <w:name w:val="表题"/>
    <w:next w:val="66"/>
    <w:autoRedefine/>
    <w:qFormat/>
    <w:uiPriority w:val="0"/>
    <w:pPr>
      <w:spacing w:line="360" w:lineRule="auto"/>
      <w:jc w:val="center"/>
    </w:pPr>
    <w:rPr>
      <w:rFonts w:ascii="Times New Roman" w:hAnsi="Times New Roman" w:eastAsia="黑体" w:cs="Times New Roman"/>
      <w:b/>
      <w:kern w:val="2"/>
      <w:sz w:val="21"/>
      <w:szCs w:val="24"/>
      <w:lang w:val="en-US" w:eastAsia="zh-CN" w:bidi="ar-SA"/>
    </w:rPr>
  </w:style>
  <w:style w:type="paragraph" w:customStyle="1" w:styleId="307">
    <w:name w:val="图"/>
    <w:basedOn w:val="1"/>
    <w:autoRedefine/>
    <w:semiHidden/>
    <w:qFormat/>
    <w:uiPriority w:val="0"/>
    <w:pPr>
      <w:snapToGrid/>
      <w:spacing w:beforeLines="35" w:afterLines="35"/>
      <w:ind w:firstLine="0" w:firstLineChars="0"/>
      <w:jc w:val="center"/>
    </w:pPr>
    <w:rPr>
      <w:b/>
    </w:rPr>
  </w:style>
  <w:style w:type="paragraph" w:customStyle="1" w:styleId="308">
    <w:name w:val="Char4 Char Char Char"/>
    <w:basedOn w:val="1"/>
    <w:autoRedefine/>
    <w:qFormat/>
    <w:uiPriority w:val="0"/>
    <w:pPr>
      <w:adjustRightInd w:val="0"/>
      <w:ind w:firstLine="200"/>
      <w:jc w:val="both"/>
    </w:pPr>
    <w:rPr>
      <w:rFonts w:ascii="宋体" w:hAnsi="宋体" w:cs="宋体"/>
      <w:szCs w:val="26"/>
    </w:rPr>
  </w:style>
  <w:style w:type="paragraph" w:customStyle="1" w:styleId="309">
    <w:name w:val="样式 标题 1 + 段前: 0.5 行 段后: 0.5 行"/>
    <w:basedOn w:val="3"/>
    <w:autoRedefine/>
    <w:semiHidden/>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310">
    <w:name w:val="样式 标题 2 + 段前: 0.5 行 段后: 0.5 行"/>
    <w:basedOn w:val="4"/>
    <w:autoRedefine/>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311">
    <w:name w:val="样式 首行缩进:  2 字符"/>
    <w:basedOn w:val="1"/>
    <w:link w:val="883"/>
    <w:autoRedefine/>
    <w:qFormat/>
    <w:uiPriority w:val="0"/>
    <w:pPr>
      <w:snapToGrid/>
      <w:spacing w:beforeLines="50" w:afterLines="50" w:line="420" w:lineRule="atLeast"/>
      <w:ind w:firstLine="200"/>
      <w:jc w:val="both"/>
    </w:pPr>
    <w:rPr>
      <w:rFonts w:cs="宋体"/>
      <w:szCs w:val="20"/>
    </w:rPr>
  </w:style>
  <w:style w:type="paragraph" w:customStyle="1" w:styleId="312">
    <w:name w:val="样式 四号 居中"/>
    <w:basedOn w:val="1"/>
    <w:autoRedefine/>
    <w:semiHidden/>
    <w:qFormat/>
    <w:uiPriority w:val="0"/>
    <w:pPr>
      <w:adjustRightInd w:val="0"/>
      <w:snapToGrid/>
      <w:spacing w:beforeLines="50" w:afterLines="50" w:line="460" w:lineRule="exact"/>
      <w:ind w:firstLine="200"/>
      <w:jc w:val="center"/>
      <w:textAlignment w:val="baseline"/>
    </w:pPr>
    <w:rPr>
      <w:rFonts w:cs="宋体"/>
      <w:szCs w:val="20"/>
    </w:rPr>
  </w:style>
  <w:style w:type="paragraph" w:customStyle="1" w:styleId="313">
    <w:name w:val="样式 宋体 小四 行距: 固定值 23 磅"/>
    <w:basedOn w:val="1"/>
    <w:autoRedefine/>
    <w:semiHidden/>
    <w:qFormat/>
    <w:uiPriority w:val="0"/>
    <w:pPr>
      <w:snapToGrid/>
      <w:spacing w:beforeLines="50" w:afterLines="50" w:line="460" w:lineRule="exact"/>
      <w:ind w:firstLine="464"/>
      <w:jc w:val="both"/>
    </w:pPr>
    <w:rPr>
      <w:rFonts w:ascii="宋体" w:hAnsi="宋体" w:cs="宋体"/>
      <w:szCs w:val="20"/>
    </w:rPr>
  </w:style>
  <w:style w:type="paragraph" w:customStyle="1" w:styleId="314">
    <w:name w:val="样式 样式 样式 首行缩进:  2 字符 + 首行缩进:  2 字符 + 首行缩进:  2 字符"/>
    <w:basedOn w:val="1"/>
    <w:autoRedefine/>
    <w:semiHidden/>
    <w:qFormat/>
    <w:uiPriority w:val="0"/>
    <w:pPr>
      <w:snapToGrid/>
      <w:spacing w:beforeLines="50" w:afterLines="50" w:line="420" w:lineRule="atLeast"/>
      <w:ind w:firstLine="200"/>
      <w:jc w:val="both"/>
    </w:pPr>
    <w:rPr>
      <w:rFonts w:eastAsia="仿宋_GB2312" w:cs="宋体"/>
      <w:szCs w:val="20"/>
    </w:rPr>
  </w:style>
  <w:style w:type="paragraph" w:customStyle="1" w:styleId="315">
    <w:name w:val="样式 样式 样式 样式1 + 首行缩进:  2 字符 + 首行缩进:  2 字符 段前: 0.5 行 段后: 0.5 行 + 首..."/>
    <w:basedOn w:val="316"/>
    <w:autoRedefine/>
    <w:semiHidden/>
    <w:qFormat/>
    <w:uiPriority w:val="0"/>
    <w:pPr>
      <w:ind w:firstLine="464"/>
    </w:pPr>
  </w:style>
  <w:style w:type="paragraph" w:customStyle="1" w:styleId="316">
    <w:name w:val="样式 样式 样式1 + 首行缩进:  2 字符 + 首行缩进:  2 字符 段前: 0.5 行 段后: 0.5 行"/>
    <w:basedOn w:val="317"/>
    <w:autoRedefine/>
    <w:semiHidden/>
    <w:qFormat/>
    <w:uiPriority w:val="0"/>
    <w:pPr>
      <w:spacing w:beforeLines="50" w:afterLines="50" w:line="460" w:lineRule="exact"/>
      <w:ind w:firstLine="384" w:firstLineChars="200"/>
    </w:pPr>
    <w:rPr>
      <w:rFonts w:ascii="仿宋_GB2312" w:cs="宋体"/>
      <w:szCs w:val="20"/>
    </w:rPr>
  </w:style>
  <w:style w:type="paragraph" w:customStyle="1" w:styleId="317">
    <w:name w:val="样式 样式1 + 首行缩进:  2 字符"/>
    <w:basedOn w:val="288"/>
    <w:autoRedefine/>
    <w:qFormat/>
    <w:uiPriority w:val="0"/>
  </w:style>
  <w:style w:type="paragraph" w:customStyle="1" w:styleId="318">
    <w:name w:val="样式 样式 样式 样式1 + 首行缩进:  2 字符 + 首行缩进:  2 字符 段前: 0.5 行 段后: 0.5 行 + 首...1"/>
    <w:basedOn w:val="316"/>
    <w:autoRedefine/>
    <w:semiHidden/>
    <w:qFormat/>
    <w:uiPriority w:val="0"/>
    <w:pPr>
      <w:ind w:firstLine="464"/>
    </w:pPr>
  </w:style>
  <w:style w:type="paragraph" w:customStyle="1" w:styleId="319">
    <w:name w:val="样式 样式1 + 首行缩进:  2 字符 Char Char Char Char Char Char"/>
    <w:basedOn w:val="1"/>
    <w:autoRedefine/>
    <w:semiHidden/>
    <w:qFormat/>
    <w:uiPriority w:val="0"/>
    <w:pPr>
      <w:snapToGrid/>
      <w:spacing w:beforeLines="50" w:afterLines="50" w:line="460" w:lineRule="exact"/>
      <w:jc w:val="both"/>
    </w:pPr>
    <w:rPr>
      <w:rFonts w:cs="宋体"/>
      <w:kern w:val="0"/>
      <w:szCs w:val="20"/>
      <w:lang w:val="zh-CN"/>
    </w:rPr>
  </w:style>
  <w:style w:type="paragraph" w:customStyle="1" w:styleId="320">
    <w:name w:val="样式 样式1 + 首行缩进:  2 字符 Char Char Char Char Char Char Char Char"/>
    <w:basedOn w:val="1"/>
    <w:autoRedefine/>
    <w:semiHidden/>
    <w:qFormat/>
    <w:uiPriority w:val="0"/>
    <w:pPr>
      <w:snapToGrid/>
      <w:spacing w:beforeLines="50" w:afterLines="50" w:line="460" w:lineRule="exact"/>
      <w:jc w:val="both"/>
    </w:pPr>
    <w:rPr>
      <w:rFonts w:cs="宋体"/>
      <w:szCs w:val="21"/>
      <w:lang w:val="zh-CN"/>
    </w:rPr>
  </w:style>
  <w:style w:type="character" w:customStyle="1" w:styleId="321">
    <w:name w:val="样式1 Char Char"/>
    <w:autoRedefine/>
    <w:qFormat/>
    <w:uiPriority w:val="0"/>
    <w:rPr>
      <w:rFonts w:eastAsia="宋体"/>
      <w:sz w:val="24"/>
      <w:szCs w:val="21"/>
      <w:lang w:val="zh-CN" w:eastAsia="zh-CN" w:bidi="ar-SA"/>
    </w:rPr>
  </w:style>
  <w:style w:type="paragraph" w:customStyle="1" w:styleId="322">
    <w:name w:val="样式2"/>
    <w:basedOn w:val="1"/>
    <w:autoRedefine/>
    <w:qFormat/>
    <w:uiPriority w:val="0"/>
    <w:pPr>
      <w:adjustRightInd w:val="0"/>
      <w:snapToGrid/>
      <w:spacing w:beforeLines="50" w:afterLines="50" w:line="380" w:lineRule="exact"/>
      <w:ind w:firstLine="200"/>
      <w:jc w:val="center"/>
      <w:textAlignment w:val="baseline"/>
    </w:pPr>
    <w:rPr>
      <w:rFonts w:eastAsia="黑体"/>
    </w:rPr>
  </w:style>
  <w:style w:type="paragraph" w:customStyle="1" w:styleId="323">
    <w:name w:val="样式4"/>
    <w:basedOn w:val="312"/>
    <w:link w:val="941"/>
    <w:autoRedefine/>
    <w:qFormat/>
    <w:uiPriority w:val="0"/>
    <w:pPr>
      <w:spacing w:line="300" w:lineRule="exact"/>
    </w:pPr>
    <w:rPr>
      <w:sz w:val="21"/>
    </w:rPr>
  </w:style>
  <w:style w:type="paragraph" w:customStyle="1" w:styleId="324">
    <w:name w:val="Char Char3 Char Char Char Char"/>
    <w:basedOn w:val="1"/>
    <w:autoRedefine/>
    <w:qFormat/>
    <w:uiPriority w:val="0"/>
    <w:pPr>
      <w:widowControl/>
      <w:tabs>
        <w:tab w:val="left" w:pos="480"/>
      </w:tabs>
      <w:snapToGrid/>
      <w:spacing w:line="240" w:lineRule="exact"/>
      <w:ind w:firstLine="0" w:firstLineChars="0"/>
    </w:pPr>
    <w:rPr>
      <w:rFonts w:ascii="Verdana" w:hAnsi="Verdana"/>
      <w:kern w:val="0"/>
      <w:sz w:val="20"/>
      <w:szCs w:val="20"/>
      <w:lang w:eastAsia="en-US"/>
    </w:rPr>
  </w:style>
  <w:style w:type="paragraph" w:customStyle="1" w:styleId="325">
    <w:name w:val="xl40"/>
    <w:basedOn w:val="1"/>
    <w:autoRedefine/>
    <w:qFormat/>
    <w:uiPriority w:val="0"/>
    <w:pPr>
      <w:widowControl/>
      <w:pBdr>
        <w:bottom w:val="single" w:color="auto" w:sz="4" w:space="0"/>
        <w:right w:val="single" w:color="auto" w:sz="4" w:space="0"/>
      </w:pBdr>
      <w:snapToGrid/>
      <w:spacing w:beforeAutospacing="1" w:afterAutospacing="1" w:line="240" w:lineRule="auto"/>
      <w:ind w:firstLine="0" w:firstLineChars="0"/>
      <w:jc w:val="center"/>
      <w:textAlignment w:val="top"/>
    </w:pPr>
    <w:rPr>
      <w:color w:val="FF0000"/>
      <w:kern w:val="0"/>
      <w:sz w:val="21"/>
      <w:szCs w:val="21"/>
    </w:rPr>
  </w:style>
  <w:style w:type="paragraph" w:customStyle="1" w:styleId="326">
    <w:name w:val="Body Text 21"/>
    <w:basedOn w:val="1"/>
    <w:autoRedefine/>
    <w:qFormat/>
    <w:uiPriority w:val="0"/>
    <w:pPr>
      <w:tabs>
        <w:tab w:val="left" w:pos="567"/>
      </w:tabs>
      <w:adjustRightInd w:val="0"/>
      <w:snapToGrid/>
      <w:spacing w:line="410" w:lineRule="atLeast"/>
      <w:ind w:firstLine="0" w:firstLineChars="0"/>
      <w:jc w:val="both"/>
      <w:textAlignment w:val="baseline"/>
    </w:pPr>
    <w:rPr>
      <w:rFonts w:ascii="宋体"/>
      <w:kern w:val="0"/>
      <w:szCs w:val="20"/>
    </w:rPr>
  </w:style>
  <w:style w:type="paragraph" w:customStyle="1" w:styleId="327">
    <w:name w:val="Char Char Char Char Char Char Char Char Char"/>
    <w:basedOn w:val="1"/>
    <w:autoRedefine/>
    <w:qFormat/>
    <w:uiPriority w:val="0"/>
    <w:pPr>
      <w:snapToGrid/>
      <w:spacing w:line="240" w:lineRule="auto"/>
      <w:ind w:firstLine="0" w:firstLineChars="0"/>
      <w:jc w:val="both"/>
    </w:pPr>
    <w:rPr>
      <w:sz w:val="21"/>
    </w:rPr>
  </w:style>
  <w:style w:type="paragraph" w:customStyle="1" w:styleId="328">
    <w:name w:val="标准"/>
    <w:basedOn w:val="1"/>
    <w:autoRedefine/>
    <w:qFormat/>
    <w:uiPriority w:val="0"/>
    <w:pPr>
      <w:adjustRightInd w:val="0"/>
      <w:snapToGrid/>
      <w:spacing w:line="600" w:lineRule="atLeast"/>
      <w:ind w:firstLine="0" w:firstLineChars="0"/>
      <w:jc w:val="both"/>
      <w:textAlignment w:val="baseline"/>
    </w:pPr>
    <w:rPr>
      <w:kern w:val="0"/>
      <w:sz w:val="28"/>
      <w:szCs w:val="20"/>
    </w:rPr>
  </w:style>
  <w:style w:type="character" w:customStyle="1" w:styleId="329">
    <w:name w:val="pt93"/>
    <w:autoRedefine/>
    <w:qFormat/>
    <w:uiPriority w:val="0"/>
    <w:rPr>
      <w:color w:val="000000"/>
      <w:sz w:val="18"/>
      <w:szCs w:val="18"/>
      <w:u w:val="none"/>
    </w:rPr>
  </w:style>
  <w:style w:type="paragraph" w:customStyle="1" w:styleId="330">
    <w:name w:val="xl24"/>
    <w:basedOn w:val="1"/>
    <w:autoRedefine/>
    <w:qFormat/>
    <w:uiPriority w:val="0"/>
    <w:pPr>
      <w:widowControl/>
      <w:snapToGrid/>
      <w:spacing w:beforeAutospacing="1" w:afterAutospacing="1" w:line="240" w:lineRule="auto"/>
      <w:ind w:firstLine="0" w:firstLineChars="0"/>
      <w:jc w:val="center"/>
    </w:pPr>
    <w:rPr>
      <w:rFonts w:ascii="Arial Unicode MS" w:hAnsi="Arial Unicode MS" w:eastAsia="Arial Unicode MS"/>
      <w:kern w:val="0"/>
    </w:rPr>
  </w:style>
  <w:style w:type="paragraph" w:customStyle="1" w:styleId="331">
    <w:name w:val="Char4 Char Char Char1"/>
    <w:basedOn w:val="1"/>
    <w:autoRedefine/>
    <w:semiHidden/>
    <w:qFormat/>
    <w:uiPriority w:val="0"/>
    <w:pPr>
      <w:adjustRightInd w:val="0"/>
      <w:ind w:firstLine="200"/>
      <w:jc w:val="both"/>
    </w:pPr>
    <w:rPr>
      <w:rFonts w:ascii="宋体" w:hAnsi="宋体" w:cs="宋体"/>
      <w:szCs w:val="26"/>
    </w:rPr>
  </w:style>
  <w:style w:type="character" w:customStyle="1" w:styleId="332">
    <w:name w:val="样式1 Char2"/>
    <w:autoRedefine/>
    <w:qFormat/>
    <w:uiPriority w:val="0"/>
    <w:rPr>
      <w:rFonts w:ascii="仿宋_GB2312" w:eastAsia="宋体"/>
      <w:kern w:val="2"/>
      <w:sz w:val="24"/>
      <w:szCs w:val="24"/>
      <w:lang w:val="en-US" w:eastAsia="zh-CN" w:bidi="ar-SA"/>
    </w:rPr>
  </w:style>
  <w:style w:type="table" w:customStyle="1" w:styleId="333">
    <w:name w:val="表格样式1"/>
    <w:basedOn w:val="88"/>
    <w:autoRedefine/>
    <w:qFormat/>
    <w:uiPriority w:val="0"/>
    <w:tblPr>
      <w:tblCellMar>
        <w:top w:w="0" w:type="dxa"/>
        <w:left w:w="108" w:type="dxa"/>
        <w:bottom w:w="0" w:type="dxa"/>
        <w:right w:w="108" w:type="dxa"/>
      </w:tblCellMar>
    </w:tblPr>
  </w:style>
  <w:style w:type="paragraph" w:customStyle="1" w:styleId="334">
    <w:name w:val="正文11111111"/>
    <w:basedOn w:val="1"/>
    <w:autoRedefine/>
    <w:qFormat/>
    <w:uiPriority w:val="0"/>
    <w:pPr>
      <w:snapToGrid/>
      <w:spacing w:line="440" w:lineRule="exact"/>
      <w:ind w:firstLine="200"/>
      <w:jc w:val="both"/>
    </w:pPr>
    <w:rPr>
      <w:rFonts w:cs="宋体"/>
      <w:szCs w:val="20"/>
    </w:rPr>
  </w:style>
  <w:style w:type="paragraph" w:customStyle="1" w:styleId="335">
    <w:name w:val="正文一"/>
    <w:basedOn w:val="1"/>
    <w:autoRedefine/>
    <w:qFormat/>
    <w:uiPriority w:val="0"/>
    <w:pPr>
      <w:widowControl/>
      <w:adjustRightInd w:val="0"/>
      <w:spacing w:line="480" w:lineRule="atLeast"/>
      <w:ind w:firstLine="0" w:firstLineChars="0"/>
      <w:jc w:val="both"/>
    </w:pPr>
    <w:rPr>
      <w:rFonts w:ascii="宋体" w:cs="宋体"/>
      <w:spacing w:val="6"/>
      <w:kern w:val="0"/>
    </w:rPr>
  </w:style>
  <w:style w:type="paragraph" w:customStyle="1" w:styleId="336">
    <w:name w:val="正文 首行缩进:  2 字符"/>
    <w:basedOn w:val="1"/>
    <w:autoRedefine/>
    <w:qFormat/>
    <w:uiPriority w:val="0"/>
    <w:pPr>
      <w:snapToGrid/>
      <w:spacing w:line="240" w:lineRule="auto"/>
      <w:ind w:firstLine="579"/>
      <w:jc w:val="both"/>
    </w:pPr>
    <w:rPr>
      <w:sz w:val="28"/>
      <w:szCs w:val="20"/>
    </w:rPr>
  </w:style>
  <w:style w:type="character" w:customStyle="1" w:styleId="337">
    <w:name w:val="表格文字 Char"/>
    <w:autoRedefine/>
    <w:qFormat/>
    <w:uiPriority w:val="0"/>
    <w:rPr>
      <w:rFonts w:ascii="Times New Roman" w:hAnsi="Times New Roman" w:eastAsia="宋体" w:cs="Times New Roman"/>
      <w:kern w:val="0"/>
      <w:szCs w:val="28"/>
    </w:rPr>
  </w:style>
  <w:style w:type="paragraph" w:customStyle="1" w:styleId="338">
    <w:name w:val="Char Char Char Char Char Char Char Char Char Char Char Char1 Char Char Char Char Char Char Char Char Char Char Char Char Char Char Char Char Char Char Char"/>
    <w:basedOn w:val="1"/>
    <w:autoRedefine/>
    <w:semiHidden/>
    <w:qFormat/>
    <w:uiPriority w:val="0"/>
    <w:pPr>
      <w:snapToGrid/>
      <w:ind w:firstLine="200"/>
      <w:jc w:val="both"/>
    </w:pPr>
    <w:rPr>
      <w:rFonts w:ascii="宋体" w:hAnsi="宋体" w:cs="宋体"/>
      <w:szCs w:val="26"/>
    </w:rPr>
  </w:style>
  <w:style w:type="paragraph" w:customStyle="1" w:styleId="339">
    <w:name w:val="四级条标题"/>
    <w:basedOn w:val="1"/>
    <w:next w:val="1"/>
    <w:autoRedefine/>
    <w:qFormat/>
    <w:uiPriority w:val="0"/>
    <w:pPr>
      <w:widowControl/>
      <w:tabs>
        <w:tab w:val="left" w:pos="360"/>
        <w:tab w:val="left" w:pos="1080"/>
        <w:tab w:val="left" w:pos="1440"/>
        <w:tab w:val="left" w:pos="1755"/>
        <w:tab w:val="left" w:pos="2250"/>
        <w:tab w:val="left" w:pos="2670"/>
      </w:tabs>
      <w:snapToGrid/>
      <w:spacing w:line="240" w:lineRule="auto"/>
      <w:ind w:left="1080" w:hanging="1080" w:firstLineChars="0"/>
      <w:jc w:val="both"/>
      <w:outlineLvl w:val="5"/>
    </w:pPr>
    <w:rPr>
      <w:rFonts w:ascii="黑体" w:eastAsia="黑体"/>
      <w:kern w:val="0"/>
      <w:sz w:val="21"/>
      <w:szCs w:val="20"/>
    </w:rPr>
  </w:style>
  <w:style w:type="table" w:customStyle="1" w:styleId="340">
    <w:name w:val="表格样式-ls"/>
    <w:basedOn w:val="88"/>
    <w:autoRedefine/>
    <w:qFormat/>
    <w:uiPriority w:val="0"/>
    <w:pPr>
      <w:widowControl w:val="0"/>
      <w:adjustRightInd w:val="0"/>
      <w:spacing w:line="360" w:lineRule="exact"/>
      <w:jc w:val="center"/>
      <w:textAlignment w:val="center"/>
    </w:pPr>
    <w:rPr>
      <w:szCs w:val="21"/>
    </w:rPr>
    <w:tblPr>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
    <w:trPr>
      <w:jc w:val="center"/>
    </w:trPr>
    <w:tcPr>
      <w:shd w:val="clear" w:color="auto" w:fill="auto"/>
      <w:tcMar>
        <w:left w:w="0" w:type="dxa"/>
        <w:right w:w="0" w:type="dxa"/>
      </w:tcMar>
      <w:vAlign w:val="center"/>
    </w:tcPr>
    <w:tblStylePr w:type="firstRow">
      <w:pPr>
        <w:jc w:val="center"/>
      </w:pPr>
      <w:rPr>
        <w:rFonts w:eastAsia="宋体"/>
        <w:b w:val="0"/>
        <w:bCs/>
        <w:color w:val="auto"/>
        <w:sz w:val="21"/>
      </w:rPr>
      <w:tcPr>
        <w:tcBorders>
          <w:tl2br w:val="nil"/>
          <w:tr2bl w:val="nil"/>
        </w:tcBorders>
        <w:shd w:val="pct20" w:color="000000" w:fill="FFFFFF"/>
      </w:tcPr>
    </w:tblStylePr>
  </w:style>
  <w:style w:type="paragraph" w:customStyle="1" w:styleId="341">
    <w:name w:val="基准页脚样式"/>
    <w:basedOn w:val="34"/>
    <w:autoRedefine/>
    <w:qFormat/>
    <w:uiPriority w:val="0"/>
    <w:pPr>
      <w:widowControl w:val="0"/>
      <w:snapToGrid/>
      <w:spacing w:before="0" w:after="120" w:line="240" w:lineRule="exact"/>
      <w:ind w:right="0" w:firstLine="0" w:firstLineChars="0"/>
      <w:jc w:val="center"/>
    </w:pPr>
    <w:rPr>
      <w:rFonts w:ascii="宋体" w:hAnsi="宋体"/>
      <w:bCs/>
      <w:color w:val="0000FF"/>
      <w:w w:val="90"/>
      <w:kern w:val="2"/>
      <w:sz w:val="21"/>
      <w:szCs w:val="21"/>
    </w:rPr>
  </w:style>
  <w:style w:type="paragraph" w:customStyle="1" w:styleId="342">
    <w:name w:val="xl36"/>
    <w:basedOn w:val="1"/>
    <w:autoRedefine/>
    <w:qFormat/>
    <w:uiPriority w:val="0"/>
    <w:pPr>
      <w:widowControl/>
      <w:pBdr>
        <w:left w:val="single" w:color="auto" w:sz="4" w:space="0"/>
        <w:bottom w:val="single" w:color="auto" w:sz="4" w:space="0"/>
        <w:right w:val="single" w:color="auto" w:sz="4" w:space="0"/>
      </w:pBdr>
      <w:snapToGrid/>
      <w:spacing w:beforeAutospacing="1" w:afterAutospacing="1" w:line="300" w:lineRule="auto"/>
      <w:ind w:firstLine="0" w:firstLineChars="0"/>
      <w:jc w:val="center"/>
    </w:pPr>
    <w:rPr>
      <w:rFonts w:eastAsia="Arial Unicode MS"/>
      <w:kern w:val="0"/>
      <w:sz w:val="20"/>
      <w:szCs w:val="20"/>
    </w:rPr>
  </w:style>
  <w:style w:type="paragraph" w:customStyle="1" w:styleId="343">
    <w:name w:val="表格内格式"/>
    <w:basedOn w:val="1"/>
    <w:autoRedefine/>
    <w:qFormat/>
    <w:uiPriority w:val="0"/>
    <w:pPr>
      <w:snapToGrid/>
      <w:spacing w:line="240" w:lineRule="exact"/>
      <w:ind w:firstLine="0" w:firstLineChars="0"/>
      <w:jc w:val="center"/>
    </w:pPr>
    <w:rPr>
      <w:rFonts w:ascii="宋体"/>
      <w:sz w:val="21"/>
    </w:rPr>
  </w:style>
  <w:style w:type="paragraph" w:customStyle="1" w:styleId="344">
    <w:name w:val="一级标题"/>
    <w:next w:val="345"/>
    <w:autoRedefine/>
    <w:qFormat/>
    <w:uiPriority w:val="0"/>
    <w:pPr>
      <w:tabs>
        <w:tab w:val="left" w:pos="425"/>
        <w:tab w:val="left" w:pos="9720"/>
      </w:tabs>
      <w:ind w:left="425" w:hanging="425"/>
    </w:pPr>
    <w:rPr>
      <w:rFonts w:ascii="Times New Roman" w:hAnsi="Times New Roman" w:eastAsia="黑体" w:cs="Times New Roman"/>
      <w:sz w:val="30"/>
      <w:lang w:val="en-US" w:eastAsia="zh-CN" w:bidi="ar-SA"/>
    </w:rPr>
  </w:style>
  <w:style w:type="paragraph" w:customStyle="1" w:styleId="345">
    <w:name w:val="二级标题"/>
    <w:next w:val="1"/>
    <w:autoRedefine/>
    <w:qFormat/>
    <w:uiPriority w:val="0"/>
    <w:pPr>
      <w:spacing w:before="120" w:after="120"/>
    </w:pPr>
    <w:rPr>
      <w:rFonts w:ascii="Times New Roman" w:hAnsi="Times New Roman" w:eastAsia="宋体" w:cs="Times New Roman"/>
      <w:b/>
      <w:sz w:val="28"/>
      <w:lang w:val="en-US" w:eastAsia="zh-CN" w:bidi="ar-SA"/>
    </w:rPr>
  </w:style>
  <w:style w:type="paragraph" w:customStyle="1" w:styleId="346">
    <w:name w:val="表格1"/>
    <w:basedOn w:val="1"/>
    <w:link w:val="2443"/>
    <w:autoRedefine/>
    <w:qFormat/>
    <w:uiPriority w:val="0"/>
    <w:pPr>
      <w:snapToGrid/>
      <w:spacing w:line="300" w:lineRule="exact"/>
      <w:ind w:firstLine="0" w:firstLineChars="0"/>
      <w:jc w:val="center"/>
    </w:pPr>
    <w:rPr>
      <w:bCs/>
      <w:color w:val="000000"/>
      <w:kern w:val="0"/>
      <w:sz w:val="21"/>
      <w:szCs w:val="19"/>
    </w:rPr>
  </w:style>
  <w:style w:type="paragraph" w:customStyle="1" w:styleId="347">
    <w:name w:val="正文11"/>
    <w:basedOn w:val="1"/>
    <w:link w:val="901"/>
    <w:autoRedefine/>
    <w:qFormat/>
    <w:uiPriority w:val="0"/>
    <w:pPr>
      <w:adjustRightInd w:val="0"/>
      <w:snapToGrid/>
      <w:spacing w:line="410" w:lineRule="atLeast"/>
      <w:ind w:firstLine="0" w:firstLineChars="0"/>
      <w:textAlignment w:val="baseline"/>
    </w:pPr>
    <w:rPr>
      <w:rFonts w:ascii="宋体"/>
      <w:color w:val="000000"/>
      <w:kern w:val="0"/>
      <w:szCs w:val="20"/>
    </w:rPr>
  </w:style>
  <w:style w:type="paragraph" w:customStyle="1" w:styleId="348">
    <w:name w:val="一级条标题"/>
    <w:basedOn w:val="349"/>
    <w:next w:val="1"/>
    <w:autoRedefine/>
    <w:qFormat/>
    <w:uiPriority w:val="0"/>
    <w:pPr>
      <w:tabs>
        <w:tab w:val="left" w:pos="903"/>
      </w:tabs>
    </w:pPr>
  </w:style>
  <w:style w:type="paragraph" w:customStyle="1" w:styleId="349">
    <w:name w:val="章标题"/>
    <w:next w:val="1"/>
    <w:autoRedefine/>
    <w:qFormat/>
    <w:uiPriority w:val="0"/>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350">
    <w:name w:val="正文缩"/>
    <w:basedOn w:val="1"/>
    <w:autoRedefine/>
    <w:qFormat/>
    <w:uiPriority w:val="0"/>
    <w:pPr>
      <w:adjustRightInd w:val="0"/>
      <w:snapToGrid/>
      <w:spacing w:line="480" w:lineRule="atLeast"/>
      <w:ind w:firstLine="567" w:firstLineChars="0"/>
      <w:jc w:val="both"/>
      <w:textAlignment w:val="baseline"/>
    </w:pPr>
    <w:rPr>
      <w:rFonts w:ascii="宋体"/>
      <w:spacing w:val="6"/>
      <w:kern w:val="0"/>
      <w:sz w:val="28"/>
      <w:szCs w:val="20"/>
    </w:rPr>
  </w:style>
  <w:style w:type="paragraph" w:customStyle="1" w:styleId="351">
    <w:name w:val="表内字"/>
    <w:autoRedefine/>
    <w:qFormat/>
    <w:uiPriority w:val="0"/>
    <w:pPr>
      <w:widowControl w:val="0"/>
      <w:autoSpaceDE w:val="0"/>
      <w:autoSpaceDN w:val="0"/>
      <w:adjustRightInd w:val="0"/>
      <w:spacing w:line="240" w:lineRule="exact"/>
      <w:jc w:val="both"/>
    </w:pPr>
    <w:rPr>
      <w:rFonts w:ascii="宋体" w:hAnsi="宋体" w:eastAsia="宋体" w:cs="Times New Roman"/>
      <w:w w:val="95"/>
      <w:sz w:val="21"/>
      <w:szCs w:val="21"/>
      <w:lang w:val="en-US" w:eastAsia="zh-CN" w:bidi="ar-SA"/>
    </w:rPr>
  </w:style>
  <w:style w:type="paragraph" w:customStyle="1" w:styleId="352">
    <w:name w:val="默认段落字体 Para Char Char Char Char"/>
    <w:basedOn w:val="1"/>
    <w:autoRedefine/>
    <w:qFormat/>
    <w:uiPriority w:val="0"/>
    <w:pPr>
      <w:snapToGrid/>
      <w:spacing w:line="240" w:lineRule="auto"/>
      <w:ind w:firstLine="0" w:firstLineChars="0"/>
      <w:jc w:val="both"/>
    </w:pPr>
    <w:rPr>
      <w:sz w:val="21"/>
    </w:rPr>
  </w:style>
  <w:style w:type="paragraph" w:customStyle="1" w:styleId="353">
    <w:name w:val="样式 标题 1 + 华文中宋 两端对齐 左侧:  0 厘米"/>
    <w:basedOn w:val="3"/>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354">
    <w:name w:val="01"/>
    <w:basedOn w:val="1"/>
    <w:autoRedefine/>
    <w:semiHidden/>
    <w:qFormat/>
    <w:uiPriority w:val="0"/>
    <w:pPr>
      <w:adjustRightInd w:val="0"/>
      <w:ind w:firstLine="200"/>
      <w:jc w:val="both"/>
    </w:pPr>
    <w:rPr>
      <w:rFonts w:ascii="宋体" w:hAnsi="宋体" w:cs="宋体"/>
      <w:szCs w:val="26"/>
    </w:rPr>
  </w:style>
  <w:style w:type="paragraph" w:customStyle="1" w:styleId="355">
    <w:name w:val="CC Char Char Char Char Char Char"/>
    <w:basedOn w:val="51"/>
    <w:next w:val="51"/>
    <w:autoRedefine/>
    <w:semiHidden/>
    <w:qFormat/>
    <w:uiPriority w:val="0"/>
    <w:pPr>
      <w:snapToGrid/>
      <w:ind w:left="630" w:leftChars="100" w:right="100" w:rightChars="100" w:firstLine="0" w:firstLineChars="0"/>
      <w:jc w:val="both"/>
    </w:pPr>
    <w:rPr>
      <w:sz w:val="28"/>
      <w:szCs w:val="28"/>
    </w:rPr>
  </w:style>
  <w:style w:type="paragraph" w:customStyle="1" w:styleId="356">
    <w:name w:val="表号"/>
    <w:basedOn w:val="351"/>
    <w:next w:val="351"/>
    <w:link w:val="1598"/>
    <w:autoRedefine/>
    <w:qFormat/>
    <w:uiPriority w:val="0"/>
    <w:pPr>
      <w:autoSpaceDE/>
      <w:autoSpaceDN/>
      <w:adjustRightInd/>
      <w:spacing w:line="440" w:lineRule="exact"/>
      <w:ind w:firstLine="113"/>
    </w:pPr>
    <w:rPr>
      <w:color w:val="000000"/>
      <w:spacing w:val="6"/>
      <w:sz w:val="24"/>
      <w:szCs w:val="24"/>
    </w:rPr>
  </w:style>
  <w:style w:type="paragraph" w:customStyle="1" w:styleId="357">
    <w:name w:val="正文文字"/>
    <w:basedOn w:val="1"/>
    <w:autoRedefine/>
    <w:qFormat/>
    <w:uiPriority w:val="0"/>
    <w:pPr>
      <w:spacing w:beforeLines="50" w:line="312" w:lineRule="auto"/>
      <w:ind w:firstLine="540" w:firstLineChars="225"/>
      <w:jc w:val="both"/>
    </w:pPr>
    <w:rPr>
      <w:rFonts w:ascii="Arial" w:hAnsi="Arial" w:eastAsia="仿宋_GB2312" w:cs="Arial"/>
      <w:bCs/>
      <w:kern w:val="0"/>
      <w:lang w:val="de-DE"/>
    </w:rPr>
  </w:style>
  <w:style w:type="paragraph" w:customStyle="1" w:styleId="358">
    <w:name w:val="表"/>
    <w:basedOn w:val="1"/>
    <w:autoRedefine/>
    <w:qFormat/>
    <w:uiPriority w:val="0"/>
    <w:pPr>
      <w:adjustRightInd w:val="0"/>
      <w:snapToGrid/>
      <w:spacing w:line="240" w:lineRule="exact"/>
      <w:ind w:firstLine="0" w:firstLineChars="0"/>
      <w:jc w:val="both"/>
      <w:textAlignment w:val="baseline"/>
    </w:pPr>
    <w:rPr>
      <w:rFonts w:eastAsia="仿宋_GB2312"/>
      <w:spacing w:val="-20"/>
      <w:kern w:val="21"/>
      <w:sz w:val="21"/>
      <w:szCs w:val="20"/>
    </w:rPr>
  </w:style>
  <w:style w:type="paragraph" w:customStyle="1" w:styleId="359">
    <w:name w:val="Char Char1 Char Char Char Char"/>
    <w:basedOn w:val="1"/>
    <w:autoRedefine/>
    <w:qFormat/>
    <w:uiPriority w:val="0"/>
    <w:pPr>
      <w:snapToGrid/>
      <w:spacing w:line="240" w:lineRule="auto"/>
      <w:ind w:firstLine="0" w:firstLineChars="0"/>
      <w:jc w:val="both"/>
    </w:pPr>
  </w:style>
  <w:style w:type="paragraph" w:customStyle="1" w:styleId="360">
    <w:name w:val="前言、引言标题"/>
    <w:next w:val="1"/>
    <w:autoRedefine/>
    <w:qFormat/>
    <w:uiPriority w:val="0"/>
    <w:pPr>
      <w:shd w:val="clear" w:color="FFFFFF" w:fill="FFFFFF"/>
      <w:tabs>
        <w:tab w:val="left" w:pos="600"/>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361">
    <w:name w:val="2 Char"/>
    <w:basedOn w:val="1"/>
    <w:autoRedefine/>
    <w:qFormat/>
    <w:uiPriority w:val="0"/>
    <w:pPr>
      <w:snapToGrid/>
      <w:spacing w:line="560" w:lineRule="exact"/>
      <w:ind w:firstLine="200"/>
      <w:jc w:val="both"/>
    </w:pPr>
    <w:rPr>
      <w:rFonts w:ascii="仿宋_GB2312" w:eastAsia="仿宋_GB2312"/>
      <w:sz w:val="28"/>
      <w:szCs w:val="28"/>
    </w:rPr>
  </w:style>
  <w:style w:type="paragraph" w:customStyle="1" w:styleId="362">
    <w:name w:val=".."/>
    <w:basedOn w:val="1"/>
    <w:next w:val="1"/>
    <w:autoRedefine/>
    <w:qFormat/>
    <w:uiPriority w:val="0"/>
    <w:pPr>
      <w:autoSpaceDE w:val="0"/>
      <w:autoSpaceDN w:val="0"/>
      <w:adjustRightInd w:val="0"/>
      <w:snapToGrid/>
      <w:spacing w:line="240" w:lineRule="auto"/>
      <w:ind w:firstLine="0" w:firstLineChars="0"/>
    </w:pPr>
    <w:rPr>
      <w:rFonts w:ascii="宋体"/>
      <w:kern w:val="0"/>
      <w:sz w:val="20"/>
    </w:rPr>
  </w:style>
  <w:style w:type="paragraph" w:customStyle="1" w:styleId="363">
    <w:name w:val="样式 样式1 + 宋体 首行缩进:  2 字符"/>
    <w:basedOn w:val="1"/>
    <w:autoRedefine/>
    <w:qFormat/>
    <w:uiPriority w:val="0"/>
    <w:pPr>
      <w:snapToGrid/>
      <w:spacing w:line="180" w:lineRule="atLeast"/>
      <w:ind w:firstLine="520"/>
      <w:jc w:val="both"/>
    </w:pPr>
    <w:rPr>
      <w:rFonts w:ascii="宋体" w:hAnsi="宋体"/>
      <w:sz w:val="28"/>
      <w:szCs w:val="28"/>
    </w:rPr>
  </w:style>
  <w:style w:type="paragraph" w:customStyle="1" w:styleId="364">
    <w:name w:val="Char2 Char Char Char Char Char Char"/>
    <w:basedOn w:val="1"/>
    <w:autoRedefine/>
    <w:qFormat/>
    <w:uiPriority w:val="0"/>
    <w:pPr>
      <w:snapToGrid/>
      <w:spacing w:line="240" w:lineRule="auto"/>
      <w:ind w:firstLine="0" w:firstLineChars="0"/>
      <w:jc w:val="both"/>
    </w:pPr>
    <w:rPr>
      <w:sz w:val="21"/>
    </w:rPr>
  </w:style>
  <w:style w:type="paragraph" w:customStyle="1" w:styleId="365">
    <w:name w:val="Char Char Char Char1"/>
    <w:basedOn w:val="1"/>
    <w:autoRedefine/>
    <w:qFormat/>
    <w:uiPriority w:val="0"/>
    <w:pPr>
      <w:snapToGrid/>
      <w:ind w:firstLine="200"/>
      <w:jc w:val="both"/>
    </w:pPr>
    <w:rPr>
      <w:rFonts w:ascii="宋体" w:hAnsi="宋体" w:cs="宋体"/>
    </w:rPr>
  </w:style>
  <w:style w:type="paragraph" w:customStyle="1" w:styleId="366">
    <w:name w:val="王向东正文"/>
    <w:autoRedefine/>
    <w:qFormat/>
    <w:uiPriority w:val="0"/>
    <w:pPr>
      <w:ind w:right="17" w:rightChars="8" w:firstLine="480" w:firstLineChars="200"/>
    </w:pPr>
    <w:rPr>
      <w:rFonts w:ascii="宋体" w:hAnsi="宋体" w:eastAsia="宋体" w:cs="幼圆"/>
      <w:kern w:val="2"/>
      <w:sz w:val="24"/>
      <w:szCs w:val="24"/>
      <w:lang w:val="en-US" w:eastAsia="zh-CN" w:bidi="ar-SA"/>
    </w:rPr>
  </w:style>
  <w:style w:type="paragraph" w:customStyle="1" w:styleId="367">
    <w:name w:val="Char2"/>
    <w:basedOn w:val="1"/>
    <w:autoRedefine/>
    <w:qFormat/>
    <w:uiPriority w:val="0"/>
    <w:pPr>
      <w:snapToGrid/>
      <w:spacing w:line="240" w:lineRule="auto"/>
      <w:ind w:firstLine="0" w:firstLineChars="0"/>
      <w:jc w:val="both"/>
    </w:pPr>
    <w:rPr>
      <w:sz w:val="21"/>
      <w:szCs w:val="21"/>
    </w:rPr>
  </w:style>
  <w:style w:type="paragraph" w:customStyle="1" w:styleId="368">
    <w:name w:val="样式13"/>
    <w:basedOn w:val="1"/>
    <w:autoRedefine/>
    <w:qFormat/>
    <w:uiPriority w:val="0"/>
    <w:pPr>
      <w:autoSpaceDE w:val="0"/>
      <w:autoSpaceDN w:val="0"/>
      <w:adjustRightInd w:val="0"/>
      <w:spacing w:beforeLines="50" w:line="480" w:lineRule="exact"/>
      <w:ind w:firstLine="0" w:firstLineChars="0"/>
      <w:jc w:val="center"/>
      <w:outlineLvl w:val="4"/>
    </w:pPr>
    <w:rPr>
      <w:sz w:val="26"/>
      <w:szCs w:val="26"/>
      <w:lang w:val="zh-CN"/>
    </w:rPr>
  </w:style>
  <w:style w:type="paragraph" w:customStyle="1" w:styleId="369">
    <w:name w:val="样式14"/>
    <w:basedOn w:val="1"/>
    <w:link w:val="3046"/>
    <w:autoRedefine/>
    <w:qFormat/>
    <w:uiPriority w:val="0"/>
    <w:pPr>
      <w:autoSpaceDE w:val="0"/>
      <w:autoSpaceDN w:val="0"/>
      <w:adjustRightInd w:val="0"/>
      <w:snapToGrid/>
      <w:spacing w:line="320" w:lineRule="atLeast"/>
      <w:ind w:firstLine="0" w:firstLineChars="0"/>
      <w:jc w:val="center"/>
    </w:pPr>
    <w:rPr>
      <w:sz w:val="22"/>
      <w:szCs w:val="22"/>
      <w:lang w:val="zh-CN"/>
    </w:rPr>
  </w:style>
  <w:style w:type="paragraph" w:customStyle="1" w:styleId="370">
    <w:name w:val="三级条标题"/>
    <w:basedOn w:val="371"/>
    <w:next w:val="1"/>
    <w:autoRedefine/>
    <w:qFormat/>
    <w:uiPriority w:val="0"/>
    <w:pPr>
      <w:tabs>
        <w:tab w:val="left" w:pos="425"/>
        <w:tab w:val="left" w:pos="1440"/>
        <w:tab w:val="left" w:pos="1755"/>
        <w:tab w:val="left" w:pos="2250"/>
        <w:tab w:val="left" w:pos="2670"/>
      </w:tabs>
      <w:ind w:left="2670"/>
      <w:outlineLvl w:val="4"/>
    </w:pPr>
  </w:style>
  <w:style w:type="paragraph" w:customStyle="1" w:styleId="371">
    <w:name w:val="二级条标题"/>
    <w:basedOn w:val="348"/>
    <w:next w:val="1"/>
    <w:link w:val="918"/>
    <w:autoRedefine/>
    <w:qFormat/>
    <w:uiPriority w:val="0"/>
    <w:pPr>
      <w:tabs>
        <w:tab w:val="left" w:pos="425"/>
        <w:tab w:val="left" w:pos="1440"/>
        <w:tab w:val="left" w:pos="2250"/>
        <w:tab w:val="clear" w:pos="903"/>
      </w:tabs>
      <w:spacing w:before="0" w:after="0"/>
      <w:ind w:left="2250" w:hanging="425"/>
      <w:outlineLvl w:val="3"/>
    </w:pPr>
  </w:style>
  <w:style w:type="paragraph" w:customStyle="1" w:styleId="372">
    <w:name w:val="表中"/>
    <w:autoRedefine/>
    <w:qFormat/>
    <w:uiPriority w:val="0"/>
    <w:pPr>
      <w:spacing w:line="280" w:lineRule="exact"/>
      <w:jc w:val="center"/>
    </w:pPr>
    <w:rPr>
      <w:rFonts w:ascii="Times New Roman" w:hAnsi="Times New Roman" w:eastAsia="宋体" w:cs="Times New Roman"/>
      <w:color w:val="000000"/>
      <w:spacing w:val="20"/>
      <w:kern w:val="44"/>
      <w:sz w:val="18"/>
      <w:lang w:val="en-US" w:eastAsia="zh-CN" w:bidi="ar-SA"/>
    </w:rPr>
  </w:style>
  <w:style w:type="paragraph" w:customStyle="1" w:styleId="373">
    <w:name w:val="正文王"/>
    <w:basedOn w:val="45"/>
    <w:autoRedefine/>
    <w:qFormat/>
    <w:uiPriority w:val="0"/>
    <w:pPr>
      <w:adjustRightInd/>
      <w:spacing w:beforeLines="0" w:afterLines="0" w:line="440" w:lineRule="exact"/>
      <w:ind w:firstLine="0" w:firstLineChars="0"/>
      <w:jc w:val="both"/>
      <w:textAlignment w:val="auto"/>
    </w:pPr>
    <w:rPr>
      <w:rFonts w:ascii="Arial" w:hAnsi="Arial"/>
      <w:snapToGrid w:val="0"/>
      <w:kern w:val="0"/>
    </w:rPr>
  </w:style>
  <w:style w:type="paragraph" w:customStyle="1" w:styleId="374">
    <w:name w:val="T表格"/>
    <w:autoRedefine/>
    <w:qFormat/>
    <w:uiPriority w:val="0"/>
    <w:pPr>
      <w:widowControl w:val="0"/>
      <w:spacing w:line="280" w:lineRule="exact"/>
      <w:jc w:val="center"/>
    </w:pPr>
    <w:rPr>
      <w:rFonts w:ascii="宋体" w:hAnsi="宋体" w:eastAsia="宋体" w:cs="Times New Roman"/>
      <w:sz w:val="21"/>
      <w:szCs w:val="21"/>
      <w:lang w:val="en-US" w:eastAsia="zh-CN" w:bidi="ar-SA"/>
    </w:rPr>
  </w:style>
  <w:style w:type="paragraph" w:customStyle="1" w:styleId="375">
    <w:name w:val="z正文"/>
    <w:basedOn w:val="35"/>
    <w:autoRedefine/>
    <w:qFormat/>
    <w:uiPriority w:val="0"/>
    <w:pPr>
      <w:autoSpaceDE w:val="0"/>
      <w:autoSpaceDN w:val="0"/>
      <w:adjustRightInd w:val="0"/>
      <w:ind w:left="0" w:leftChars="0" w:firstLine="200"/>
      <w:jc w:val="both"/>
      <w:textAlignment w:val="baseline"/>
    </w:pPr>
    <w:rPr>
      <w:szCs w:val="24"/>
    </w:rPr>
  </w:style>
  <w:style w:type="paragraph" w:customStyle="1" w:styleId="376">
    <w:name w:val="样式5"/>
    <w:basedOn w:val="1"/>
    <w:link w:val="803"/>
    <w:autoRedefine/>
    <w:qFormat/>
    <w:uiPriority w:val="0"/>
    <w:pPr>
      <w:adjustRightInd w:val="0"/>
      <w:spacing w:beforeLines="50" w:line="480" w:lineRule="exact"/>
      <w:ind w:firstLine="0" w:firstLineChars="0"/>
      <w:jc w:val="center"/>
      <w:outlineLvl w:val="4"/>
    </w:pPr>
    <w:rPr>
      <w:bCs/>
      <w:sz w:val="26"/>
      <w:szCs w:val="26"/>
    </w:rPr>
  </w:style>
  <w:style w:type="character" w:customStyle="1" w:styleId="377">
    <w:name w:val="datatitle1"/>
    <w:autoRedefine/>
    <w:qFormat/>
    <w:uiPriority w:val="0"/>
    <w:rPr>
      <w:b/>
      <w:bCs/>
      <w:color w:val="10619F"/>
      <w:sz w:val="21"/>
      <w:szCs w:val="21"/>
    </w:rPr>
  </w:style>
  <w:style w:type="paragraph" w:customStyle="1" w:styleId="378">
    <w:name w:val="Char Char Char Char Char Char"/>
    <w:basedOn w:val="1"/>
    <w:autoRedefine/>
    <w:qFormat/>
    <w:uiPriority w:val="0"/>
    <w:pPr>
      <w:snapToGrid/>
      <w:spacing w:line="240" w:lineRule="auto"/>
      <w:ind w:firstLine="0" w:firstLineChars="0"/>
      <w:jc w:val="both"/>
    </w:pPr>
    <w:rPr>
      <w:rFonts w:ascii="宋体" w:hAnsi="宋体"/>
    </w:rPr>
  </w:style>
  <w:style w:type="paragraph" w:customStyle="1" w:styleId="379">
    <w:name w:val="Char1 Char Char Char"/>
    <w:basedOn w:val="1"/>
    <w:autoRedefine/>
    <w:qFormat/>
    <w:uiPriority w:val="0"/>
    <w:pPr>
      <w:snapToGrid/>
      <w:spacing w:line="440" w:lineRule="exact"/>
      <w:ind w:firstLine="0" w:firstLineChars="0"/>
      <w:jc w:val="both"/>
    </w:pPr>
    <w:rPr>
      <w:rFonts w:ascii="宋体" w:hAnsi="宋体"/>
    </w:rPr>
  </w:style>
  <w:style w:type="paragraph" w:customStyle="1" w:styleId="380">
    <w:name w:val="蒲正文"/>
    <w:basedOn w:val="1"/>
    <w:link w:val="1590"/>
    <w:autoRedefine/>
    <w:qFormat/>
    <w:uiPriority w:val="0"/>
    <w:pPr>
      <w:adjustRightInd w:val="0"/>
      <w:spacing w:line="440" w:lineRule="exact"/>
      <w:ind w:firstLine="0" w:firstLineChars="0"/>
      <w:jc w:val="both"/>
    </w:pPr>
    <w:rPr>
      <w:rFonts w:ascii="宋体" w:hAnsi="宋体"/>
      <w:b/>
      <w:kern w:val="0"/>
    </w:rPr>
  </w:style>
  <w:style w:type="paragraph" w:customStyle="1" w:styleId="381">
    <w:name w:val="样式 正文11111111 + 左侧:  0.85 厘米 首行缩进:  2 字符"/>
    <w:basedOn w:val="334"/>
    <w:autoRedefine/>
    <w:qFormat/>
    <w:uiPriority w:val="0"/>
    <w:pPr>
      <w:ind w:firstLine="480"/>
    </w:pPr>
  </w:style>
  <w:style w:type="paragraph" w:customStyle="1" w:styleId="382">
    <w:name w:val="二级无标题条"/>
    <w:basedOn w:val="1"/>
    <w:autoRedefine/>
    <w:qFormat/>
    <w:uiPriority w:val="0"/>
    <w:pPr>
      <w:snapToGrid/>
      <w:spacing w:line="240" w:lineRule="auto"/>
      <w:ind w:firstLine="0" w:firstLineChars="0"/>
      <w:jc w:val="both"/>
    </w:pPr>
    <w:rPr>
      <w:sz w:val="21"/>
    </w:rPr>
  </w:style>
  <w:style w:type="paragraph" w:customStyle="1" w:styleId="383">
    <w:name w:val="封面正文"/>
    <w:autoRedefine/>
    <w:qFormat/>
    <w:uiPriority w:val="0"/>
    <w:pPr>
      <w:jc w:val="both"/>
    </w:pPr>
    <w:rPr>
      <w:rFonts w:ascii="Times New Roman" w:hAnsi="Times New Roman" w:eastAsia="宋体" w:cs="Times New Roman"/>
      <w:lang w:val="en-US" w:eastAsia="zh-CN" w:bidi="ar-SA"/>
    </w:rPr>
  </w:style>
  <w:style w:type="paragraph" w:customStyle="1" w:styleId="384">
    <w:name w:val="日期1"/>
    <w:basedOn w:val="1"/>
    <w:next w:val="1"/>
    <w:autoRedefine/>
    <w:qFormat/>
    <w:uiPriority w:val="0"/>
    <w:pPr>
      <w:adjustRightInd w:val="0"/>
      <w:snapToGrid/>
      <w:spacing w:line="240" w:lineRule="auto"/>
      <w:ind w:firstLine="0" w:firstLineChars="0"/>
      <w:jc w:val="both"/>
      <w:textAlignment w:val="baseline"/>
    </w:pPr>
    <w:rPr>
      <w:sz w:val="21"/>
      <w:szCs w:val="20"/>
    </w:rPr>
  </w:style>
  <w:style w:type="paragraph" w:customStyle="1" w:styleId="385">
    <w:name w:val="报告书表格"/>
    <w:basedOn w:val="1"/>
    <w:autoRedefine/>
    <w:qFormat/>
    <w:uiPriority w:val="0"/>
    <w:pPr>
      <w:adjustRightInd w:val="0"/>
      <w:snapToGrid/>
      <w:spacing w:line="240" w:lineRule="atLeast"/>
      <w:ind w:firstLine="0" w:firstLineChars="0"/>
      <w:jc w:val="center"/>
      <w:textAlignment w:val="baseline"/>
    </w:pPr>
    <w:rPr>
      <w:kern w:val="0"/>
      <w:sz w:val="21"/>
      <w:szCs w:val="20"/>
    </w:rPr>
  </w:style>
  <w:style w:type="character" w:customStyle="1" w:styleId="386">
    <w:name w:val="style21"/>
    <w:autoRedefine/>
    <w:qFormat/>
    <w:uiPriority w:val="0"/>
    <w:rPr>
      <w:color w:val="000000"/>
    </w:rPr>
  </w:style>
  <w:style w:type="character" w:customStyle="1" w:styleId="387">
    <w:name w:val="Char Char7"/>
    <w:autoRedefine/>
    <w:qFormat/>
    <w:uiPriority w:val="0"/>
    <w:rPr>
      <w:rFonts w:eastAsia="宋体"/>
      <w:b/>
      <w:bCs/>
      <w:kern w:val="44"/>
      <w:sz w:val="44"/>
      <w:szCs w:val="44"/>
      <w:lang w:val="en-US" w:eastAsia="zh-CN" w:bidi="ar-SA"/>
    </w:rPr>
  </w:style>
  <w:style w:type="character" w:customStyle="1" w:styleId="388">
    <w:name w:val="word3noad"/>
    <w:autoRedefine/>
    <w:qFormat/>
    <w:uiPriority w:val="0"/>
  </w:style>
  <w:style w:type="character" w:customStyle="1" w:styleId="389">
    <w:name w:val="unnamed21"/>
    <w:autoRedefine/>
    <w:qFormat/>
    <w:uiPriority w:val="0"/>
  </w:style>
  <w:style w:type="character" w:customStyle="1" w:styleId="390">
    <w:name w:val="标题 2-xh Char Char"/>
    <w:autoRedefine/>
    <w:qFormat/>
    <w:uiPriority w:val="0"/>
    <w:rPr>
      <w:rFonts w:ascii="Arial" w:hAnsi="Arial" w:eastAsia="黑体"/>
      <w:b/>
      <w:bCs/>
      <w:kern w:val="2"/>
      <w:sz w:val="32"/>
      <w:szCs w:val="32"/>
      <w:lang w:val="en-US" w:eastAsia="zh-CN" w:bidi="ar-SA"/>
    </w:rPr>
  </w:style>
  <w:style w:type="paragraph" w:customStyle="1" w:styleId="391">
    <w:name w:val="表格头"/>
    <w:basedOn w:val="1"/>
    <w:autoRedefine/>
    <w:qFormat/>
    <w:uiPriority w:val="0"/>
    <w:pPr>
      <w:adjustRightInd w:val="0"/>
      <w:spacing w:line="348" w:lineRule="auto"/>
      <w:ind w:firstLine="0" w:firstLineChars="0"/>
      <w:jc w:val="center"/>
    </w:pPr>
    <w:rPr>
      <w:sz w:val="28"/>
    </w:rPr>
  </w:style>
  <w:style w:type="paragraph" w:customStyle="1" w:styleId="392">
    <w:name w:val="Char Char Char"/>
    <w:basedOn w:val="26"/>
    <w:next w:val="5"/>
    <w:autoRedefine/>
    <w:qFormat/>
    <w:uiPriority w:val="0"/>
    <w:pPr>
      <w:shd w:val="clear" w:color="auto" w:fill="000080"/>
      <w:adjustRightInd w:val="0"/>
      <w:spacing w:beforeLines="0" w:afterLines="0" w:line="600" w:lineRule="exact"/>
      <w:ind w:firstLine="0" w:firstLineChars="0"/>
      <w:jc w:val="center"/>
      <w:outlineLvl w:val="2"/>
    </w:pPr>
    <w:rPr>
      <w:rFonts w:ascii="Times New Roman"/>
      <w:sz w:val="21"/>
      <w:szCs w:val="20"/>
    </w:rPr>
  </w:style>
  <w:style w:type="paragraph" w:customStyle="1" w:styleId="393">
    <w:name w:val="列出段落1"/>
    <w:basedOn w:val="1"/>
    <w:autoRedefine/>
    <w:qFormat/>
    <w:uiPriority w:val="0"/>
    <w:pPr>
      <w:snapToGrid/>
      <w:spacing w:line="240" w:lineRule="auto"/>
      <w:ind w:firstLine="420"/>
      <w:jc w:val="both"/>
    </w:pPr>
    <w:rPr>
      <w:rFonts w:ascii="Calibri" w:hAnsi="Calibri"/>
      <w:sz w:val="21"/>
      <w:szCs w:val="22"/>
    </w:rPr>
  </w:style>
  <w:style w:type="paragraph" w:customStyle="1" w:styleId="394">
    <w:name w:val="表格编号"/>
    <w:basedOn w:val="1"/>
    <w:next w:val="1"/>
    <w:link w:val="395"/>
    <w:autoRedefine/>
    <w:qFormat/>
    <w:uiPriority w:val="0"/>
    <w:pPr>
      <w:snapToGrid/>
      <w:spacing w:line="240" w:lineRule="auto"/>
      <w:ind w:firstLine="0" w:firstLineChars="0"/>
      <w:jc w:val="center"/>
    </w:pPr>
    <w:rPr>
      <w:szCs w:val="20"/>
    </w:rPr>
  </w:style>
  <w:style w:type="character" w:customStyle="1" w:styleId="395">
    <w:name w:val="表格编号 Char Char"/>
    <w:link w:val="394"/>
    <w:autoRedefine/>
    <w:qFormat/>
    <w:uiPriority w:val="0"/>
    <w:rPr>
      <w:kern w:val="2"/>
      <w:sz w:val="24"/>
    </w:rPr>
  </w:style>
  <w:style w:type="paragraph" w:customStyle="1" w:styleId="396">
    <w:name w:val="样式 样式 标题 3标题 3 Char Char1.1.1条标3§1.1.1.. (1.1.1)- 3rd Order ...2..."/>
    <w:basedOn w:val="1"/>
    <w:autoRedefine/>
    <w:qFormat/>
    <w:uiPriority w:val="0"/>
    <w:pPr>
      <w:tabs>
        <w:tab w:val="left" w:pos="578"/>
      </w:tabs>
      <w:snapToGrid/>
      <w:spacing w:line="300" w:lineRule="auto"/>
      <w:ind w:firstLine="0" w:firstLineChars="0"/>
      <w:jc w:val="both"/>
      <w:outlineLvl w:val="2"/>
    </w:pPr>
    <w:rPr>
      <w:rFonts w:ascii="Arial" w:hAnsi="Arial Narrow"/>
      <w:b/>
      <w:bCs/>
      <w:kern w:val="0"/>
    </w:rPr>
  </w:style>
  <w:style w:type="paragraph" w:customStyle="1" w:styleId="397">
    <w:name w:val="样式 样式 标题 2_Heading 2标题 2 Char标题21.1标题 21.1节标2可研-标题 2节 Char... + ..."/>
    <w:basedOn w:val="1"/>
    <w:autoRedefine/>
    <w:qFormat/>
    <w:uiPriority w:val="0"/>
    <w:pPr>
      <w:keepNext/>
      <w:tabs>
        <w:tab w:val="left" w:pos="57"/>
      </w:tabs>
      <w:adjustRightInd w:val="0"/>
      <w:spacing w:line="300" w:lineRule="auto"/>
      <w:ind w:firstLine="0" w:firstLineChars="0"/>
      <w:jc w:val="both"/>
      <w:outlineLvl w:val="1"/>
    </w:pPr>
    <w:rPr>
      <w:rFonts w:ascii="Arial" w:hAnsi="Arial"/>
      <w:b/>
      <w:bCs/>
    </w:rPr>
  </w:style>
  <w:style w:type="paragraph" w:customStyle="1" w:styleId="398">
    <w:name w:val="Char Char1 Char"/>
    <w:basedOn w:val="1"/>
    <w:autoRedefine/>
    <w:qFormat/>
    <w:uiPriority w:val="0"/>
    <w:pPr>
      <w:snapToGrid/>
      <w:spacing w:line="240" w:lineRule="auto"/>
      <w:ind w:firstLine="0" w:firstLineChars="0"/>
      <w:jc w:val="both"/>
    </w:pPr>
    <w:rPr>
      <w:sz w:val="21"/>
    </w:rPr>
  </w:style>
  <w:style w:type="paragraph" w:customStyle="1" w:styleId="399">
    <w:name w:val="样式 标题 1 + 小四 非加粗 段前: 6 磅 段后: 6 磅 行距: 最小值 4 磅"/>
    <w:basedOn w:val="3"/>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400">
    <w:name w:val="样式 标题 1 + 小四 段前: 7.8 磅 段后: 7.8 磅 行距: 多倍行距 1.25 字行"/>
    <w:basedOn w:val="3"/>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401">
    <w:name w:val="表格文字缩进"/>
    <w:basedOn w:val="1"/>
    <w:next w:val="1"/>
    <w:autoRedefine/>
    <w:qFormat/>
    <w:uiPriority w:val="0"/>
    <w:pPr>
      <w:snapToGrid/>
      <w:spacing w:line="300" w:lineRule="auto"/>
      <w:ind w:firstLine="420"/>
      <w:jc w:val="center"/>
    </w:pPr>
    <w:rPr>
      <w:color w:val="000000"/>
      <w:kern w:val="0"/>
      <w:sz w:val="21"/>
    </w:rPr>
  </w:style>
  <w:style w:type="paragraph" w:customStyle="1" w:styleId="402">
    <w:name w:val="正文3"/>
    <w:autoRedefine/>
    <w:qFormat/>
    <w:uiPriority w:val="0"/>
    <w:pPr>
      <w:ind w:firstLine="480" w:firstLineChars="200"/>
    </w:pPr>
    <w:rPr>
      <w:rFonts w:ascii="Arial Narrow" w:hAnsi="Arial Narrow" w:eastAsia="宋体" w:cs="Times New Roman"/>
      <w:sz w:val="24"/>
      <w:lang w:val="en-US" w:eastAsia="zh-CN" w:bidi="ar-SA"/>
    </w:rPr>
  </w:style>
  <w:style w:type="paragraph" w:customStyle="1" w:styleId="403">
    <w:name w:val="Tabelle"/>
    <w:basedOn w:val="1"/>
    <w:autoRedefine/>
    <w:qFormat/>
    <w:uiPriority w:val="0"/>
    <w:pPr>
      <w:widowControl/>
      <w:autoSpaceDE w:val="0"/>
      <w:autoSpaceDN w:val="0"/>
      <w:adjustRightInd w:val="0"/>
      <w:snapToGrid/>
      <w:spacing w:line="300" w:lineRule="auto"/>
      <w:ind w:firstLine="0" w:firstLineChars="0"/>
      <w:jc w:val="center"/>
    </w:pPr>
    <w:rPr>
      <w:rFonts w:ascii="Arial" w:hAnsi="Arial"/>
      <w:color w:val="000000"/>
      <w:kern w:val="0"/>
      <w:sz w:val="20"/>
      <w:szCs w:val="20"/>
      <w:lang w:val="en-GB"/>
    </w:rPr>
  </w:style>
  <w:style w:type="paragraph" w:customStyle="1" w:styleId="404">
    <w:name w:val="表格文字左对齐"/>
    <w:basedOn w:val="351"/>
    <w:next w:val="351"/>
    <w:autoRedefine/>
    <w:qFormat/>
    <w:uiPriority w:val="0"/>
    <w:pPr>
      <w:autoSpaceDE/>
      <w:autoSpaceDN/>
      <w:snapToGrid w:val="0"/>
      <w:spacing w:line="300" w:lineRule="auto"/>
      <w:jc w:val="center"/>
    </w:pPr>
    <w:rPr>
      <w:rFonts w:ascii="Arial" w:hAnsi="Arial"/>
      <w:b/>
      <w:w w:val="100"/>
    </w:rPr>
  </w:style>
  <w:style w:type="paragraph" w:customStyle="1" w:styleId="405">
    <w:name w:val="spalten"/>
    <w:basedOn w:val="1"/>
    <w:qFormat/>
    <w:uiPriority w:val="0"/>
    <w:pPr>
      <w:widowControl/>
      <w:tabs>
        <w:tab w:val="left" w:pos="5670"/>
        <w:tab w:val="left" w:pos="7371"/>
      </w:tabs>
      <w:snapToGrid/>
      <w:spacing w:line="300" w:lineRule="auto"/>
      <w:ind w:left="3969" w:hanging="2835" w:firstLineChars="0"/>
    </w:pPr>
    <w:rPr>
      <w:rFonts w:ascii="Arial" w:hAnsi="Arial" w:eastAsia="Times New Roman"/>
      <w:color w:val="000000"/>
      <w:kern w:val="0"/>
      <w:sz w:val="22"/>
      <w:szCs w:val="20"/>
      <w:lang w:val="de-DE"/>
    </w:rPr>
  </w:style>
  <w:style w:type="paragraph" w:customStyle="1" w:styleId="406">
    <w:name w:val="正文首行不缩进"/>
    <w:basedOn w:val="1"/>
    <w:qFormat/>
    <w:uiPriority w:val="0"/>
    <w:pPr>
      <w:keepNext/>
      <w:keepLines/>
      <w:adjustRightInd w:val="0"/>
      <w:ind w:firstLine="0" w:firstLineChars="0"/>
      <w:jc w:val="both"/>
    </w:pPr>
    <w:rPr>
      <w:rFonts w:ascii="Arial Narrow" w:hAnsi="Arial Narrow"/>
      <w:color w:val="000000"/>
      <w:kern w:val="0"/>
      <w:sz w:val="28"/>
    </w:rPr>
  </w:style>
  <w:style w:type="paragraph" w:customStyle="1" w:styleId="407">
    <w:name w:val="目录1"/>
    <w:basedOn w:val="1"/>
    <w:autoRedefine/>
    <w:qFormat/>
    <w:uiPriority w:val="0"/>
    <w:pPr>
      <w:snapToGrid/>
      <w:spacing w:line="300" w:lineRule="auto"/>
      <w:ind w:left="50" w:leftChars="50" w:firstLine="0" w:firstLineChars="0"/>
      <w:jc w:val="both"/>
    </w:pPr>
    <w:rPr>
      <w:rFonts w:ascii="Arial Narrow" w:hAnsi="Arial Narrow" w:eastAsia="仿宋_GB2312"/>
      <w:b/>
      <w:color w:val="000000"/>
      <w:kern w:val="0"/>
    </w:rPr>
  </w:style>
  <w:style w:type="paragraph" w:customStyle="1" w:styleId="408">
    <w:name w:val="样式 五号 行距: 单倍行距 首行缩进:  0.5 字符"/>
    <w:basedOn w:val="1"/>
    <w:autoRedefine/>
    <w:qFormat/>
    <w:uiPriority w:val="0"/>
    <w:pPr>
      <w:snapToGrid/>
      <w:spacing w:line="240" w:lineRule="auto"/>
      <w:ind w:right="147" w:rightChars="147" w:firstLine="50" w:firstLineChars="50"/>
      <w:jc w:val="right"/>
    </w:pPr>
    <w:rPr>
      <w:rFonts w:ascii="Arial Narrow" w:hAnsi="Arial Narrow" w:eastAsia="仿宋_GB2312" w:cs="宋体"/>
      <w:color w:val="000000"/>
      <w:kern w:val="0"/>
      <w:sz w:val="21"/>
      <w:szCs w:val="21"/>
    </w:rPr>
  </w:style>
  <w:style w:type="paragraph" w:customStyle="1" w:styleId="409">
    <w:name w:val="样式 样式 五号 行距: 单倍行距 首行缩进:  0.5 字符 + 首行缩进:  0.5 字符 右侧:  1.47 字符"/>
    <w:basedOn w:val="408"/>
    <w:qFormat/>
    <w:uiPriority w:val="0"/>
    <w:pPr>
      <w:ind w:right="353" w:firstLine="105"/>
      <w:jc w:val="left"/>
    </w:pPr>
    <w:rPr>
      <w:szCs w:val="20"/>
    </w:rPr>
  </w:style>
  <w:style w:type="paragraph" w:customStyle="1" w:styleId="410">
    <w:name w:val="表格文字中对齐"/>
    <w:basedOn w:val="401"/>
    <w:autoRedefine/>
    <w:qFormat/>
    <w:uiPriority w:val="0"/>
    <w:pPr>
      <w:tabs>
        <w:tab w:val="left" w:pos="3780"/>
      </w:tabs>
      <w:adjustRightInd w:val="0"/>
      <w:snapToGrid w:val="0"/>
      <w:ind w:firstLine="0" w:firstLineChars="0"/>
    </w:pPr>
    <w:rPr>
      <w:rFonts w:ascii="Arial" w:hAnsi="Arial" w:cs="Arial"/>
      <w:szCs w:val="20"/>
    </w:rPr>
  </w:style>
  <w:style w:type="paragraph" w:customStyle="1" w:styleId="411">
    <w:name w:val="表格文字两端对齐"/>
    <w:basedOn w:val="401"/>
    <w:autoRedefine/>
    <w:qFormat/>
    <w:uiPriority w:val="0"/>
    <w:pPr>
      <w:ind w:firstLine="0" w:firstLineChars="0"/>
    </w:pPr>
    <w:rPr>
      <w:rFonts w:ascii="Arial Narrow" w:hAnsi="Arial Narrow" w:eastAsia="仿宋_GB2312"/>
    </w:rPr>
  </w:style>
  <w:style w:type="paragraph" w:customStyle="1" w:styleId="412">
    <w:name w:val="封面分册"/>
    <w:basedOn w:val="413"/>
    <w:next w:val="413"/>
    <w:autoRedefine/>
    <w:qFormat/>
    <w:uiPriority w:val="0"/>
    <w:rPr>
      <w:sz w:val="32"/>
    </w:rPr>
  </w:style>
  <w:style w:type="paragraph" w:customStyle="1" w:styleId="413">
    <w:name w:val="封面项目名称"/>
    <w:basedOn w:val="1"/>
    <w:autoRedefine/>
    <w:qFormat/>
    <w:uiPriority w:val="0"/>
    <w:pPr>
      <w:snapToGrid/>
      <w:spacing w:line="300" w:lineRule="auto"/>
      <w:ind w:firstLine="0" w:firstLineChars="0"/>
      <w:jc w:val="center"/>
    </w:pPr>
    <w:rPr>
      <w:rFonts w:eastAsia="仿宋_GB2312"/>
      <w:b/>
      <w:color w:val="000000"/>
      <w:kern w:val="0"/>
      <w:sz w:val="44"/>
    </w:rPr>
  </w:style>
  <w:style w:type="paragraph" w:customStyle="1" w:styleId="414">
    <w:name w:val="封面首行"/>
    <w:basedOn w:val="1"/>
    <w:next w:val="413"/>
    <w:autoRedefine/>
    <w:qFormat/>
    <w:uiPriority w:val="0"/>
    <w:pPr>
      <w:snapToGrid/>
      <w:spacing w:line="300" w:lineRule="auto"/>
      <w:ind w:firstLine="0" w:firstLineChars="0"/>
      <w:jc w:val="both"/>
    </w:pPr>
    <w:rPr>
      <w:rFonts w:eastAsia="仿宋_GB2312"/>
      <w:b/>
      <w:color w:val="000000"/>
      <w:kern w:val="0"/>
    </w:rPr>
  </w:style>
  <w:style w:type="paragraph" w:customStyle="1" w:styleId="415">
    <w:name w:val="表标题"/>
    <w:link w:val="1837"/>
    <w:autoRedefine/>
    <w:qFormat/>
    <w:uiPriority w:val="0"/>
    <w:pPr>
      <w:spacing w:beforeLines="50" w:line="300" w:lineRule="auto"/>
      <w:jc w:val="center"/>
    </w:pPr>
    <w:rPr>
      <w:rFonts w:ascii="Arial Narrow" w:hAnsi="Arial Narrow" w:eastAsia="仿宋_GB2312" w:cs="Times New Roman"/>
      <w:b/>
      <w:bCs/>
      <w:spacing w:val="-4"/>
      <w:sz w:val="24"/>
      <w:szCs w:val="24"/>
      <w:lang w:val="en-US" w:eastAsia="zh-CN" w:bidi="ar-SA"/>
    </w:rPr>
  </w:style>
  <w:style w:type="paragraph" w:customStyle="1" w:styleId="416">
    <w:name w:val="表中字"/>
    <w:autoRedefine/>
    <w:qFormat/>
    <w:uiPriority w:val="0"/>
    <w:pPr>
      <w:widowControl w:val="0"/>
      <w:adjustRightInd w:val="0"/>
      <w:snapToGrid w:val="0"/>
      <w:jc w:val="center"/>
    </w:pPr>
    <w:rPr>
      <w:rFonts w:ascii="Times New Roman" w:hAnsi="Times New Roman" w:eastAsia="宋体" w:cs="Times New Roman"/>
      <w:w w:val="90"/>
      <w:sz w:val="21"/>
      <w:lang w:val="en-US" w:eastAsia="zh-CN" w:bidi="ar-SA"/>
    </w:rPr>
  </w:style>
  <w:style w:type="paragraph" w:customStyle="1" w:styleId="417">
    <w:name w:val="附表名称"/>
    <w:basedOn w:val="45"/>
    <w:autoRedefine/>
    <w:qFormat/>
    <w:uiPriority w:val="0"/>
    <w:pPr>
      <w:snapToGrid w:val="0"/>
      <w:spacing w:beforeLines="0" w:afterLines="0"/>
      <w:ind w:firstLine="0" w:firstLineChars="0"/>
      <w:jc w:val="center"/>
      <w:textAlignment w:val="auto"/>
    </w:pPr>
    <w:rPr>
      <w:rFonts w:ascii="Arial Narrow" w:hAnsi="Arial Narrow" w:eastAsia="黑体" w:cs="Courier New"/>
      <w:color w:val="000000"/>
      <w:kern w:val="0"/>
      <w:sz w:val="28"/>
      <w:szCs w:val="21"/>
    </w:rPr>
  </w:style>
  <w:style w:type="paragraph" w:customStyle="1" w:styleId="418">
    <w:name w:val="样式 样式 样式 五号 行距: 单倍行距 首行缩进:  0.5 字符 + 首行缩进:  0.5 字符 右侧:  1.47 字符 ..."/>
    <w:basedOn w:val="409"/>
    <w:autoRedefine/>
    <w:qFormat/>
    <w:uiPriority w:val="0"/>
    <w:pPr>
      <w:jc w:val="both"/>
    </w:pPr>
  </w:style>
  <w:style w:type="paragraph" w:customStyle="1" w:styleId="419">
    <w:name w:val="xl28"/>
    <w:basedOn w:val="1"/>
    <w:autoRedefine/>
    <w:qFormat/>
    <w:uiPriority w:val="0"/>
    <w:pPr>
      <w:widowControl/>
      <w:pBdr>
        <w:right w:val="single" w:color="auto" w:sz="4" w:space="0"/>
      </w:pBdr>
      <w:snapToGrid/>
      <w:spacing w:beforeAutospacing="1" w:afterAutospacing="1" w:line="240" w:lineRule="auto"/>
      <w:ind w:firstLine="0" w:firstLineChars="0"/>
      <w:jc w:val="both"/>
    </w:pPr>
    <w:rPr>
      <w:rFonts w:ascii="宋体" w:hAnsi="宋体"/>
      <w:color w:val="000000"/>
      <w:kern w:val="0"/>
      <w:sz w:val="21"/>
      <w:szCs w:val="21"/>
    </w:rPr>
  </w:style>
  <w:style w:type="paragraph" w:customStyle="1" w:styleId="420">
    <w:name w:val="标题5"/>
    <w:basedOn w:val="1"/>
    <w:autoRedefine/>
    <w:qFormat/>
    <w:uiPriority w:val="0"/>
    <w:pPr>
      <w:numPr>
        <w:ilvl w:val="0"/>
        <w:numId w:val="3"/>
      </w:numPr>
      <w:tabs>
        <w:tab w:val="left" w:pos="720"/>
        <w:tab w:val="clear" w:pos="1416"/>
      </w:tabs>
      <w:spacing w:line="300" w:lineRule="auto"/>
      <w:ind w:left="720" w:firstLine="0" w:firstLineChars="0"/>
      <w:jc w:val="both"/>
      <w:outlineLvl w:val="2"/>
    </w:pPr>
    <w:rPr>
      <w:rFonts w:ascii="Arial Narrow" w:hAnsi="Arial Narrow" w:eastAsia="仿宋_GB2312"/>
      <w:color w:val="000000"/>
      <w:kern w:val="0"/>
    </w:rPr>
  </w:style>
  <w:style w:type="paragraph" w:customStyle="1" w:styleId="421">
    <w:name w:val="目录2"/>
    <w:basedOn w:val="4"/>
    <w:autoRedefine/>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422">
    <w:name w:val="表字"/>
    <w:basedOn w:val="1"/>
    <w:link w:val="2170"/>
    <w:autoRedefine/>
    <w:qFormat/>
    <w:uiPriority w:val="0"/>
    <w:pPr>
      <w:snapToGrid/>
      <w:spacing w:line="300" w:lineRule="auto"/>
      <w:ind w:firstLine="0" w:firstLineChars="0"/>
      <w:jc w:val="center"/>
    </w:pPr>
    <w:rPr>
      <w:rFonts w:ascii="宋体"/>
      <w:color w:val="000000"/>
      <w:kern w:val="0"/>
      <w:sz w:val="21"/>
      <w:szCs w:val="20"/>
    </w:rPr>
  </w:style>
  <w:style w:type="paragraph" w:customStyle="1" w:styleId="423">
    <w:name w:val="表标"/>
    <w:basedOn w:val="1"/>
    <w:next w:val="358"/>
    <w:autoRedefine/>
    <w:qFormat/>
    <w:uiPriority w:val="0"/>
    <w:pPr>
      <w:tabs>
        <w:tab w:val="left" w:pos="3750"/>
      </w:tabs>
      <w:adjustRightInd w:val="0"/>
      <w:spacing w:line="240" w:lineRule="auto"/>
      <w:ind w:firstLine="561"/>
      <w:jc w:val="center"/>
      <w:textAlignment w:val="baseline"/>
    </w:pPr>
    <w:rPr>
      <w:rFonts w:ascii="楷体_GB2312" w:eastAsia="黑体"/>
      <w:color w:val="000000"/>
      <w:kern w:val="0"/>
      <w:sz w:val="28"/>
      <w:szCs w:val="20"/>
    </w:rPr>
  </w:style>
  <w:style w:type="paragraph" w:customStyle="1" w:styleId="424">
    <w:name w:val="正文首行缩进2字"/>
    <w:basedOn w:val="1"/>
    <w:autoRedefine/>
    <w:qFormat/>
    <w:uiPriority w:val="0"/>
    <w:pPr>
      <w:keepNext/>
      <w:keepLines/>
      <w:adjustRightInd w:val="0"/>
      <w:ind w:firstLine="563" w:firstLineChars="201"/>
      <w:jc w:val="both"/>
    </w:pPr>
    <w:rPr>
      <w:rFonts w:ascii="Arial Narrow" w:hAnsi="Arial Narrow"/>
      <w:sz w:val="28"/>
    </w:rPr>
  </w:style>
  <w:style w:type="paragraph" w:customStyle="1" w:styleId="425">
    <w:name w:val="封面大标题"/>
    <w:basedOn w:val="413"/>
    <w:next w:val="413"/>
    <w:autoRedefine/>
    <w:qFormat/>
    <w:uiPriority w:val="0"/>
    <w:rPr>
      <w:rFonts w:eastAsia="宋体"/>
      <w:b w:val="0"/>
      <w:color w:val="auto"/>
      <w:spacing w:val="100"/>
      <w:kern w:val="2"/>
      <w:sz w:val="52"/>
    </w:rPr>
  </w:style>
  <w:style w:type="paragraph" w:customStyle="1" w:styleId="426">
    <w:name w:val="表格表头"/>
    <w:basedOn w:val="401"/>
    <w:next w:val="401"/>
    <w:autoRedefine/>
    <w:qFormat/>
    <w:uiPriority w:val="0"/>
    <w:pPr>
      <w:keepNext/>
      <w:keepLines/>
      <w:ind w:firstLine="2" w:firstLineChars="0"/>
    </w:pPr>
    <w:rPr>
      <w:b/>
      <w:color w:val="auto"/>
      <w:kern w:val="2"/>
    </w:rPr>
  </w:style>
  <w:style w:type="paragraph" w:customStyle="1" w:styleId="427">
    <w:name w:val="表格文字右对齐"/>
    <w:basedOn w:val="401"/>
    <w:autoRedefine/>
    <w:qFormat/>
    <w:uiPriority w:val="0"/>
    <w:pPr>
      <w:ind w:firstLine="0" w:firstLineChars="0"/>
      <w:jc w:val="right"/>
    </w:pPr>
    <w:rPr>
      <w:color w:val="auto"/>
      <w:kern w:val="2"/>
    </w:rPr>
  </w:style>
  <w:style w:type="paragraph" w:customStyle="1" w:styleId="428">
    <w:name w:val="表格文字分散对齐"/>
    <w:basedOn w:val="401"/>
    <w:autoRedefine/>
    <w:qFormat/>
    <w:uiPriority w:val="0"/>
    <w:pPr>
      <w:ind w:firstLine="0" w:firstLineChars="0"/>
      <w:jc w:val="distribute"/>
    </w:pPr>
    <w:rPr>
      <w:color w:val="auto"/>
      <w:kern w:val="2"/>
    </w:rPr>
  </w:style>
  <w:style w:type="paragraph" w:customStyle="1" w:styleId="429">
    <w:name w:val="表格文字自调"/>
    <w:basedOn w:val="45"/>
    <w:autoRedefine/>
    <w:qFormat/>
    <w:uiPriority w:val="0"/>
    <w:pPr>
      <w:adjustRightInd/>
      <w:spacing w:beforeLines="0" w:afterLines="0" w:line="300" w:lineRule="auto"/>
      <w:ind w:firstLine="0" w:firstLineChars="0"/>
      <w:jc w:val="both"/>
      <w:textAlignment w:val="auto"/>
    </w:pPr>
    <w:rPr>
      <w:rFonts w:ascii="Times New Roman" w:hAnsi="Times New Roman" w:cs="Courier New"/>
      <w:sz w:val="21"/>
      <w:szCs w:val="21"/>
    </w:rPr>
  </w:style>
  <w:style w:type="paragraph" w:customStyle="1" w:styleId="430">
    <w:name w:val="封面公司名称"/>
    <w:basedOn w:val="1"/>
    <w:autoRedefine/>
    <w:qFormat/>
    <w:uiPriority w:val="0"/>
    <w:pPr>
      <w:adjustRightInd w:val="0"/>
      <w:spacing w:line="300" w:lineRule="auto"/>
      <w:ind w:firstLine="0" w:firstLineChars="0"/>
      <w:jc w:val="center"/>
    </w:pPr>
    <w:rPr>
      <w:rFonts w:ascii="Arial Narrow" w:hAnsi="Arial Narrow" w:eastAsia="黑体"/>
      <w:sz w:val="32"/>
    </w:rPr>
  </w:style>
  <w:style w:type="paragraph" w:customStyle="1" w:styleId="431">
    <w:name w:val="附表编号"/>
    <w:basedOn w:val="1"/>
    <w:autoRedefine/>
    <w:qFormat/>
    <w:uiPriority w:val="0"/>
    <w:pPr>
      <w:adjustRightInd w:val="0"/>
      <w:ind w:firstLine="0" w:firstLineChars="0"/>
      <w:jc w:val="both"/>
    </w:pPr>
    <w:rPr>
      <w:rFonts w:ascii="Arial Narrow" w:hAnsi="Arial Narrow" w:eastAsia="黑体"/>
      <w:sz w:val="28"/>
    </w:rPr>
  </w:style>
  <w:style w:type="paragraph" w:customStyle="1" w:styleId="432">
    <w:name w:val="ÕýÎÄ"/>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433">
    <w:name w:val="font5"/>
    <w:basedOn w:val="1"/>
    <w:autoRedefine/>
    <w:qFormat/>
    <w:uiPriority w:val="0"/>
    <w:pPr>
      <w:widowControl/>
      <w:snapToGrid/>
      <w:spacing w:beforeAutospacing="1" w:afterAutospacing="1" w:line="300" w:lineRule="auto"/>
      <w:ind w:firstLine="0" w:firstLineChars="0"/>
    </w:pPr>
    <w:rPr>
      <w:rFonts w:hint="eastAsia" w:ascii="宋体" w:hAnsi="宋体" w:cs="Arial Unicode MS"/>
      <w:kern w:val="0"/>
      <w:sz w:val="18"/>
      <w:szCs w:val="18"/>
    </w:rPr>
  </w:style>
  <w:style w:type="paragraph" w:customStyle="1" w:styleId="434">
    <w:name w:val="font6"/>
    <w:basedOn w:val="1"/>
    <w:autoRedefine/>
    <w:qFormat/>
    <w:uiPriority w:val="0"/>
    <w:pPr>
      <w:widowControl/>
      <w:snapToGrid/>
      <w:spacing w:beforeAutospacing="1" w:afterAutospacing="1" w:line="300" w:lineRule="auto"/>
      <w:ind w:firstLine="0" w:firstLineChars="0"/>
    </w:pPr>
    <w:rPr>
      <w:rFonts w:eastAsia="Arial Unicode MS"/>
      <w:kern w:val="0"/>
      <w:sz w:val="20"/>
      <w:szCs w:val="20"/>
    </w:rPr>
  </w:style>
  <w:style w:type="paragraph" w:customStyle="1" w:styleId="435">
    <w:name w:val="font7"/>
    <w:basedOn w:val="1"/>
    <w:autoRedefine/>
    <w:qFormat/>
    <w:uiPriority w:val="0"/>
    <w:pPr>
      <w:widowControl/>
      <w:snapToGrid/>
      <w:spacing w:beforeAutospacing="1" w:afterAutospacing="1" w:line="300" w:lineRule="auto"/>
      <w:ind w:firstLine="0" w:firstLineChars="0"/>
    </w:pPr>
    <w:rPr>
      <w:rFonts w:hint="eastAsia" w:ascii="宋体" w:hAnsi="宋体" w:cs="Arial Unicode MS"/>
      <w:color w:val="000000"/>
      <w:kern w:val="0"/>
      <w:sz w:val="20"/>
      <w:szCs w:val="20"/>
    </w:rPr>
  </w:style>
  <w:style w:type="paragraph" w:customStyle="1" w:styleId="436">
    <w:name w:val="font8"/>
    <w:basedOn w:val="1"/>
    <w:autoRedefine/>
    <w:qFormat/>
    <w:uiPriority w:val="0"/>
    <w:pPr>
      <w:widowControl/>
      <w:snapToGrid/>
      <w:spacing w:beforeAutospacing="1" w:afterAutospacing="1" w:line="300" w:lineRule="auto"/>
      <w:ind w:firstLine="0" w:firstLineChars="0"/>
    </w:pPr>
    <w:rPr>
      <w:rFonts w:hint="eastAsia" w:ascii="楷体_GB2312" w:hAnsi="Arial Unicode MS" w:eastAsia="楷体_GB2312" w:cs="Arial Unicode MS"/>
      <w:kern w:val="0"/>
      <w:sz w:val="20"/>
      <w:szCs w:val="20"/>
    </w:rPr>
  </w:style>
  <w:style w:type="paragraph" w:customStyle="1" w:styleId="437">
    <w:name w:val="xl26"/>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300" w:lineRule="auto"/>
      <w:ind w:firstLine="0" w:firstLineChars="0"/>
    </w:pPr>
    <w:rPr>
      <w:rFonts w:eastAsia="Arial Unicode MS"/>
      <w:color w:val="000000"/>
      <w:kern w:val="0"/>
      <w:sz w:val="20"/>
      <w:szCs w:val="20"/>
    </w:rPr>
  </w:style>
  <w:style w:type="paragraph" w:customStyle="1" w:styleId="438">
    <w:name w:val="xl27"/>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300" w:lineRule="auto"/>
      <w:ind w:firstLine="0" w:firstLineChars="0"/>
    </w:pPr>
    <w:rPr>
      <w:rFonts w:ascii="Arial Unicode MS" w:hAnsi="Arial Unicode MS" w:eastAsia="Arial Unicode MS" w:cs="Arial Unicode MS"/>
      <w:color w:val="000000"/>
      <w:kern w:val="0"/>
      <w:sz w:val="20"/>
      <w:szCs w:val="20"/>
    </w:rPr>
  </w:style>
  <w:style w:type="paragraph" w:customStyle="1" w:styleId="439">
    <w:name w:val="xl29"/>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300" w:lineRule="auto"/>
      <w:ind w:firstLine="0" w:firstLineChars="0"/>
      <w:jc w:val="center"/>
    </w:pPr>
    <w:rPr>
      <w:rFonts w:hint="eastAsia" w:ascii="楷体_GB2312" w:hAnsi="Arial Unicode MS" w:eastAsia="楷体_GB2312" w:cs="Arial Unicode MS"/>
      <w:kern w:val="0"/>
      <w:sz w:val="20"/>
      <w:szCs w:val="20"/>
    </w:rPr>
  </w:style>
  <w:style w:type="paragraph" w:customStyle="1" w:styleId="440">
    <w:name w:val="xl30"/>
    <w:basedOn w:val="1"/>
    <w:autoRedefine/>
    <w:qFormat/>
    <w:uiPriority w:val="0"/>
    <w:pPr>
      <w:widowControl/>
      <w:pBdr>
        <w:top w:val="single" w:color="auto" w:sz="4" w:space="0"/>
        <w:bottom w:val="single" w:color="auto" w:sz="4" w:space="0"/>
        <w:right w:val="single" w:color="auto" w:sz="4" w:space="0"/>
      </w:pBdr>
      <w:snapToGrid/>
      <w:spacing w:beforeAutospacing="1" w:afterAutospacing="1" w:line="300" w:lineRule="auto"/>
      <w:ind w:firstLine="0" w:firstLineChars="0"/>
      <w:jc w:val="center"/>
    </w:pPr>
    <w:rPr>
      <w:rFonts w:hint="eastAsia" w:ascii="楷体_GB2312" w:hAnsi="Arial Unicode MS" w:eastAsia="楷体_GB2312" w:cs="Arial Unicode MS"/>
      <w:kern w:val="0"/>
      <w:sz w:val="20"/>
      <w:szCs w:val="20"/>
    </w:rPr>
  </w:style>
  <w:style w:type="paragraph" w:customStyle="1" w:styleId="441">
    <w:name w:val="xl3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ascii="Arial Unicode MS" w:hAnsi="Arial Unicode MS" w:eastAsia="Arial Unicode MS" w:cs="Arial Unicode MS"/>
      <w:kern w:val="0"/>
      <w:sz w:val="20"/>
      <w:szCs w:val="20"/>
    </w:rPr>
  </w:style>
  <w:style w:type="paragraph" w:customStyle="1" w:styleId="442">
    <w:name w:val="xl32"/>
    <w:basedOn w:val="1"/>
    <w:autoRedefine/>
    <w:qFormat/>
    <w:uiPriority w:val="0"/>
    <w:pPr>
      <w:widowControl/>
      <w:pBdr>
        <w:top w:val="single" w:color="auto" w:sz="4" w:space="0"/>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ascii="Arial Unicode MS" w:hAnsi="Arial Unicode MS" w:eastAsia="Arial Unicode MS" w:cs="Arial Unicode MS"/>
      <w:kern w:val="0"/>
      <w:sz w:val="20"/>
      <w:szCs w:val="20"/>
    </w:rPr>
  </w:style>
  <w:style w:type="paragraph" w:customStyle="1" w:styleId="443">
    <w:name w:val="xl33"/>
    <w:basedOn w:val="1"/>
    <w:autoRedefine/>
    <w:qFormat/>
    <w:uiPriority w:val="0"/>
    <w:pPr>
      <w:widowControl/>
      <w:pBdr>
        <w:top w:val="single" w:color="auto" w:sz="4" w:space="0"/>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hint="eastAsia" w:ascii="楷体_GB2312" w:hAnsi="Arial Unicode MS" w:eastAsia="楷体_GB2312" w:cs="Arial Unicode MS"/>
      <w:kern w:val="0"/>
      <w:sz w:val="20"/>
      <w:szCs w:val="20"/>
    </w:rPr>
  </w:style>
  <w:style w:type="paragraph" w:customStyle="1" w:styleId="444">
    <w:name w:val="xl34"/>
    <w:basedOn w:val="1"/>
    <w:autoRedefine/>
    <w:qFormat/>
    <w:uiPriority w:val="0"/>
    <w:pPr>
      <w:widowControl/>
      <w:pBdr>
        <w:top w:val="single" w:color="auto" w:sz="4" w:space="0"/>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eastAsia="Arial Unicode MS"/>
      <w:kern w:val="0"/>
      <w:sz w:val="20"/>
      <w:szCs w:val="20"/>
    </w:rPr>
  </w:style>
  <w:style w:type="paragraph" w:customStyle="1" w:styleId="445">
    <w:name w:val="xl35"/>
    <w:basedOn w:val="1"/>
    <w:autoRedefine/>
    <w:qFormat/>
    <w:uiPriority w:val="0"/>
    <w:pPr>
      <w:widowControl/>
      <w:pBdr>
        <w:top w:val="single" w:color="auto" w:sz="4" w:space="0"/>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eastAsia="Arial Unicode MS"/>
      <w:kern w:val="0"/>
      <w:sz w:val="20"/>
      <w:szCs w:val="20"/>
    </w:rPr>
  </w:style>
  <w:style w:type="paragraph" w:customStyle="1" w:styleId="446">
    <w:name w:val="xl37"/>
    <w:basedOn w:val="1"/>
    <w:autoRedefine/>
    <w:qFormat/>
    <w:uiPriority w:val="0"/>
    <w:pPr>
      <w:widowControl/>
      <w:pBdr>
        <w:bottom w:val="single" w:color="auto" w:sz="4" w:space="0"/>
        <w:right w:val="single" w:color="auto" w:sz="4" w:space="0"/>
      </w:pBdr>
      <w:snapToGrid/>
      <w:spacing w:beforeAutospacing="1" w:afterAutospacing="1" w:line="300" w:lineRule="auto"/>
      <w:ind w:firstLine="0" w:firstLineChars="0"/>
      <w:jc w:val="center"/>
    </w:pPr>
    <w:rPr>
      <w:rFonts w:eastAsia="Arial Unicode MS"/>
      <w:kern w:val="0"/>
      <w:sz w:val="20"/>
      <w:szCs w:val="20"/>
    </w:rPr>
  </w:style>
  <w:style w:type="paragraph" w:customStyle="1" w:styleId="447">
    <w:name w:val="xl38"/>
    <w:basedOn w:val="1"/>
    <w:autoRedefine/>
    <w:qFormat/>
    <w:uiPriority w:val="0"/>
    <w:pPr>
      <w:widowControl/>
      <w:pBdr>
        <w:top w:val="single" w:color="auto" w:sz="4" w:space="0"/>
        <w:bottom w:val="single" w:color="auto" w:sz="4" w:space="0"/>
        <w:right w:val="single" w:color="auto" w:sz="4" w:space="0"/>
      </w:pBdr>
      <w:snapToGrid/>
      <w:spacing w:beforeAutospacing="1" w:afterAutospacing="1" w:line="300" w:lineRule="auto"/>
      <w:ind w:firstLine="0" w:firstLineChars="0"/>
      <w:jc w:val="center"/>
    </w:pPr>
    <w:rPr>
      <w:rFonts w:eastAsia="Arial Unicode MS"/>
      <w:kern w:val="0"/>
      <w:sz w:val="20"/>
      <w:szCs w:val="20"/>
    </w:rPr>
  </w:style>
  <w:style w:type="paragraph" w:customStyle="1" w:styleId="448">
    <w:name w:val="xl39"/>
    <w:basedOn w:val="1"/>
    <w:autoRedefine/>
    <w:qFormat/>
    <w:uiPriority w:val="0"/>
    <w:pPr>
      <w:widowControl/>
      <w:pBdr>
        <w:left w:val="single" w:color="auto" w:sz="4" w:space="0"/>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ascii="Arial Unicode MS" w:hAnsi="Arial Unicode MS" w:eastAsia="Arial Unicode MS" w:cs="Arial Unicode MS"/>
      <w:kern w:val="0"/>
      <w:sz w:val="20"/>
      <w:szCs w:val="20"/>
    </w:rPr>
  </w:style>
  <w:style w:type="paragraph" w:customStyle="1" w:styleId="449">
    <w:name w:val="xl41"/>
    <w:basedOn w:val="1"/>
    <w:autoRedefine/>
    <w:qFormat/>
    <w:uiPriority w:val="0"/>
    <w:pPr>
      <w:widowControl/>
      <w:pBdr>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hint="eastAsia" w:ascii="楷体_GB2312" w:hAnsi="Arial Unicode MS" w:eastAsia="楷体_GB2312" w:cs="Arial Unicode MS"/>
      <w:kern w:val="0"/>
      <w:sz w:val="20"/>
      <w:szCs w:val="20"/>
    </w:rPr>
  </w:style>
  <w:style w:type="paragraph" w:customStyle="1" w:styleId="450">
    <w:name w:val="xl42"/>
    <w:basedOn w:val="1"/>
    <w:autoRedefine/>
    <w:qFormat/>
    <w:uiPriority w:val="0"/>
    <w:pPr>
      <w:widowControl/>
      <w:pBdr>
        <w:bottom w:val="single" w:color="auto" w:sz="4" w:space="0"/>
        <w:right w:val="single" w:color="auto" w:sz="4" w:space="0"/>
      </w:pBdr>
      <w:shd w:val="clear" w:color="auto" w:fill="99CC00"/>
      <w:snapToGrid/>
      <w:spacing w:beforeAutospacing="1" w:afterAutospacing="1" w:line="300" w:lineRule="auto"/>
      <w:ind w:firstLine="0" w:firstLineChars="0"/>
      <w:jc w:val="center"/>
    </w:pPr>
    <w:rPr>
      <w:rFonts w:eastAsia="Arial Unicode MS"/>
      <w:kern w:val="0"/>
      <w:sz w:val="20"/>
      <w:szCs w:val="20"/>
    </w:rPr>
  </w:style>
  <w:style w:type="paragraph" w:customStyle="1" w:styleId="451">
    <w:name w:val="xl43"/>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300" w:lineRule="auto"/>
      <w:ind w:firstLine="0" w:firstLineChars="0"/>
      <w:jc w:val="center"/>
    </w:pPr>
    <w:rPr>
      <w:rFonts w:eastAsia="Arial Unicode MS"/>
      <w:kern w:val="0"/>
      <w:sz w:val="20"/>
      <w:szCs w:val="20"/>
    </w:rPr>
  </w:style>
  <w:style w:type="paragraph" w:customStyle="1" w:styleId="452">
    <w:name w:val="注"/>
    <w:basedOn w:val="1"/>
    <w:next w:val="1"/>
    <w:autoRedefine/>
    <w:qFormat/>
    <w:uiPriority w:val="0"/>
    <w:pPr>
      <w:widowControl/>
      <w:tabs>
        <w:tab w:val="left" w:pos="540"/>
        <w:tab w:val="left" w:pos="600"/>
        <w:tab w:val="left" w:pos="720"/>
        <w:tab w:val="left" w:pos="1200"/>
        <w:tab w:val="left" w:pos="1440"/>
        <w:tab w:val="left" w:pos="2448"/>
        <w:tab w:val="left" w:pos="3000"/>
        <w:tab w:val="left" w:pos="3888"/>
        <w:tab w:val="left" w:pos="4800"/>
        <w:tab w:val="left" w:pos="5883"/>
        <w:tab w:val="left" w:pos="6300"/>
        <w:tab w:val="left" w:pos="7353"/>
        <w:tab w:val="left" w:pos="8613"/>
      </w:tabs>
      <w:autoSpaceDE w:val="0"/>
      <w:autoSpaceDN w:val="0"/>
      <w:adjustRightInd w:val="0"/>
      <w:spacing w:line="312" w:lineRule="auto"/>
      <w:ind w:firstLine="0" w:firstLineChars="0"/>
    </w:pPr>
    <w:rPr>
      <w:rFonts w:ascii="宋体" w:hAnsi="宋体" w:eastAsia="黑体"/>
      <w:bCs/>
      <w:spacing w:val="6"/>
      <w:kern w:val="0"/>
      <w:sz w:val="28"/>
      <w:szCs w:val="20"/>
    </w:rPr>
  </w:style>
  <w:style w:type="paragraph" w:customStyle="1" w:styleId="453">
    <w:name w:val="样式10"/>
    <w:basedOn w:val="74"/>
    <w:next w:val="1"/>
    <w:link w:val="1333"/>
    <w:autoRedefine/>
    <w:qFormat/>
    <w:uiPriority w:val="0"/>
    <w:pPr>
      <w:tabs>
        <w:tab w:val="left" w:pos="540"/>
        <w:tab w:val="left" w:pos="1008"/>
        <w:tab w:val="right" w:leader="middleDot" w:pos="8296"/>
        <w:tab w:val="right" w:leader="dot" w:pos="8493"/>
        <w:tab w:val="right" w:leader="dot" w:pos="8777"/>
        <w:tab w:val="right" w:leader="dot" w:pos="9061"/>
        <w:tab w:val="clear" w:pos="9060"/>
      </w:tabs>
      <w:kinsoku w:val="0"/>
      <w:overflowPunct w:val="0"/>
      <w:autoSpaceDE w:val="0"/>
      <w:autoSpaceDN w:val="0"/>
      <w:adjustRightInd w:val="0"/>
      <w:snapToGrid w:val="0"/>
      <w:spacing w:beforeLines="0" w:afterLines="0" w:line="300" w:lineRule="auto"/>
      <w:ind w:firstLine="0" w:firstLineChars="0"/>
      <w:jc w:val="center"/>
    </w:pPr>
    <w:rPr>
      <w:rFonts w:ascii="黑体" w:hAnsi="Arial" w:cs="Arial"/>
      <w:bCs/>
      <w:smallCaps w:val="0"/>
      <w:color w:val="000000"/>
      <w:spacing w:val="6"/>
      <w:sz w:val="52"/>
      <w:szCs w:val="28"/>
    </w:rPr>
  </w:style>
  <w:style w:type="paragraph" w:customStyle="1" w:styleId="454">
    <w:name w:val="单级编号"/>
    <w:basedOn w:val="1"/>
    <w:autoRedefine/>
    <w:qFormat/>
    <w:uiPriority w:val="0"/>
    <w:pPr>
      <w:keepNext/>
      <w:tabs>
        <w:tab w:val="left" w:pos="830"/>
      </w:tabs>
      <w:snapToGrid/>
      <w:spacing w:line="300" w:lineRule="auto"/>
      <w:ind w:left="830" w:hanging="830" w:firstLineChars="0"/>
      <w:jc w:val="both"/>
    </w:pPr>
    <w:rPr>
      <w:rFonts w:ascii="Arial Narrow" w:hAnsi="Arial Narrow" w:eastAsia="仿宋_GB2312"/>
      <w:szCs w:val="28"/>
    </w:rPr>
  </w:style>
  <w:style w:type="paragraph" w:customStyle="1" w:styleId="455">
    <w:name w:val="页码章节"/>
    <w:basedOn w:val="3"/>
    <w:next w:val="1"/>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456">
    <w:name w:val="表1"/>
    <w:basedOn w:val="358"/>
    <w:link w:val="2737"/>
    <w:autoRedefine/>
    <w:qFormat/>
    <w:uiPriority w:val="0"/>
    <w:pPr>
      <w:widowControl/>
      <w:snapToGrid w:val="0"/>
      <w:spacing w:line="240" w:lineRule="auto"/>
      <w:jc w:val="center"/>
      <w:textAlignment w:val="auto"/>
    </w:pPr>
    <w:rPr>
      <w:rFonts w:eastAsia="宋体"/>
      <w:spacing w:val="0"/>
      <w:kern w:val="0"/>
    </w:rPr>
  </w:style>
  <w:style w:type="paragraph" w:customStyle="1" w:styleId="457">
    <w:name w:val="表内字一"/>
    <w:basedOn w:val="351"/>
    <w:autoRedefine/>
    <w:qFormat/>
    <w:uiPriority w:val="0"/>
    <w:pPr>
      <w:autoSpaceDE/>
      <w:autoSpaceDN/>
      <w:adjustRightInd/>
      <w:snapToGrid w:val="0"/>
      <w:spacing w:line="300" w:lineRule="auto"/>
      <w:ind w:left="-105" w:right="-29"/>
      <w:jc w:val="center"/>
      <w:textAlignment w:val="baseline"/>
    </w:pPr>
    <w:rPr>
      <w:rFonts w:ascii="Arial" w:hAnsi="Arial"/>
      <w:w w:val="100"/>
      <w:kern w:val="11"/>
      <w:szCs w:val="20"/>
    </w:rPr>
  </w:style>
  <w:style w:type="paragraph" w:customStyle="1" w:styleId="458">
    <w:name w:val="xl61"/>
    <w:basedOn w:val="1"/>
    <w:autoRedefine/>
    <w:qFormat/>
    <w:uiPriority w:val="0"/>
    <w:pPr>
      <w:widowControl/>
      <w:pBdr>
        <w:left w:val="single" w:color="auto" w:sz="8" w:space="0"/>
        <w:bottom w:val="single" w:color="auto" w:sz="4" w:space="0"/>
        <w:right w:val="single" w:color="auto" w:sz="8" w:space="0"/>
      </w:pBdr>
      <w:snapToGrid/>
      <w:spacing w:beforeAutospacing="1" w:afterAutospacing="1" w:line="240" w:lineRule="auto"/>
      <w:ind w:firstLine="0" w:firstLineChars="0"/>
      <w:jc w:val="center"/>
    </w:pPr>
    <w:rPr>
      <w:rFonts w:ascii="Arial Unicode MS" w:hAnsi="Arial Unicode MS" w:eastAsia="Arial Unicode MS" w:cs="Arial Unicode MS"/>
      <w:kern w:val="0"/>
      <w:sz w:val="18"/>
      <w:szCs w:val="18"/>
    </w:rPr>
  </w:style>
  <w:style w:type="paragraph" w:customStyle="1" w:styleId="459">
    <w:name w:val="样式 样式 标题 2 + 段前: 0.5 行 段后: 0.5 行 + 段前: 0.5 行 段后: 0.5 行"/>
    <w:basedOn w:val="1"/>
    <w:autoRedefine/>
    <w:qFormat/>
    <w:uiPriority w:val="0"/>
    <w:pPr>
      <w:adjustRightInd w:val="0"/>
      <w:spacing w:beforeLines="50" w:afterLines="50" w:line="300" w:lineRule="auto"/>
      <w:ind w:firstLine="0" w:firstLineChars="0"/>
      <w:outlineLvl w:val="1"/>
    </w:pPr>
    <w:rPr>
      <w:rFonts w:ascii="Arial Narrow" w:hAnsi="Arial Narrow" w:eastAsia="仿宋_GB2312"/>
      <w:b/>
      <w:bCs/>
      <w:kern w:val="0"/>
      <w:szCs w:val="20"/>
    </w:rPr>
  </w:style>
  <w:style w:type="paragraph" w:customStyle="1" w:styleId="460">
    <w:name w:val="xl79"/>
    <w:basedOn w:val="1"/>
    <w:autoRedefine/>
    <w:qFormat/>
    <w:uiPriority w:val="0"/>
    <w:pPr>
      <w:widowControl/>
      <w:pBdr>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rFonts w:hint="eastAsia" w:ascii="楷体_GB2312" w:hAnsi="Arial Unicode MS" w:eastAsia="楷体_GB2312"/>
      <w:b/>
      <w:bCs/>
      <w:kern w:val="0"/>
    </w:rPr>
  </w:style>
  <w:style w:type="paragraph" w:customStyle="1" w:styleId="461">
    <w:name w:val="正文首行缩进1"/>
    <w:basedOn w:val="87"/>
    <w:next w:val="1"/>
    <w:link w:val="2899"/>
    <w:autoRedefine/>
    <w:qFormat/>
    <w:uiPriority w:val="0"/>
    <w:pPr>
      <w:tabs>
        <w:tab w:val="left" w:pos="540"/>
        <w:tab w:val="left" w:pos="1440"/>
        <w:tab w:val="left" w:pos="2448"/>
        <w:tab w:val="left" w:pos="3000"/>
        <w:tab w:val="left" w:pos="3888"/>
        <w:tab w:val="left" w:pos="4800"/>
        <w:tab w:val="left" w:pos="5040"/>
        <w:tab w:val="left" w:pos="5883"/>
        <w:tab w:val="left" w:pos="6300"/>
        <w:tab w:val="left" w:pos="7353"/>
        <w:tab w:val="left" w:pos="8613"/>
      </w:tabs>
      <w:autoSpaceDE w:val="0"/>
      <w:autoSpaceDN w:val="0"/>
      <w:adjustRightInd w:val="0"/>
      <w:snapToGrid w:val="0"/>
      <w:spacing w:after="0"/>
      <w:ind w:firstLine="561"/>
      <w:textAlignment w:val="baseline"/>
    </w:pPr>
    <w:rPr>
      <w:rFonts w:ascii="Times New Roman" w:hAnsi="Times New Roman" w:eastAsia="宋体"/>
      <w:kern w:val="0"/>
      <w:sz w:val="28"/>
    </w:rPr>
  </w:style>
  <w:style w:type="paragraph" w:customStyle="1" w:styleId="462">
    <w:name w:val="批注框文本1"/>
    <w:basedOn w:val="1"/>
    <w:autoRedefine/>
    <w:semiHidden/>
    <w:qFormat/>
    <w:uiPriority w:val="0"/>
    <w:pPr>
      <w:snapToGrid/>
      <w:spacing w:line="300" w:lineRule="auto"/>
      <w:ind w:firstLine="0" w:firstLineChars="0"/>
      <w:jc w:val="both"/>
    </w:pPr>
    <w:rPr>
      <w:rFonts w:ascii="Arial Narrow" w:hAnsi="Arial Narrow" w:eastAsia="仿宋_GB2312"/>
      <w:sz w:val="18"/>
      <w:szCs w:val="18"/>
    </w:rPr>
  </w:style>
  <w:style w:type="character" w:customStyle="1" w:styleId="463">
    <w:name w:val="style141"/>
    <w:autoRedefine/>
    <w:qFormat/>
    <w:uiPriority w:val="0"/>
    <w:rPr>
      <w:rFonts w:ascii="Verdana" w:hAnsi="Verdana" w:eastAsia="宋体"/>
      <w:color w:val="666666"/>
      <w:lang w:val="en-US" w:eastAsia="en-US" w:bidi="ar-SA"/>
    </w:rPr>
  </w:style>
  <w:style w:type="paragraph" w:customStyle="1" w:styleId="464">
    <w:name w:val="text"/>
    <w:basedOn w:val="1"/>
    <w:autoRedefine/>
    <w:qFormat/>
    <w:uiPriority w:val="0"/>
    <w:pPr>
      <w:widowControl/>
      <w:snapToGrid/>
      <w:spacing w:beforeAutospacing="1" w:afterAutospacing="1" w:line="300" w:lineRule="atLeast"/>
      <w:ind w:firstLine="0" w:firstLineChars="0"/>
    </w:pPr>
    <w:rPr>
      <w:rFonts w:ascii="Arial Unicode MS" w:hAnsi="Arial Unicode MS" w:eastAsia="Arial Unicode MS" w:cs="Arial Unicode MS"/>
      <w:kern w:val="0"/>
      <w:sz w:val="18"/>
      <w:szCs w:val="18"/>
    </w:rPr>
  </w:style>
  <w:style w:type="character" w:customStyle="1" w:styleId="465">
    <w:name w:val="text3"/>
    <w:autoRedefine/>
    <w:qFormat/>
    <w:uiPriority w:val="0"/>
    <w:rPr>
      <w:rFonts w:ascii="Verdana" w:hAnsi="Verdana" w:eastAsia="宋体"/>
      <w:sz w:val="18"/>
      <w:szCs w:val="18"/>
      <w:lang w:val="en-US" w:eastAsia="en-US" w:bidi="ar-SA"/>
    </w:rPr>
  </w:style>
  <w:style w:type="paragraph" w:customStyle="1" w:styleId="466">
    <w:name w:val="font9"/>
    <w:basedOn w:val="1"/>
    <w:autoRedefine/>
    <w:qFormat/>
    <w:uiPriority w:val="0"/>
    <w:pPr>
      <w:widowControl/>
      <w:snapToGrid/>
      <w:spacing w:beforeAutospacing="1" w:afterAutospacing="1" w:line="240" w:lineRule="auto"/>
      <w:ind w:firstLine="0" w:firstLineChars="0"/>
    </w:pPr>
    <w:rPr>
      <w:rFonts w:ascii="Arial Narrow" w:hAnsi="Arial Narrow" w:eastAsia="Arial Unicode MS" w:cs="Arial Unicode MS"/>
      <w:kern w:val="0"/>
      <w:sz w:val="21"/>
      <w:szCs w:val="21"/>
    </w:rPr>
  </w:style>
  <w:style w:type="paragraph" w:customStyle="1" w:styleId="467">
    <w:name w:val="font10"/>
    <w:basedOn w:val="1"/>
    <w:autoRedefine/>
    <w:qFormat/>
    <w:uiPriority w:val="0"/>
    <w:pPr>
      <w:widowControl/>
      <w:snapToGrid/>
      <w:spacing w:beforeAutospacing="1" w:afterAutospacing="1" w:line="240" w:lineRule="auto"/>
      <w:ind w:firstLine="0" w:firstLineChars="0"/>
    </w:pPr>
    <w:rPr>
      <w:rFonts w:hint="eastAsia" w:ascii="黑体" w:hAnsi="Arial Unicode MS" w:eastAsia="黑体" w:cs="Arial Unicode MS"/>
      <w:kern w:val="0"/>
      <w:sz w:val="21"/>
      <w:szCs w:val="21"/>
    </w:rPr>
  </w:style>
  <w:style w:type="paragraph" w:customStyle="1" w:styleId="468">
    <w:name w:val="font11"/>
    <w:basedOn w:val="1"/>
    <w:autoRedefine/>
    <w:qFormat/>
    <w:uiPriority w:val="0"/>
    <w:pPr>
      <w:widowControl/>
      <w:snapToGrid/>
      <w:spacing w:beforeAutospacing="1" w:afterAutospacing="1" w:line="240" w:lineRule="auto"/>
      <w:ind w:firstLine="0" w:firstLineChars="0"/>
    </w:pPr>
    <w:rPr>
      <w:rFonts w:hint="eastAsia" w:ascii="宋体" w:hAnsi="宋体" w:cs="Arial Unicode MS"/>
      <w:kern w:val="0"/>
      <w:sz w:val="21"/>
      <w:szCs w:val="21"/>
    </w:rPr>
  </w:style>
  <w:style w:type="paragraph" w:customStyle="1" w:styleId="469">
    <w:name w:val="smj Char"/>
    <w:basedOn w:val="1"/>
    <w:autoRedefine/>
    <w:qFormat/>
    <w:uiPriority w:val="0"/>
    <w:pPr>
      <w:snapToGrid/>
      <w:spacing w:line="240" w:lineRule="auto"/>
      <w:ind w:firstLine="0" w:firstLineChars="0"/>
      <w:jc w:val="both"/>
    </w:pPr>
    <w:rPr>
      <w:rFonts w:eastAsia="黑体"/>
      <w:sz w:val="21"/>
    </w:rPr>
  </w:style>
  <w:style w:type="paragraph" w:customStyle="1" w:styleId="470">
    <w:name w:val="123"/>
    <w:basedOn w:val="1"/>
    <w:autoRedefine/>
    <w:qFormat/>
    <w:uiPriority w:val="0"/>
    <w:pPr>
      <w:snapToGrid/>
      <w:ind w:firstLine="454" w:firstLineChars="0"/>
      <w:jc w:val="both"/>
    </w:pPr>
    <w:rPr>
      <w:szCs w:val="20"/>
    </w:rPr>
  </w:style>
  <w:style w:type="paragraph" w:customStyle="1" w:styleId="471">
    <w:name w:val="正文中对齐"/>
    <w:basedOn w:val="1"/>
    <w:autoRedefine/>
    <w:qFormat/>
    <w:uiPriority w:val="0"/>
    <w:pPr>
      <w:spacing w:line="60" w:lineRule="atLeast"/>
      <w:ind w:firstLine="0" w:firstLineChars="0"/>
      <w:jc w:val="center"/>
    </w:pPr>
    <w:rPr>
      <w:szCs w:val="20"/>
    </w:rPr>
  </w:style>
  <w:style w:type="paragraph" w:customStyle="1" w:styleId="472">
    <w:name w:val="宏福正文-2"/>
    <w:basedOn w:val="86"/>
    <w:autoRedefine/>
    <w:qFormat/>
    <w:uiPriority w:val="0"/>
    <w:pPr>
      <w:snapToGrid w:val="0"/>
      <w:spacing w:before="240" w:after="0" w:line="400" w:lineRule="atLeast"/>
      <w:ind w:firstLine="567" w:firstLineChars="0"/>
    </w:pPr>
    <w:rPr>
      <w:b/>
      <w:bCs/>
      <w:color w:val="auto"/>
      <w:sz w:val="28"/>
      <w:szCs w:val="20"/>
    </w:rPr>
  </w:style>
  <w:style w:type="paragraph" w:customStyle="1" w:styleId="473">
    <w:name w:val="宏福4"/>
    <w:basedOn w:val="472"/>
    <w:autoRedefine/>
    <w:qFormat/>
    <w:uiPriority w:val="0"/>
  </w:style>
  <w:style w:type="paragraph" w:customStyle="1" w:styleId="474">
    <w:name w:val="宏福3A"/>
    <w:basedOn w:val="1"/>
    <w:autoRedefine/>
    <w:qFormat/>
    <w:uiPriority w:val="0"/>
    <w:pPr>
      <w:keepNext/>
      <w:keepLines/>
      <w:spacing w:line="240" w:lineRule="auto"/>
      <w:ind w:firstLine="0" w:firstLineChars="0"/>
      <w:jc w:val="both"/>
      <w:outlineLvl w:val="2"/>
    </w:pPr>
    <w:rPr>
      <w:b/>
      <w:szCs w:val="20"/>
    </w:rPr>
  </w:style>
  <w:style w:type="paragraph" w:customStyle="1" w:styleId="475">
    <w:name w:val="Date1"/>
    <w:basedOn w:val="1"/>
    <w:next w:val="1"/>
    <w:autoRedefine/>
    <w:qFormat/>
    <w:uiPriority w:val="0"/>
    <w:pPr>
      <w:autoSpaceDE w:val="0"/>
      <w:autoSpaceDN w:val="0"/>
      <w:adjustRightInd w:val="0"/>
      <w:snapToGrid/>
      <w:spacing w:line="360" w:lineRule="atLeast"/>
      <w:ind w:firstLine="0" w:firstLineChars="0"/>
      <w:textAlignment w:val="baseline"/>
    </w:pPr>
    <w:rPr>
      <w:rFonts w:eastAsia="楷体_GB2312"/>
      <w:kern w:val="0"/>
      <w:szCs w:val="20"/>
    </w:rPr>
  </w:style>
  <w:style w:type="paragraph" w:customStyle="1" w:styleId="476">
    <w:name w:val="文字缩"/>
    <w:basedOn w:val="1"/>
    <w:autoRedefine/>
    <w:qFormat/>
    <w:uiPriority w:val="0"/>
    <w:pPr>
      <w:autoSpaceDE w:val="0"/>
      <w:autoSpaceDN w:val="0"/>
      <w:adjustRightInd w:val="0"/>
      <w:spacing w:line="480" w:lineRule="atLeast"/>
      <w:ind w:firstLine="200"/>
    </w:pPr>
    <w:rPr>
      <w:rFonts w:ascii="宋体"/>
      <w:snapToGrid w:val="0"/>
      <w:spacing w:val="6"/>
      <w:kern w:val="0"/>
      <w:sz w:val="28"/>
      <w:szCs w:val="20"/>
    </w:rPr>
  </w:style>
  <w:style w:type="character" w:customStyle="1" w:styleId="477">
    <w:name w:val="标题 Char1"/>
    <w:autoRedefine/>
    <w:qFormat/>
    <w:uiPriority w:val="0"/>
    <w:rPr>
      <w:rFonts w:ascii="Arial" w:hAnsi="Arial" w:eastAsia="宋体" w:cs="Arial"/>
      <w:b/>
      <w:bCs/>
      <w:kern w:val="2"/>
      <w:sz w:val="32"/>
      <w:szCs w:val="32"/>
      <w:lang w:val="en-US" w:eastAsia="zh-CN" w:bidi="ar-SA"/>
    </w:rPr>
  </w:style>
  <w:style w:type="character" w:customStyle="1" w:styleId="478">
    <w:name w:val="§1. Char1"/>
    <w:autoRedefine/>
    <w:qFormat/>
    <w:uiPriority w:val="0"/>
    <w:rPr>
      <w:rFonts w:ascii="Arial Narrow" w:hAnsi="Arial Narrow" w:eastAsia="仿宋_GB2312" w:cs="Arial"/>
      <w:b/>
      <w:bCs/>
      <w:kern w:val="44"/>
      <w:sz w:val="32"/>
      <w:szCs w:val="44"/>
      <w:lang w:val="en-US" w:eastAsia="zh-CN" w:bidi="ar-SA"/>
    </w:rPr>
  </w:style>
  <w:style w:type="paragraph" w:customStyle="1" w:styleId="479">
    <w:name w:val="xl44"/>
    <w:basedOn w:val="1"/>
    <w:autoRedefine/>
    <w:qFormat/>
    <w:uiPriority w:val="0"/>
    <w:pPr>
      <w:widowControl/>
      <w:pBdr>
        <w:bottom w:val="single" w:color="auto" w:sz="4" w:space="0"/>
        <w:right w:val="single" w:color="auto" w:sz="8" w:space="0"/>
      </w:pBdr>
      <w:snapToGrid/>
      <w:spacing w:beforeAutospacing="1" w:afterAutospacing="1" w:line="240" w:lineRule="auto"/>
      <w:ind w:firstLine="0" w:firstLineChars="0"/>
      <w:textAlignment w:val="center"/>
    </w:pPr>
    <w:rPr>
      <w:rFonts w:ascii="Arial" w:hAnsi="Arial" w:eastAsia="Arial Unicode MS" w:cs="Arial"/>
      <w:kern w:val="0"/>
      <w:sz w:val="20"/>
      <w:szCs w:val="20"/>
    </w:rPr>
  </w:style>
  <w:style w:type="paragraph" w:customStyle="1" w:styleId="480">
    <w:name w:val="xl45"/>
    <w:basedOn w:val="1"/>
    <w:autoRedefine/>
    <w:qFormat/>
    <w:uiPriority w:val="0"/>
    <w:pPr>
      <w:widowControl/>
      <w:pBdr>
        <w:left w:val="single" w:color="auto" w:sz="4" w:space="0"/>
        <w:bottom w:val="single" w:color="auto" w:sz="4" w:space="0"/>
      </w:pBdr>
      <w:snapToGrid/>
      <w:spacing w:beforeAutospacing="1"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481">
    <w:name w:val="xl46"/>
    <w:basedOn w:val="1"/>
    <w:autoRedefine/>
    <w:qFormat/>
    <w:uiPriority w:val="0"/>
    <w:pPr>
      <w:widowControl/>
      <w:pBdr>
        <w:bottom w:val="single" w:color="auto" w:sz="4" w:space="0"/>
        <w:right w:val="single" w:color="auto" w:sz="4" w:space="0"/>
      </w:pBdr>
      <w:snapToGrid/>
      <w:spacing w:beforeAutospacing="1" w:afterAutospacing="1" w:line="240" w:lineRule="auto"/>
      <w:ind w:firstLine="0" w:firstLineChars="0"/>
      <w:textAlignment w:val="center"/>
    </w:pPr>
    <w:rPr>
      <w:rFonts w:ascii="Arial" w:hAnsi="Arial" w:eastAsia="Arial Unicode MS" w:cs="Arial"/>
      <w:kern w:val="0"/>
      <w:sz w:val="20"/>
      <w:szCs w:val="20"/>
    </w:rPr>
  </w:style>
  <w:style w:type="paragraph" w:customStyle="1" w:styleId="482">
    <w:name w:val="xl47"/>
    <w:basedOn w:val="1"/>
    <w:autoRedefine/>
    <w:qFormat/>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483">
    <w:name w:val="xl48"/>
    <w:basedOn w:val="1"/>
    <w:autoRedefine/>
    <w:qFormat/>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textAlignment w:val="center"/>
    </w:pPr>
    <w:rPr>
      <w:rFonts w:ascii="Arial" w:hAnsi="Arial" w:eastAsia="Arial Unicode MS" w:cs="Arial"/>
      <w:kern w:val="0"/>
      <w:sz w:val="20"/>
      <w:szCs w:val="20"/>
    </w:rPr>
  </w:style>
  <w:style w:type="paragraph" w:customStyle="1" w:styleId="484">
    <w:name w:val="xl49"/>
    <w:basedOn w:val="1"/>
    <w:autoRedefine/>
    <w:qFormat/>
    <w:uiPriority w:val="0"/>
    <w:pPr>
      <w:widowControl/>
      <w:pBdr>
        <w:top w:val="single" w:color="auto" w:sz="8" w:space="0"/>
        <w:left w:val="single" w:color="auto" w:sz="8"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b/>
      <w:bCs/>
      <w:kern w:val="0"/>
      <w:sz w:val="20"/>
      <w:szCs w:val="20"/>
    </w:rPr>
  </w:style>
  <w:style w:type="paragraph" w:customStyle="1" w:styleId="485">
    <w:name w:val="xl50"/>
    <w:basedOn w:val="1"/>
    <w:autoRedefine/>
    <w:qFormat/>
    <w:uiPriority w:val="0"/>
    <w:pPr>
      <w:widowControl/>
      <w:pBdr>
        <w:top w:val="single" w:color="auto" w:sz="8"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486">
    <w:name w:val="xl51"/>
    <w:basedOn w:val="1"/>
    <w:autoRedefine/>
    <w:qFormat/>
    <w:uiPriority w:val="0"/>
    <w:pPr>
      <w:widowControl/>
      <w:pBdr>
        <w:top w:val="single" w:color="auto" w:sz="8" w:space="0"/>
      </w:pBdr>
      <w:snapToGrid/>
      <w:spacing w:beforeAutospacing="1" w:afterAutospacing="1" w:line="240" w:lineRule="auto"/>
      <w:ind w:firstLine="0" w:firstLineChars="0"/>
    </w:pPr>
    <w:rPr>
      <w:rFonts w:ascii="Arial" w:hAnsi="Arial" w:eastAsia="Arial Unicode MS" w:cs="Arial"/>
      <w:kern w:val="0"/>
      <w:sz w:val="20"/>
      <w:szCs w:val="20"/>
    </w:rPr>
  </w:style>
  <w:style w:type="paragraph" w:customStyle="1" w:styleId="487">
    <w:name w:val="xl52"/>
    <w:basedOn w:val="1"/>
    <w:autoRedefine/>
    <w:qFormat/>
    <w:uiPriority w:val="0"/>
    <w:pPr>
      <w:widowControl/>
      <w:pBdr>
        <w:top w:val="single" w:color="auto" w:sz="8" w:space="0"/>
        <w:right w:val="single" w:color="auto" w:sz="4" w:space="0"/>
      </w:pBdr>
      <w:snapToGrid/>
      <w:spacing w:beforeAutospacing="1" w:afterAutospacing="1" w:line="240" w:lineRule="auto"/>
      <w:ind w:firstLine="0" w:firstLineChars="0"/>
    </w:pPr>
    <w:rPr>
      <w:rFonts w:ascii="Arial" w:hAnsi="Arial" w:eastAsia="Arial Unicode MS" w:cs="Arial"/>
      <w:kern w:val="0"/>
      <w:sz w:val="20"/>
      <w:szCs w:val="20"/>
    </w:rPr>
  </w:style>
  <w:style w:type="paragraph" w:customStyle="1" w:styleId="488">
    <w:name w:val="xl53"/>
    <w:basedOn w:val="1"/>
    <w:autoRedefine/>
    <w:qFormat/>
    <w:uiPriority w:val="0"/>
    <w:pPr>
      <w:widowControl/>
      <w:pBdr>
        <w:top w:val="single" w:color="auto" w:sz="8" w:space="0"/>
        <w:bottom w:val="single" w:color="auto" w:sz="4" w:space="0"/>
        <w:right w:val="single" w:color="auto" w:sz="8"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489">
    <w:name w:val="xl54"/>
    <w:basedOn w:val="1"/>
    <w:autoRedefine/>
    <w:qFormat/>
    <w:uiPriority w:val="0"/>
    <w:pPr>
      <w:widowControl/>
      <w:pBdr>
        <w:left w:val="single" w:color="auto" w:sz="8" w:space="0"/>
        <w:bottom w:val="single" w:color="auto" w:sz="4" w:space="0"/>
      </w:pBdr>
      <w:snapToGrid/>
      <w:spacing w:beforeAutospacing="1" w:afterAutospacing="1" w:line="240" w:lineRule="auto"/>
      <w:ind w:firstLine="0" w:firstLineChars="0"/>
    </w:pPr>
    <w:rPr>
      <w:rFonts w:ascii="Arial" w:hAnsi="Arial" w:eastAsia="Arial Unicode MS" w:cs="Arial"/>
      <w:kern w:val="0"/>
      <w:sz w:val="20"/>
      <w:szCs w:val="20"/>
    </w:rPr>
  </w:style>
  <w:style w:type="paragraph" w:customStyle="1" w:styleId="490">
    <w:name w:val="xl55"/>
    <w:basedOn w:val="1"/>
    <w:autoRedefine/>
    <w:qFormat/>
    <w:uiPriority w:val="0"/>
    <w:pPr>
      <w:widowControl/>
      <w:pBdr>
        <w:bottom w:val="single" w:color="auto" w:sz="4" w:space="0"/>
      </w:pBdr>
      <w:snapToGrid/>
      <w:spacing w:beforeAutospacing="1" w:afterAutospacing="1" w:line="240" w:lineRule="auto"/>
      <w:ind w:firstLine="0" w:firstLineChars="0"/>
    </w:pPr>
    <w:rPr>
      <w:rFonts w:ascii="Arial" w:hAnsi="Arial" w:eastAsia="Arial Unicode MS" w:cs="Arial"/>
      <w:kern w:val="0"/>
      <w:sz w:val="20"/>
      <w:szCs w:val="20"/>
    </w:rPr>
  </w:style>
  <w:style w:type="paragraph" w:customStyle="1" w:styleId="491">
    <w:name w:val="xl56"/>
    <w:basedOn w:val="1"/>
    <w:autoRedefine/>
    <w:qFormat/>
    <w:uiPriority w:val="0"/>
    <w:pPr>
      <w:widowControl/>
      <w:pBdr>
        <w:bottom w:val="single" w:color="auto" w:sz="4" w:space="0"/>
        <w:right w:val="single" w:color="auto" w:sz="4" w:space="0"/>
      </w:pBdr>
      <w:snapToGrid/>
      <w:spacing w:beforeAutospacing="1" w:afterAutospacing="1" w:line="240" w:lineRule="auto"/>
      <w:ind w:firstLine="0" w:firstLineChars="0"/>
    </w:pPr>
    <w:rPr>
      <w:rFonts w:ascii="Arial" w:hAnsi="Arial" w:eastAsia="Arial Unicode MS" w:cs="Arial"/>
      <w:kern w:val="0"/>
      <w:sz w:val="20"/>
      <w:szCs w:val="20"/>
    </w:rPr>
  </w:style>
  <w:style w:type="paragraph" w:customStyle="1" w:styleId="492">
    <w:name w:val="xl57"/>
    <w:basedOn w:val="1"/>
    <w:autoRedefine/>
    <w:qFormat/>
    <w:uiPriority w:val="0"/>
    <w:pPr>
      <w:widowControl/>
      <w:pBdr>
        <w:left w:val="single" w:color="auto" w:sz="4"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b/>
      <w:bCs/>
      <w:kern w:val="0"/>
      <w:sz w:val="20"/>
      <w:szCs w:val="20"/>
    </w:rPr>
  </w:style>
  <w:style w:type="paragraph" w:customStyle="1" w:styleId="493">
    <w:name w:val="xl58"/>
    <w:basedOn w:val="1"/>
    <w:autoRedefine/>
    <w:qFormat/>
    <w:uiPriority w:val="0"/>
    <w:pPr>
      <w:widowControl/>
      <w:snapToGrid/>
      <w:spacing w:beforeAutospacing="1" w:afterAutospacing="1" w:line="240" w:lineRule="auto"/>
      <w:ind w:firstLine="0" w:firstLineChars="0"/>
      <w:jc w:val="center"/>
      <w:textAlignment w:val="center"/>
    </w:pPr>
    <w:rPr>
      <w:rFonts w:ascii="Arial" w:hAnsi="Arial" w:eastAsia="Arial Unicode MS" w:cs="Arial"/>
      <w:b/>
      <w:bCs/>
      <w:kern w:val="0"/>
      <w:sz w:val="20"/>
      <w:szCs w:val="20"/>
    </w:rPr>
  </w:style>
  <w:style w:type="paragraph" w:customStyle="1" w:styleId="494">
    <w:name w:val="xl59"/>
    <w:basedOn w:val="1"/>
    <w:autoRedefine/>
    <w:qFormat/>
    <w:uiPriority w:val="0"/>
    <w:pPr>
      <w:widowControl/>
      <w:pBdr>
        <w:right w:val="single" w:color="auto" w:sz="4" w:space="0"/>
      </w:pBdr>
      <w:snapToGrid/>
      <w:spacing w:beforeAutospacing="1" w:afterAutospacing="1" w:line="240" w:lineRule="auto"/>
      <w:ind w:firstLine="0" w:firstLineChars="0"/>
      <w:jc w:val="center"/>
      <w:textAlignment w:val="center"/>
    </w:pPr>
    <w:rPr>
      <w:rFonts w:ascii="Arial" w:hAnsi="Arial" w:eastAsia="Arial Unicode MS" w:cs="Arial"/>
      <w:b/>
      <w:bCs/>
      <w:kern w:val="0"/>
      <w:sz w:val="20"/>
      <w:szCs w:val="20"/>
    </w:rPr>
  </w:style>
  <w:style w:type="paragraph" w:customStyle="1" w:styleId="495">
    <w:name w:val="xl60"/>
    <w:basedOn w:val="1"/>
    <w:qFormat/>
    <w:uiPriority w:val="0"/>
    <w:pPr>
      <w:widowControl/>
      <w:pBdr>
        <w:left w:val="single" w:color="auto" w:sz="4" w:space="0"/>
        <w:bottom w:val="single" w:color="auto" w:sz="4" w:space="0"/>
      </w:pBdr>
      <w:snapToGrid/>
      <w:spacing w:beforeAutospacing="1" w:afterAutospacing="1" w:line="240" w:lineRule="auto"/>
      <w:ind w:firstLine="0" w:firstLineChars="0"/>
      <w:textAlignment w:val="center"/>
    </w:pPr>
    <w:rPr>
      <w:rFonts w:eastAsia="Arial Unicode MS"/>
      <w:kern w:val="0"/>
      <w:sz w:val="20"/>
      <w:szCs w:val="20"/>
    </w:rPr>
  </w:style>
  <w:style w:type="paragraph" w:customStyle="1" w:styleId="496">
    <w:name w:val="xl62"/>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rFonts w:ascii="Arial" w:hAnsi="Arial" w:eastAsia="Arial Unicode MS" w:cs="Arial"/>
      <w:kern w:val="0"/>
      <w:sz w:val="20"/>
      <w:szCs w:val="20"/>
    </w:rPr>
  </w:style>
  <w:style w:type="paragraph" w:customStyle="1" w:styleId="497">
    <w:name w:val="xl63"/>
    <w:basedOn w:val="1"/>
    <w:uiPriority w:val="0"/>
    <w:pPr>
      <w:widowControl/>
      <w:pBdr>
        <w:left w:val="single" w:color="auto" w:sz="4" w:space="0"/>
      </w:pBdr>
      <w:snapToGrid/>
      <w:spacing w:beforeAutospacing="1" w:afterAutospacing="1" w:line="240" w:lineRule="auto"/>
      <w:ind w:firstLine="0" w:firstLineChars="0"/>
      <w:jc w:val="center"/>
      <w:textAlignment w:val="center"/>
    </w:pPr>
    <w:rPr>
      <w:rFonts w:ascii="Arial" w:hAnsi="Arial" w:eastAsia="Arial Unicode MS" w:cs="Arial"/>
      <w:b/>
      <w:bCs/>
      <w:kern w:val="0"/>
      <w:sz w:val="20"/>
      <w:szCs w:val="20"/>
    </w:rPr>
  </w:style>
  <w:style w:type="paragraph" w:customStyle="1" w:styleId="498">
    <w:name w:val="xl64"/>
    <w:basedOn w:val="1"/>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499">
    <w:name w:val="xl65"/>
    <w:basedOn w:val="1"/>
    <w:qFormat/>
    <w:uiPriority w:val="0"/>
    <w:pPr>
      <w:widowControl/>
      <w:pBdr>
        <w:top w:val="single" w:color="auto" w:sz="4" w:space="0"/>
        <w:bottom w:val="single" w:color="auto" w:sz="4"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500">
    <w:name w:val="xl66"/>
    <w:basedOn w:val="1"/>
    <w:uiPriority w:val="0"/>
    <w:pPr>
      <w:widowControl/>
      <w:pBdr>
        <w:top w:val="single" w:color="auto" w:sz="4" w:space="0"/>
        <w:bottom w:val="single" w:color="auto" w:sz="4" w:space="0"/>
        <w:right w:val="single" w:color="auto" w:sz="8"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501">
    <w:name w:val="xl67"/>
    <w:basedOn w:val="1"/>
    <w:autoRedefine/>
    <w:uiPriority w:val="0"/>
    <w:pPr>
      <w:widowControl/>
      <w:pBdr>
        <w:left w:val="single" w:color="auto" w:sz="4" w:space="0"/>
        <w:bottom w:val="single" w:color="auto" w:sz="4" w:space="0"/>
      </w:pBdr>
      <w:snapToGrid/>
      <w:spacing w:beforeAutospacing="1" w:afterAutospacing="1" w:line="240" w:lineRule="auto"/>
      <w:ind w:firstLine="0" w:firstLineChars="0"/>
      <w:jc w:val="center"/>
      <w:textAlignment w:val="center"/>
    </w:pPr>
    <w:rPr>
      <w:rFonts w:ascii="Arial" w:hAnsi="Arial" w:eastAsia="Arial Unicode MS" w:cs="Arial"/>
      <w:b/>
      <w:bCs/>
      <w:kern w:val="0"/>
      <w:sz w:val="20"/>
      <w:szCs w:val="20"/>
    </w:rPr>
  </w:style>
  <w:style w:type="paragraph" w:customStyle="1" w:styleId="502">
    <w:name w:val="xl68"/>
    <w:basedOn w:val="1"/>
    <w:uiPriority w:val="0"/>
    <w:pPr>
      <w:widowControl/>
      <w:pBdr>
        <w:bottom w:val="single" w:color="auto" w:sz="4" w:space="0"/>
      </w:pBdr>
      <w:snapToGrid/>
      <w:spacing w:beforeAutospacing="1" w:afterAutospacing="1" w:line="240" w:lineRule="auto"/>
      <w:ind w:firstLine="0" w:firstLineChars="0"/>
      <w:jc w:val="center"/>
      <w:textAlignment w:val="center"/>
    </w:pPr>
    <w:rPr>
      <w:rFonts w:ascii="Arial" w:hAnsi="Arial" w:eastAsia="Arial Unicode MS" w:cs="Arial"/>
      <w:b/>
      <w:bCs/>
      <w:kern w:val="0"/>
      <w:sz w:val="20"/>
      <w:szCs w:val="20"/>
    </w:rPr>
  </w:style>
  <w:style w:type="paragraph" w:customStyle="1" w:styleId="503">
    <w:name w:val="xl69"/>
    <w:basedOn w:val="1"/>
    <w:uiPriority w:val="0"/>
    <w:pPr>
      <w:widowControl/>
      <w:pBdr>
        <w:bottom w:val="single" w:color="auto" w:sz="4" w:space="0"/>
        <w:right w:val="single" w:color="auto" w:sz="4" w:space="0"/>
      </w:pBdr>
      <w:snapToGrid/>
      <w:spacing w:beforeAutospacing="1" w:afterAutospacing="1" w:line="240" w:lineRule="auto"/>
      <w:ind w:firstLine="0" w:firstLineChars="0"/>
      <w:jc w:val="center"/>
      <w:textAlignment w:val="center"/>
    </w:pPr>
    <w:rPr>
      <w:rFonts w:ascii="Arial" w:hAnsi="Arial" w:eastAsia="Arial Unicode MS" w:cs="Arial"/>
      <w:b/>
      <w:bCs/>
      <w:kern w:val="0"/>
      <w:sz w:val="20"/>
      <w:szCs w:val="20"/>
    </w:rPr>
  </w:style>
  <w:style w:type="paragraph" w:customStyle="1" w:styleId="504">
    <w:name w:val="xl70"/>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505">
    <w:name w:val="xl71"/>
    <w:basedOn w:val="1"/>
    <w:uiPriority w:val="0"/>
    <w:pPr>
      <w:widowControl/>
      <w:pBdr>
        <w:top w:val="single" w:color="auto" w:sz="4" w:space="0"/>
        <w:left w:val="single" w:color="auto" w:sz="4" w:space="0"/>
        <w:bottom w:val="single" w:color="auto" w:sz="4" w:space="0"/>
        <w:right w:val="single" w:color="auto" w:sz="8"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506">
    <w:name w:val="xl72"/>
    <w:basedOn w:val="1"/>
    <w:uiPriority w:val="0"/>
    <w:pPr>
      <w:widowControl/>
      <w:pBdr>
        <w:top w:val="single" w:color="auto" w:sz="4" w:space="0"/>
        <w:left w:val="single" w:color="auto" w:sz="4" w:space="0"/>
        <w:right w:val="single" w:color="auto" w:sz="4"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507">
    <w:name w:val="xl73"/>
    <w:basedOn w:val="1"/>
    <w:uiPriority w:val="0"/>
    <w:pPr>
      <w:widowControl/>
      <w:pBdr>
        <w:top w:val="single" w:color="auto" w:sz="4" w:space="0"/>
        <w:left w:val="single" w:color="auto" w:sz="4" w:space="0"/>
        <w:right w:val="single" w:color="auto" w:sz="4"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508">
    <w:name w:val="xl74"/>
    <w:basedOn w:val="1"/>
    <w:autoRedefine/>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509">
    <w:name w:val="xl75"/>
    <w:basedOn w:val="1"/>
    <w:uiPriority w:val="0"/>
    <w:pPr>
      <w:widowControl/>
      <w:pBdr>
        <w:left w:val="single" w:color="auto" w:sz="4" w:space="0"/>
        <w:right w:val="single" w:color="auto" w:sz="4" w:space="0"/>
      </w:pBdr>
      <w:snapToGrid/>
      <w:spacing w:beforeAutospacing="1" w:afterAutospacing="1" w:line="240" w:lineRule="auto"/>
      <w:ind w:firstLine="0" w:firstLineChars="0"/>
    </w:pPr>
    <w:rPr>
      <w:rFonts w:ascii="Arial" w:hAnsi="Arial" w:eastAsia="Arial Unicode MS" w:cs="Arial"/>
      <w:kern w:val="0"/>
      <w:sz w:val="20"/>
      <w:szCs w:val="20"/>
    </w:rPr>
  </w:style>
  <w:style w:type="paragraph" w:customStyle="1" w:styleId="510">
    <w:name w:val="xl76"/>
    <w:basedOn w:val="1"/>
    <w:qFormat/>
    <w:uiPriority w:val="0"/>
    <w:pPr>
      <w:widowControl/>
      <w:pBdr>
        <w:left w:val="single" w:color="auto" w:sz="4" w:space="0"/>
        <w:right w:val="single" w:color="auto" w:sz="4"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511">
    <w:name w:val="xl77"/>
    <w:basedOn w:val="1"/>
    <w:autoRedefine/>
    <w:uiPriority w:val="0"/>
    <w:pPr>
      <w:widowControl/>
      <w:pBdr>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512">
    <w:name w:val="xl78"/>
    <w:basedOn w:val="1"/>
    <w:uiPriority w:val="0"/>
    <w:pPr>
      <w:widowControl/>
      <w:pBdr>
        <w:left w:val="single" w:color="auto" w:sz="4" w:space="0"/>
        <w:right w:val="single" w:color="auto" w:sz="4"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513">
    <w:name w:val="xl80"/>
    <w:basedOn w:val="1"/>
    <w:uiPriority w:val="0"/>
    <w:pPr>
      <w:widowControl/>
      <w:pBdr>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rFonts w:ascii="Arial" w:hAnsi="Arial" w:eastAsia="Arial Unicode MS" w:cs="Arial"/>
      <w:kern w:val="0"/>
      <w:sz w:val="20"/>
      <w:szCs w:val="20"/>
    </w:rPr>
  </w:style>
  <w:style w:type="paragraph" w:customStyle="1" w:styleId="514">
    <w:name w:val="xl81"/>
    <w:basedOn w:val="1"/>
    <w:uiPriority w:val="0"/>
    <w:pPr>
      <w:widowControl/>
      <w:pBdr>
        <w:top w:val="single" w:color="auto" w:sz="4" w:space="0"/>
        <w:left w:val="single" w:color="auto" w:sz="8" w:space="0"/>
        <w:bottom w:val="single" w:color="auto" w:sz="4" w:space="0"/>
        <w:right w:val="single" w:color="auto" w:sz="4" w:space="0"/>
      </w:pBdr>
      <w:snapToGrid/>
      <w:spacing w:beforeAutospacing="1"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515">
    <w:name w:val="xl82"/>
    <w:basedOn w:val="1"/>
    <w:qFormat/>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516">
    <w:name w:val="xl83"/>
    <w:basedOn w:val="1"/>
    <w:autoRedefine/>
    <w:qFormat/>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textAlignment w:val="center"/>
    </w:pPr>
    <w:rPr>
      <w:rFonts w:ascii="Arial" w:hAnsi="Arial" w:eastAsia="Arial Unicode MS" w:cs="Arial"/>
      <w:kern w:val="0"/>
      <w:sz w:val="20"/>
      <w:szCs w:val="20"/>
    </w:rPr>
  </w:style>
  <w:style w:type="paragraph" w:customStyle="1" w:styleId="517">
    <w:name w:val="xl84"/>
    <w:basedOn w:val="1"/>
    <w:autoRedefine/>
    <w:qFormat/>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jc w:val="center"/>
    </w:pPr>
    <w:rPr>
      <w:rFonts w:ascii="Arial" w:hAnsi="Arial" w:eastAsia="Arial Unicode MS" w:cs="Arial"/>
      <w:kern w:val="0"/>
      <w:sz w:val="20"/>
      <w:szCs w:val="20"/>
    </w:rPr>
  </w:style>
  <w:style w:type="paragraph" w:customStyle="1" w:styleId="518">
    <w:name w:val="xl85"/>
    <w:basedOn w:val="1"/>
    <w:autoRedefine/>
    <w:qFormat/>
    <w:uiPriority w:val="0"/>
    <w:pPr>
      <w:widowControl/>
      <w:pBdr>
        <w:top w:val="single" w:color="auto" w:sz="4" w:space="0"/>
        <w:bottom w:val="single" w:color="auto" w:sz="4" w:space="0"/>
        <w:right w:val="single" w:color="auto" w:sz="8" w:space="0"/>
      </w:pBdr>
      <w:snapToGrid/>
      <w:spacing w:beforeAutospacing="1" w:afterAutospacing="1" w:line="240" w:lineRule="auto"/>
      <w:ind w:firstLine="0" w:firstLineChars="0"/>
      <w:jc w:val="center"/>
    </w:pPr>
    <w:rPr>
      <w:rFonts w:ascii="Arial" w:hAnsi="Arial" w:eastAsia="Arial Unicode MS" w:cs="Arial"/>
      <w:kern w:val="0"/>
      <w:sz w:val="20"/>
      <w:szCs w:val="20"/>
    </w:rPr>
  </w:style>
  <w:style w:type="paragraph" w:customStyle="1" w:styleId="519">
    <w:name w:val="xl86"/>
    <w:basedOn w:val="1"/>
    <w:autoRedefine/>
    <w:qFormat/>
    <w:uiPriority w:val="0"/>
    <w:pPr>
      <w:widowControl/>
      <w:pBdr>
        <w:top w:val="single" w:color="auto" w:sz="4" w:space="0"/>
        <w:left w:val="single" w:color="auto" w:sz="4" w:space="0"/>
        <w:right w:val="single" w:color="auto" w:sz="4" w:space="0"/>
      </w:pBdr>
      <w:snapToGrid/>
      <w:spacing w:beforeAutospacing="1" w:afterAutospacing="1" w:line="240" w:lineRule="auto"/>
      <w:ind w:firstLine="0" w:firstLineChars="0"/>
    </w:pPr>
    <w:rPr>
      <w:rFonts w:ascii="Arial" w:hAnsi="Arial" w:eastAsia="Arial Unicode MS" w:cs="Arial"/>
      <w:kern w:val="0"/>
      <w:sz w:val="20"/>
      <w:szCs w:val="20"/>
    </w:rPr>
  </w:style>
  <w:style w:type="paragraph" w:customStyle="1" w:styleId="520">
    <w:name w:val="xl87"/>
    <w:basedOn w:val="1"/>
    <w:autoRedefine/>
    <w:qFormat/>
    <w:uiPriority w:val="0"/>
    <w:pPr>
      <w:widowControl/>
      <w:pBdr>
        <w:top w:val="single" w:color="auto" w:sz="4" w:space="0"/>
        <w:left w:val="single" w:color="auto" w:sz="4" w:space="0"/>
      </w:pBdr>
      <w:snapToGrid/>
      <w:spacing w:beforeAutospacing="1" w:afterAutospacing="1" w:line="240" w:lineRule="auto"/>
      <w:ind w:firstLine="0" w:firstLineChars="0"/>
      <w:jc w:val="center"/>
    </w:pPr>
    <w:rPr>
      <w:rFonts w:ascii="Arial" w:hAnsi="Arial" w:eastAsia="Arial Unicode MS" w:cs="Arial"/>
      <w:kern w:val="0"/>
      <w:sz w:val="20"/>
      <w:szCs w:val="20"/>
    </w:rPr>
  </w:style>
  <w:style w:type="paragraph" w:customStyle="1" w:styleId="521">
    <w:name w:val="xl88"/>
    <w:basedOn w:val="1"/>
    <w:autoRedefine/>
    <w:qFormat/>
    <w:uiPriority w:val="0"/>
    <w:pPr>
      <w:widowControl/>
      <w:pBdr>
        <w:top w:val="single" w:color="auto" w:sz="4" w:space="0"/>
        <w:right w:val="single" w:color="auto" w:sz="8" w:space="0"/>
      </w:pBdr>
      <w:snapToGrid/>
      <w:spacing w:beforeAutospacing="1" w:afterAutospacing="1" w:line="240" w:lineRule="auto"/>
      <w:ind w:firstLine="0" w:firstLineChars="0"/>
      <w:jc w:val="center"/>
    </w:pPr>
    <w:rPr>
      <w:rFonts w:ascii="Arial" w:hAnsi="Arial" w:eastAsia="Arial Unicode MS" w:cs="Arial"/>
      <w:kern w:val="0"/>
      <w:sz w:val="20"/>
      <w:szCs w:val="20"/>
    </w:rPr>
  </w:style>
  <w:style w:type="paragraph" w:customStyle="1" w:styleId="522">
    <w:name w:val="xl89"/>
    <w:basedOn w:val="1"/>
    <w:autoRedefine/>
    <w:qFormat/>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jc w:val="center"/>
    </w:pPr>
    <w:rPr>
      <w:rFonts w:ascii="Arial Unicode MS" w:hAnsi="Arial Unicode MS" w:eastAsia="Arial Unicode MS" w:cs="Arial Unicode MS"/>
      <w:kern w:val="0"/>
      <w:sz w:val="20"/>
      <w:szCs w:val="20"/>
    </w:rPr>
  </w:style>
  <w:style w:type="paragraph" w:customStyle="1" w:styleId="523">
    <w:name w:val="xl90"/>
    <w:basedOn w:val="1"/>
    <w:autoRedefine/>
    <w:qFormat/>
    <w:uiPriority w:val="0"/>
    <w:pPr>
      <w:widowControl/>
      <w:pBdr>
        <w:top w:val="single" w:color="auto" w:sz="4" w:space="0"/>
        <w:bottom w:val="single" w:color="auto" w:sz="4" w:space="0"/>
      </w:pBdr>
      <w:snapToGrid/>
      <w:spacing w:beforeAutospacing="1" w:afterAutospacing="1" w:line="240" w:lineRule="auto"/>
      <w:ind w:firstLine="0" w:firstLineChars="0"/>
      <w:jc w:val="center"/>
    </w:pPr>
    <w:rPr>
      <w:rFonts w:ascii="Arial Unicode MS" w:hAnsi="Arial Unicode MS" w:eastAsia="Arial Unicode MS" w:cs="Arial Unicode MS"/>
      <w:kern w:val="0"/>
      <w:sz w:val="20"/>
      <w:szCs w:val="20"/>
    </w:rPr>
  </w:style>
  <w:style w:type="paragraph" w:customStyle="1" w:styleId="524">
    <w:name w:val="xl91"/>
    <w:basedOn w:val="1"/>
    <w:autoRedefine/>
    <w:qFormat/>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jc w:val="center"/>
    </w:pPr>
    <w:rPr>
      <w:rFonts w:ascii="Arial Unicode MS" w:hAnsi="Arial Unicode MS" w:eastAsia="Arial Unicode MS" w:cs="Arial Unicode MS"/>
      <w:kern w:val="0"/>
      <w:sz w:val="20"/>
      <w:szCs w:val="20"/>
    </w:rPr>
  </w:style>
  <w:style w:type="paragraph" w:customStyle="1" w:styleId="525">
    <w:name w:val="xl92"/>
    <w:basedOn w:val="1"/>
    <w:autoRedefine/>
    <w:qFormat/>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textAlignment w:val="center"/>
    </w:pPr>
    <w:rPr>
      <w:rFonts w:ascii="Arial Unicode MS" w:hAnsi="Arial Unicode MS" w:eastAsia="Arial Unicode MS" w:cs="Arial Unicode MS"/>
      <w:kern w:val="0"/>
      <w:sz w:val="20"/>
      <w:szCs w:val="20"/>
    </w:rPr>
  </w:style>
  <w:style w:type="paragraph" w:customStyle="1" w:styleId="526">
    <w:name w:val="样式 标题 51)项标5标题 5 Char21) Char2项 Char2 + 左侧:  -0.04 厘米"/>
    <w:basedOn w:val="527"/>
    <w:autoRedefine/>
    <w:qFormat/>
    <w:uiPriority w:val="0"/>
    <w:pPr>
      <w:tabs>
        <w:tab w:val="left" w:pos="628"/>
        <w:tab w:val="left" w:pos="1727"/>
        <w:tab w:val="left" w:pos="1884"/>
        <w:tab w:val="left" w:pos="2660"/>
        <w:tab w:val="left" w:pos="5460"/>
      </w:tabs>
    </w:pPr>
    <w:rPr>
      <w:rFonts w:ascii="黑体" w:eastAsia="黑体"/>
      <w:color w:val="auto"/>
      <w:szCs w:val="28"/>
    </w:rPr>
  </w:style>
  <w:style w:type="paragraph" w:customStyle="1" w:styleId="527">
    <w:name w:val="样式 标题 51)项标5标题 5 Char21) Char2项 Char2 + 黑色 行距: 1.5 倍行距"/>
    <w:basedOn w:val="528"/>
    <w:autoRedefine/>
    <w:qFormat/>
    <w:uiPriority w:val="0"/>
    <w:pPr>
      <w:tabs>
        <w:tab w:val="left" w:pos="628"/>
        <w:tab w:val="left" w:pos="1727"/>
        <w:tab w:val="left" w:pos="1884"/>
        <w:tab w:val="left" w:pos="2660"/>
        <w:tab w:val="left" w:pos="5460"/>
      </w:tabs>
    </w:pPr>
    <w:rPr>
      <w:szCs w:val="20"/>
    </w:rPr>
  </w:style>
  <w:style w:type="paragraph" w:customStyle="1" w:styleId="528">
    <w:name w:val="标题 55"/>
    <w:basedOn w:val="1"/>
    <w:qFormat/>
    <w:uiPriority w:val="0"/>
    <w:pPr>
      <w:tabs>
        <w:tab w:val="left" w:pos="628"/>
        <w:tab w:val="left" w:pos="1727"/>
        <w:tab w:val="left" w:pos="1884"/>
        <w:tab w:val="left" w:pos="2660"/>
        <w:tab w:val="left" w:pos="5460"/>
      </w:tabs>
      <w:autoSpaceDE w:val="0"/>
      <w:autoSpaceDN w:val="0"/>
      <w:adjustRightInd w:val="0"/>
      <w:spacing w:line="300" w:lineRule="auto"/>
      <w:ind w:firstLine="0" w:firstLineChars="0"/>
      <w:jc w:val="center"/>
    </w:pPr>
    <w:rPr>
      <w:rFonts w:ascii="仿宋_GB2312" w:hAnsi="宋体" w:eastAsia="仿宋_GB2312"/>
      <w:color w:val="000000"/>
    </w:rPr>
  </w:style>
  <w:style w:type="paragraph" w:customStyle="1" w:styleId="529">
    <w:name w:val="样式 表格文字居中 + 右侧:  -0.06 字符1"/>
    <w:basedOn w:val="530"/>
    <w:qFormat/>
    <w:uiPriority w:val="0"/>
    <w:pPr>
      <w:textAlignment w:val="auto"/>
    </w:pPr>
    <w:rPr>
      <w:rFonts w:ascii="仿宋_GB2312" w:eastAsia="仿宋_GB2312"/>
      <w:color w:val="000000"/>
      <w:szCs w:val="20"/>
    </w:rPr>
  </w:style>
  <w:style w:type="paragraph" w:customStyle="1" w:styleId="530">
    <w:name w:val="表格文字居中 Char"/>
    <w:basedOn w:val="1"/>
    <w:autoRedefine/>
    <w:qFormat/>
    <w:uiPriority w:val="0"/>
    <w:pPr>
      <w:autoSpaceDE w:val="0"/>
      <w:autoSpaceDN w:val="0"/>
      <w:adjustRightInd w:val="0"/>
      <w:spacing w:line="240" w:lineRule="auto"/>
      <w:ind w:firstLine="0" w:firstLineChars="0"/>
      <w:jc w:val="center"/>
      <w:textAlignment w:val="bottom"/>
    </w:pPr>
    <w:rPr>
      <w:rFonts w:ascii="宋体" w:hAnsi="宋体"/>
    </w:rPr>
  </w:style>
  <w:style w:type="character" w:customStyle="1" w:styleId="531">
    <w:name w:val="font"/>
    <w:autoRedefine/>
    <w:qFormat/>
    <w:uiPriority w:val="0"/>
    <w:rPr>
      <w:rFonts w:ascii="Verdana" w:hAnsi="Verdana" w:eastAsia="宋体"/>
      <w:lang w:val="en-US" w:eastAsia="en-US" w:bidi="ar-SA"/>
    </w:rPr>
  </w:style>
  <w:style w:type="paragraph" w:customStyle="1" w:styleId="532">
    <w:name w:val="样式 标题 3标题 3 Char Char1.1.1条标3§1.1.1.. (1.1.1)- 3rd Order ..."/>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533">
    <w:name w:val="px141"/>
    <w:uiPriority w:val="0"/>
    <w:rPr>
      <w:rFonts w:hint="default" w:eastAsia="宋体"/>
      <w:sz w:val="21"/>
      <w:szCs w:val="21"/>
      <w:lang w:val="en-US" w:eastAsia="en-US" w:bidi="ar-SA"/>
    </w:rPr>
  </w:style>
  <w:style w:type="character" w:customStyle="1" w:styleId="534">
    <w:name w:val="px14"/>
    <w:uiPriority w:val="0"/>
    <w:rPr>
      <w:rFonts w:ascii="Verdana" w:hAnsi="Verdana" w:eastAsia="宋体"/>
      <w:lang w:val="en-US" w:eastAsia="en-US" w:bidi="ar-SA"/>
    </w:rPr>
  </w:style>
  <w:style w:type="character" w:customStyle="1" w:styleId="535">
    <w:name w:val="hand"/>
    <w:uiPriority w:val="0"/>
    <w:rPr>
      <w:rFonts w:ascii="Verdana" w:hAnsi="Verdana" w:eastAsia="宋体"/>
      <w:lang w:val="en-US" w:eastAsia="en-US" w:bidi="ar-SA"/>
    </w:rPr>
  </w:style>
  <w:style w:type="paragraph" w:customStyle="1" w:styleId="536">
    <w:name w:val="正文2"/>
    <w:basedOn w:val="1"/>
    <w:uiPriority w:val="0"/>
    <w:pPr>
      <w:tabs>
        <w:tab w:val="left" w:pos="-709"/>
        <w:tab w:val="left" w:pos="284"/>
        <w:tab w:val="left" w:pos="1416"/>
      </w:tabs>
      <w:adjustRightInd w:val="0"/>
      <w:spacing w:line="300" w:lineRule="auto"/>
      <w:ind w:left="1416" w:hanging="720" w:firstLineChars="0"/>
      <w:jc w:val="center"/>
      <w:textAlignment w:val="baseline"/>
    </w:pPr>
    <w:rPr>
      <w:kern w:val="0"/>
      <w:szCs w:val="20"/>
    </w:rPr>
  </w:style>
  <w:style w:type="character" w:customStyle="1" w:styleId="537">
    <w:name w:val="djcn2"/>
    <w:uiPriority w:val="0"/>
    <w:rPr>
      <w:rFonts w:ascii="Verdana" w:hAnsi="Verdana" w:eastAsia="宋体"/>
      <w:color w:val="666666"/>
      <w:lang w:val="en-US" w:eastAsia="en-US" w:bidi="ar-SA"/>
    </w:rPr>
  </w:style>
  <w:style w:type="character" w:customStyle="1" w:styleId="538">
    <w:name w:val="c01"/>
    <w:uiPriority w:val="0"/>
    <w:rPr>
      <w:rFonts w:ascii="Verdana" w:hAnsi="Verdana" w:eastAsia="宋体"/>
      <w:sz w:val="22"/>
      <w:szCs w:val="22"/>
      <w:shd w:val="clear" w:color="auto" w:fill="FBF8E6"/>
      <w:lang w:val="en-US" w:eastAsia="en-US" w:bidi="ar-SA"/>
    </w:rPr>
  </w:style>
  <w:style w:type="paragraph" w:customStyle="1" w:styleId="539">
    <w:name w:val="font0"/>
    <w:basedOn w:val="1"/>
    <w:uiPriority w:val="0"/>
    <w:pPr>
      <w:widowControl/>
      <w:snapToGrid/>
      <w:spacing w:beforeAutospacing="1" w:afterAutospacing="1" w:line="240" w:lineRule="auto"/>
      <w:ind w:firstLine="0" w:firstLineChars="0"/>
    </w:pPr>
    <w:rPr>
      <w:rFonts w:hint="eastAsia" w:ascii="宋体" w:hAnsi="宋体" w:cs="Arial Unicode MS"/>
      <w:kern w:val="0"/>
    </w:rPr>
  </w:style>
  <w:style w:type="paragraph" w:customStyle="1" w:styleId="540">
    <w:name w:val="样式 标题 3标题 3 Char Char1.1.1条标3§1.1.1.. (1.1.1)- 3rd Order ...1"/>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541">
    <w:name w:val="样式 标题 4Char1.1.1.1标题 4.1.1.1.1款1.1.1.1 Char标4§1.1.1.1§1...."/>
    <w:basedOn w:val="6"/>
    <w:link w:val="542"/>
    <w:uiPriority w:val="0"/>
    <w:pPr>
      <w:keepNext/>
      <w:keepLines/>
      <w:numPr>
        <w:ilvl w:val="0"/>
        <w:numId w:val="4"/>
      </w:numPr>
      <w:tabs>
        <w:tab w:val="clear" w:pos="0"/>
      </w:tabs>
      <w:snapToGrid/>
      <w:spacing w:before="280" w:beforeLines="10" w:after="290" w:afterLines="10" w:line="376" w:lineRule="auto"/>
      <w:ind w:left="864" w:hanging="144" w:firstLineChars="200"/>
      <w:jc w:val="both"/>
    </w:pPr>
    <w:rPr>
      <w:rFonts w:ascii="Cambria" w:hAnsi="Cambria"/>
      <w:sz w:val="28"/>
      <w:szCs w:val="28"/>
    </w:rPr>
  </w:style>
  <w:style w:type="character" w:customStyle="1" w:styleId="542">
    <w:name w:val="样式 标题 4Char1.1.1.1标题 4.1.1.1.1款1.1.1.1 Char标4§1.1.1.1§1.... Char"/>
    <w:link w:val="541"/>
    <w:uiPriority w:val="0"/>
    <w:rPr>
      <w:rFonts w:ascii="Cambria" w:hAnsi="Cambria"/>
      <w:b/>
      <w:bCs/>
      <w:kern w:val="2"/>
      <w:sz w:val="28"/>
      <w:szCs w:val="28"/>
    </w:rPr>
  </w:style>
  <w:style w:type="paragraph" w:customStyle="1" w:styleId="543">
    <w:name w:val="样式 标题 4Char1.1.1.1标题 4.1.1.1.1款1.1.1.1 Char标4§1.1.1.1§1....1"/>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character" w:customStyle="1" w:styleId="544">
    <w:name w:val="textsy1"/>
    <w:uiPriority w:val="0"/>
    <w:rPr>
      <w:rFonts w:ascii="Verdana" w:hAnsi="Verdana" w:eastAsia="宋体"/>
      <w:sz w:val="22"/>
      <w:szCs w:val="22"/>
      <w:lang w:val="en-US" w:eastAsia="en-US" w:bidi="ar-SA"/>
    </w:rPr>
  </w:style>
  <w:style w:type="paragraph" w:customStyle="1" w:styleId="545">
    <w:name w:val="font1"/>
    <w:basedOn w:val="1"/>
    <w:uiPriority w:val="0"/>
    <w:pPr>
      <w:widowControl/>
      <w:snapToGrid/>
      <w:spacing w:beforeAutospacing="1" w:afterAutospacing="1" w:line="240" w:lineRule="auto"/>
      <w:ind w:firstLine="0" w:firstLineChars="0"/>
    </w:pPr>
    <w:rPr>
      <w:rFonts w:eastAsia="Arial Unicode MS"/>
      <w:b/>
      <w:bCs/>
      <w:kern w:val="0"/>
    </w:rPr>
  </w:style>
  <w:style w:type="paragraph" w:customStyle="1" w:styleId="546">
    <w:name w:val="样式6"/>
    <w:basedOn w:val="1"/>
    <w:link w:val="1009"/>
    <w:uiPriority w:val="0"/>
    <w:pPr>
      <w:snapToGrid/>
      <w:spacing w:line="300" w:lineRule="auto"/>
      <w:ind w:firstLine="200"/>
      <w:jc w:val="both"/>
    </w:pPr>
    <w:rPr>
      <w:rFonts w:ascii="Arial Narrow" w:hAnsi="Arial Narrow" w:eastAsia="仿宋_GB2312"/>
    </w:rPr>
  </w:style>
  <w:style w:type="paragraph" w:customStyle="1" w:styleId="547">
    <w:name w:val="样式 标题 1 + 居中 段前: 12 磅 段后: 6 磅 行距: 多倍行距 1.25 字行"/>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548">
    <w:name w:val="纯文本1"/>
    <w:basedOn w:val="1"/>
    <w:uiPriority w:val="0"/>
    <w:pPr>
      <w:adjustRightInd w:val="0"/>
      <w:snapToGrid/>
      <w:spacing w:line="240" w:lineRule="auto"/>
      <w:ind w:firstLine="0" w:firstLineChars="0"/>
      <w:jc w:val="both"/>
      <w:textAlignment w:val="baseline"/>
    </w:pPr>
    <w:rPr>
      <w:rFonts w:ascii="宋体" w:hAnsi="Courier New"/>
      <w:sz w:val="21"/>
    </w:rPr>
  </w:style>
  <w:style w:type="paragraph" w:customStyle="1" w:styleId="549">
    <w:name w:val="proposal"/>
    <w:basedOn w:val="1"/>
    <w:uiPriority w:val="0"/>
    <w:pPr>
      <w:widowControl/>
      <w:snapToGrid/>
      <w:spacing w:line="300" w:lineRule="auto"/>
      <w:ind w:left="1440" w:hanging="1440" w:firstLineChars="0"/>
      <w:jc w:val="both"/>
    </w:pPr>
    <w:rPr>
      <w:kern w:val="0"/>
      <w:szCs w:val="20"/>
      <w:lang w:val="en-GB" w:eastAsia="en-GB"/>
    </w:rPr>
  </w:style>
  <w:style w:type="paragraph" w:customStyle="1" w:styleId="550">
    <w:name w:val="正文_01"/>
    <w:link w:val="551"/>
    <w:uiPriority w:val="0"/>
    <w:pPr>
      <w:widowControl w:val="0"/>
      <w:spacing w:line="360" w:lineRule="auto"/>
      <w:ind w:firstLine="560" w:firstLineChars="200"/>
      <w:jc w:val="both"/>
      <w:textAlignment w:val="center"/>
    </w:pPr>
    <w:rPr>
      <w:rFonts w:ascii="Garamond" w:hAnsi="Garamond" w:eastAsia="宋体" w:cs="Times New Roman"/>
      <w:bCs/>
      <w:color w:val="000000"/>
      <w:kern w:val="28"/>
      <w:sz w:val="28"/>
      <w:szCs w:val="28"/>
      <w:lang w:val="en-US" w:eastAsia="zh-CN" w:bidi="ar-SA"/>
    </w:rPr>
  </w:style>
  <w:style w:type="character" w:customStyle="1" w:styleId="551">
    <w:name w:val="正文_01 Char"/>
    <w:link w:val="550"/>
    <w:uiPriority w:val="0"/>
    <w:rPr>
      <w:rFonts w:ascii="Garamond" w:hAnsi="Garamond"/>
      <w:bCs/>
      <w:color w:val="000000"/>
      <w:kern w:val="28"/>
      <w:sz w:val="28"/>
      <w:szCs w:val="28"/>
    </w:rPr>
  </w:style>
  <w:style w:type="paragraph" w:customStyle="1" w:styleId="552">
    <w:name w:val="样式 标题 51)项标5标题 5 Char21) Char2项 Char2 + 左侧:  -0.04 厘米 首行缩..."/>
    <w:basedOn w:val="7"/>
    <w:uiPriority w:val="0"/>
  </w:style>
  <w:style w:type="paragraph" w:customStyle="1" w:styleId="553">
    <w:name w:val="样式 标题 3标题 3 Char Char1.1.1条标3§1.1.1.. (1.1.1)- 3rd Order ...2"/>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554">
    <w:name w:val="a"/>
    <w:basedOn w:val="1"/>
    <w:uiPriority w:val="0"/>
    <w:pPr>
      <w:widowControl/>
      <w:autoSpaceDE w:val="0"/>
      <w:autoSpaceDN w:val="0"/>
      <w:spacing w:line="240" w:lineRule="auto"/>
      <w:ind w:left="34" w:hanging="34" w:firstLineChars="0"/>
      <w:jc w:val="center"/>
    </w:pPr>
    <w:rPr>
      <w:rFonts w:ascii="Arial Narrow" w:hAnsi="Arial Narrow" w:cs="宋体"/>
      <w:b/>
      <w:bCs/>
      <w:kern w:val="0"/>
      <w:sz w:val="21"/>
      <w:szCs w:val="21"/>
    </w:rPr>
  </w:style>
  <w:style w:type="paragraph" w:customStyle="1" w:styleId="555">
    <w:name w:val="样式 标题 3标题 3 Char Char1.1.1条标3§1.1.1.. (1.1.1)- 3rd Order ...3"/>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556">
    <w:name w:val="基准标题"/>
    <w:basedOn w:val="34"/>
    <w:next w:val="34"/>
    <w:autoRedefine/>
    <w:qFormat/>
    <w:uiPriority w:val="0"/>
    <w:pPr>
      <w:snapToGrid/>
      <w:spacing w:before="0" w:after="120" w:line="300" w:lineRule="exact"/>
      <w:ind w:right="0" w:firstLine="0" w:firstLineChars="0"/>
    </w:pPr>
    <w:rPr>
      <w:rFonts w:ascii="宋体" w:hAnsi="Garamond"/>
      <w:b/>
      <w:sz w:val="24"/>
    </w:rPr>
  </w:style>
  <w:style w:type="paragraph" w:customStyle="1" w:styleId="557">
    <w:name w:val="正文新"/>
    <w:basedOn w:val="45"/>
    <w:autoRedefine/>
    <w:qFormat/>
    <w:uiPriority w:val="0"/>
    <w:pPr>
      <w:adjustRightInd/>
      <w:spacing w:beforeLines="0" w:afterLines="0" w:line="300" w:lineRule="auto"/>
      <w:ind w:firstLine="510" w:firstLineChars="0"/>
      <w:jc w:val="both"/>
      <w:textAlignment w:val="auto"/>
    </w:pPr>
    <w:rPr>
      <w:rFonts w:hAnsi="Arial"/>
      <w:snapToGrid w:val="0"/>
      <w:kern w:val="0"/>
    </w:rPr>
  </w:style>
  <w:style w:type="paragraph" w:customStyle="1" w:styleId="558">
    <w:name w:val="基准页眉样式"/>
    <w:basedOn w:val="34"/>
    <w:autoRedefine/>
    <w:qFormat/>
    <w:uiPriority w:val="0"/>
    <w:pPr>
      <w:snapToGrid/>
      <w:spacing w:before="0" w:after="120" w:line="320" w:lineRule="exact"/>
      <w:ind w:right="0" w:firstLine="0" w:firstLineChars="0"/>
      <w:jc w:val="center"/>
    </w:pPr>
    <w:rPr>
      <w:spacing w:val="-20"/>
      <w:sz w:val="21"/>
    </w:rPr>
  </w:style>
  <w:style w:type="paragraph" w:customStyle="1" w:styleId="559">
    <w:name w:val="基准脚注"/>
    <w:basedOn w:val="1"/>
    <w:autoRedefine/>
    <w:qFormat/>
    <w:uiPriority w:val="0"/>
    <w:pPr>
      <w:widowControl/>
      <w:snapToGrid/>
      <w:spacing w:line="240" w:lineRule="auto"/>
      <w:ind w:firstLine="0" w:firstLineChars="0"/>
    </w:pPr>
    <w:rPr>
      <w:rFonts w:ascii="Garamond" w:hAnsi="Garamond"/>
      <w:kern w:val="0"/>
      <w:sz w:val="22"/>
      <w:szCs w:val="20"/>
    </w:rPr>
  </w:style>
  <w:style w:type="paragraph" w:customStyle="1" w:styleId="560">
    <w:name w:val="Paratitre"/>
    <w:basedOn w:val="1"/>
    <w:autoRedefine/>
    <w:qFormat/>
    <w:uiPriority w:val="0"/>
    <w:pPr>
      <w:widowControl/>
      <w:overflowPunct w:val="0"/>
      <w:autoSpaceDE w:val="0"/>
      <w:autoSpaceDN w:val="0"/>
      <w:adjustRightInd w:val="0"/>
      <w:snapToGrid/>
      <w:spacing w:line="240" w:lineRule="auto"/>
      <w:ind w:left="700" w:firstLine="0" w:firstLineChars="0"/>
      <w:jc w:val="both"/>
      <w:textAlignment w:val="baseline"/>
    </w:pPr>
    <w:rPr>
      <w:rFonts w:ascii="Arial" w:hAnsi="Arial"/>
      <w:kern w:val="0"/>
      <w:sz w:val="20"/>
      <w:szCs w:val="20"/>
      <w:lang w:val="fr-FR"/>
    </w:rPr>
  </w:style>
  <w:style w:type="paragraph" w:customStyle="1" w:styleId="561">
    <w:name w:val="项目符号1"/>
    <w:basedOn w:val="1"/>
    <w:autoRedefine/>
    <w:qFormat/>
    <w:uiPriority w:val="0"/>
    <w:pPr>
      <w:numPr>
        <w:ilvl w:val="0"/>
        <w:numId w:val="5"/>
      </w:numPr>
      <w:spacing w:line="312" w:lineRule="auto"/>
      <w:ind w:firstLine="0" w:firstLineChars="0"/>
      <w:jc w:val="both"/>
    </w:pPr>
    <w:rPr>
      <w:rFonts w:ascii="Arial" w:hAnsi="Arial" w:eastAsia="楷体_GB2312"/>
      <w:b/>
      <w:sz w:val="28"/>
      <w:szCs w:val="20"/>
    </w:rPr>
  </w:style>
  <w:style w:type="paragraph" w:customStyle="1" w:styleId="562">
    <w:name w:val="项目符号2"/>
    <w:basedOn w:val="561"/>
    <w:autoRedefine/>
    <w:qFormat/>
    <w:uiPriority w:val="0"/>
    <w:pPr>
      <w:numPr>
        <w:numId w:val="6"/>
      </w:numPr>
      <w:tabs>
        <w:tab w:val="left" w:pos="360"/>
        <w:tab w:val="left" w:pos="720"/>
        <w:tab w:val="clear" w:pos="425"/>
      </w:tabs>
      <w:ind w:left="850" w:hanging="720"/>
    </w:pPr>
    <w:rPr>
      <w:b w:val="0"/>
    </w:rPr>
  </w:style>
  <w:style w:type="paragraph" w:customStyle="1" w:styleId="563">
    <w:name w:val="样式 标题 2_Heading 2标题 2 Char标题21.1标题 21.1节标2可研-标题 2节 Char..."/>
    <w:basedOn w:val="4"/>
    <w:link w:val="564"/>
    <w:autoRedefine/>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564">
    <w:name w:val="样式 标题 2_Heading 2标题 2 Char标题21.1标题 21.1节标2可研-标题 2节 Char... Char Char"/>
    <w:link w:val="563"/>
    <w:autoRedefine/>
    <w:qFormat/>
    <w:uiPriority w:val="0"/>
    <w:rPr>
      <w:rFonts w:ascii="Cambria" w:hAnsi="Cambria"/>
      <w:b/>
      <w:bCs/>
      <w:kern w:val="2"/>
      <w:sz w:val="32"/>
      <w:szCs w:val="32"/>
    </w:rPr>
  </w:style>
  <w:style w:type="character" w:customStyle="1" w:styleId="565">
    <w:name w:val="3zw1"/>
    <w:autoRedefine/>
    <w:uiPriority w:val="0"/>
    <w:rPr>
      <w:rFonts w:ascii="Verdana" w:hAnsi="Verdana" w:eastAsia="宋体"/>
      <w:color w:val="000000"/>
      <w:sz w:val="21"/>
      <w:szCs w:val="21"/>
      <w:u w:val="none"/>
      <w:lang w:val="en-US" w:eastAsia="en-US" w:bidi="ar-SA"/>
    </w:rPr>
  </w:style>
  <w:style w:type="character" w:customStyle="1" w:styleId="566">
    <w:name w:val="grame"/>
    <w:autoRedefine/>
    <w:qFormat/>
    <w:uiPriority w:val="0"/>
    <w:rPr>
      <w:rFonts w:ascii="Verdana" w:hAnsi="Verdana" w:eastAsia="宋体"/>
      <w:lang w:val="en-US" w:eastAsia="en-US" w:bidi="ar-SA"/>
    </w:rPr>
  </w:style>
  <w:style w:type="paragraph" w:customStyle="1" w:styleId="567">
    <w:name w:val="段落 内容"/>
    <w:basedOn w:val="1"/>
    <w:autoRedefine/>
    <w:qFormat/>
    <w:uiPriority w:val="0"/>
    <w:pPr>
      <w:snapToGrid/>
      <w:spacing w:beforeLines="50" w:afterLines="20"/>
      <w:ind w:firstLine="200"/>
      <w:jc w:val="both"/>
    </w:pPr>
    <w:rPr>
      <w:rFonts w:ascii="宋体" w:hAnsi="宋体" w:cs="宋体"/>
    </w:rPr>
  </w:style>
  <w:style w:type="paragraph" w:customStyle="1" w:styleId="568">
    <w:name w:val="样式 标题 2_Heading 2标题 2 Char1.1标题 21.1标题2节标2可研-标题 2节 Char..."/>
    <w:basedOn w:val="4"/>
    <w:autoRedefine/>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569">
    <w:name w:val="样式 正文文本 + (中文) 宋体 首行缩进:  0.2 厘米"/>
    <w:basedOn w:val="34"/>
    <w:uiPriority w:val="0"/>
    <w:pPr>
      <w:widowControl w:val="0"/>
      <w:adjustRightInd w:val="0"/>
      <w:spacing w:before="0" w:after="120" w:line="300" w:lineRule="auto"/>
      <w:ind w:right="0"/>
      <w:jc w:val="both"/>
      <w:textAlignment w:val="baseline"/>
    </w:pPr>
    <w:rPr>
      <w:rFonts w:ascii="Arial Narrow" w:hAnsi="Arial Narrow" w:cs="宋体"/>
      <w:color w:val="FF0000"/>
      <w:sz w:val="24"/>
    </w:rPr>
  </w:style>
  <w:style w:type="paragraph" w:customStyle="1" w:styleId="570">
    <w:name w:val="标题 54"/>
    <w:basedOn w:val="528"/>
    <w:autoRedefine/>
    <w:uiPriority w:val="0"/>
    <w:rPr>
      <w:rFonts w:cs="宋体"/>
      <w:bCs/>
    </w:rPr>
  </w:style>
  <w:style w:type="paragraph" w:customStyle="1" w:styleId="571">
    <w:name w:val="9"/>
    <w:basedOn w:val="1"/>
    <w:qFormat/>
    <w:uiPriority w:val="0"/>
    <w:pPr>
      <w:snapToGrid/>
      <w:spacing w:line="240" w:lineRule="auto"/>
      <w:ind w:firstLine="0" w:firstLineChars="0"/>
      <w:jc w:val="both"/>
    </w:pPr>
    <w:rPr>
      <w:rFonts w:ascii="Arial Narrow" w:hAnsi="Arial Narrow" w:eastAsia="仿宋_GB2312"/>
    </w:rPr>
  </w:style>
  <w:style w:type="paragraph" w:customStyle="1" w:styleId="572">
    <w:name w:val="8"/>
    <w:basedOn w:val="1"/>
    <w:next w:val="31"/>
    <w:autoRedefine/>
    <w:uiPriority w:val="0"/>
    <w:pPr>
      <w:snapToGrid/>
      <w:spacing w:line="300" w:lineRule="auto"/>
      <w:ind w:firstLine="0" w:firstLineChars="0"/>
      <w:jc w:val="center"/>
    </w:pPr>
    <w:rPr>
      <w:sz w:val="18"/>
      <w:szCs w:val="18"/>
    </w:rPr>
  </w:style>
  <w:style w:type="paragraph" w:customStyle="1" w:styleId="573">
    <w:name w:val="7"/>
    <w:basedOn w:val="1"/>
    <w:qFormat/>
    <w:uiPriority w:val="99"/>
    <w:pPr>
      <w:snapToGrid/>
      <w:spacing w:line="240" w:lineRule="auto"/>
      <w:ind w:firstLine="0" w:firstLineChars="0"/>
      <w:jc w:val="both"/>
    </w:pPr>
    <w:rPr>
      <w:rFonts w:ascii="Arial Narrow" w:hAnsi="Arial Narrow" w:eastAsia="仿宋_GB2312"/>
    </w:rPr>
  </w:style>
  <w:style w:type="paragraph" w:customStyle="1" w:styleId="574">
    <w:name w:val="6"/>
    <w:basedOn w:val="1"/>
    <w:qFormat/>
    <w:uiPriority w:val="99"/>
    <w:pPr>
      <w:snapToGrid/>
      <w:spacing w:line="240" w:lineRule="auto"/>
      <w:ind w:firstLine="0" w:firstLineChars="0"/>
      <w:jc w:val="both"/>
    </w:pPr>
    <w:rPr>
      <w:rFonts w:ascii="Arial Narrow" w:hAnsi="Arial Narrow" w:eastAsia="仿宋_GB2312"/>
    </w:rPr>
  </w:style>
  <w:style w:type="paragraph" w:customStyle="1" w:styleId="575">
    <w:name w:val="标题6"/>
    <w:basedOn w:val="1"/>
    <w:link w:val="2719"/>
    <w:autoRedefine/>
    <w:uiPriority w:val="0"/>
    <w:pPr>
      <w:autoSpaceDE w:val="0"/>
      <w:autoSpaceDN w:val="0"/>
      <w:adjustRightInd w:val="0"/>
      <w:spacing w:line="300" w:lineRule="auto"/>
      <w:textAlignment w:val="bottom"/>
      <w:outlineLvl w:val="5"/>
    </w:pPr>
    <w:rPr>
      <w:rFonts w:ascii="Arial Narrow" w:hAnsi="宋体"/>
    </w:rPr>
  </w:style>
  <w:style w:type="paragraph" w:customStyle="1" w:styleId="576">
    <w:name w:val="Heading"/>
    <w:basedOn w:val="1"/>
    <w:autoRedefine/>
    <w:uiPriority w:val="0"/>
    <w:pPr>
      <w:keepNext/>
      <w:widowControl/>
      <w:autoSpaceDE w:val="0"/>
      <w:autoSpaceDN w:val="0"/>
      <w:snapToGrid/>
      <w:spacing w:line="300" w:lineRule="auto"/>
      <w:ind w:left="1440" w:hanging="1440" w:firstLineChars="0"/>
    </w:pPr>
    <w:rPr>
      <w:kern w:val="28"/>
      <w:lang w:val="en-GB" w:eastAsia="en-GB"/>
    </w:rPr>
  </w:style>
  <w:style w:type="paragraph" w:customStyle="1" w:styleId="577">
    <w:name w:val="Heading2"/>
    <w:basedOn w:val="3"/>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578">
    <w:name w:val="批注框文本2"/>
    <w:basedOn w:val="1"/>
    <w:autoRedefine/>
    <w:semiHidden/>
    <w:qFormat/>
    <w:uiPriority w:val="0"/>
    <w:pPr>
      <w:widowControl/>
      <w:autoSpaceDE w:val="0"/>
      <w:autoSpaceDN w:val="0"/>
      <w:snapToGrid/>
      <w:spacing w:line="240" w:lineRule="auto"/>
      <w:ind w:firstLine="0" w:firstLineChars="0"/>
    </w:pPr>
    <w:rPr>
      <w:rFonts w:ascii="Tahoma" w:hAnsi="Tahoma" w:cs="幼圆"/>
      <w:kern w:val="0"/>
      <w:sz w:val="16"/>
      <w:szCs w:val="16"/>
      <w:lang w:val="en-GB" w:eastAsia="en-GB"/>
    </w:rPr>
  </w:style>
  <w:style w:type="paragraph" w:customStyle="1" w:styleId="579">
    <w:name w:val="bluck"/>
    <w:basedOn w:val="1"/>
    <w:qFormat/>
    <w:uiPriority w:val="0"/>
    <w:pPr>
      <w:widowControl/>
      <w:snapToGrid/>
      <w:spacing w:beforeAutospacing="1" w:afterAutospacing="1" w:line="301" w:lineRule="atLeast"/>
      <w:ind w:firstLine="0" w:firstLineChars="0"/>
    </w:pPr>
    <w:rPr>
      <w:rFonts w:eastAsia="Arial Unicode MS" w:cs="Arial Unicode MS"/>
      <w:color w:val="000000"/>
      <w:kern w:val="0"/>
      <w:sz w:val="22"/>
      <w:szCs w:val="22"/>
    </w:rPr>
  </w:style>
  <w:style w:type="character" w:customStyle="1" w:styleId="580">
    <w:name w:val="black1"/>
    <w:uiPriority w:val="0"/>
    <w:rPr>
      <w:rFonts w:hint="default" w:eastAsia="宋体"/>
      <w:color w:val="000000"/>
      <w:sz w:val="20"/>
      <w:szCs w:val="20"/>
      <w:lang w:val="en-US" w:eastAsia="en-US" w:bidi="ar-SA"/>
    </w:rPr>
  </w:style>
  <w:style w:type="paragraph" w:customStyle="1" w:styleId="581">
    <w:name w:val="标3正文项"/>
    <w:basedOn w:val="1"/>
    <w:qFormat/>
    <w:uiPriority w:val="0"/>
    <w:pPr>
      <w:snapToGrid/>
      <w:ind w:firstLine="540" w:firstLineChars="0"/>
      <w:jc w:val="both"/>
    </w:pPr>
  </w:style>
  <w:style w:type="paragraph" w:customStyle="1" w:styleId="582">
    <w:name w:val="In Table (II)"/>
    <w:basedOn w:val="1"/>
    <w:qFormat/>
    <w:uiPriority w:val="0"/>
    <w:pPr>
      <w:tabs>
        <w:tab w:val="left" w:pos="2200"/>
        <w:tab w:val="left" w:pos="3960"/>
        <w:tab w:val="left" w:pos="5280"/>
      </w:tabs>
      <w:snapToGrid/>
      <w:spacing w:line="0" w:lineRule="atLeast"/>
      <w:ind w:left="48" w:leftChars="20" w:firstLine="0" w:firstLineChars="0"/>
    </w:pPr>
    <w:rPr>
      <w:rFonts w:ascii="Tahoma" w:hAnsi="Tahoma" w:eastAsia="华文中宋" w:cs="Arial"/>
      <w:bCs/>
      <w:sz w:val="21"/>
      <w:szCs w:val="21"/>
    </w:rPr>
  </w:style>
  <w:style w:type="paragraph" w:customStyle="1" w:styleId="583">
    <w:name w:val="In Table"/>
    <w:basedOn w:val="1"/>
    <w:qFormat/>
    <w:uiPriority w:val="0"/>
    <w:pPr>
      <w:tabs>
        <w:tab w:val="left" w:pos="2200"/>
        <w:tab w:val="left" w:pos="3960"/>
        <w:tab w:val="left" w:pos="5280"/>
      </w:tabs>
      <w:snapToGrid/>
      <w:spacing w:line="0" w:lineRule="atLeast"/>
      <w:ind w:firstLine="0" w:firstLineChars="0"/>
      <w:jc w:val="center"/>
    </w:pPr>
    <w:rPr>
      <w:rFonts w:ascii="Tahoma" w:hAnsi="Tahoma" w:eastAsia="华文中宋" w:cs="Arial"/>
      <w:bCs/>
      <w:sz w:val="21"/>
      <w:szCs w:val="21"/>
    </w:rPr>
  </w:style>
  <w:style w:type="paragraph" w:customStyle="1" w:styleId="584">
    <w:name w:val="说明书"/>
    <w:basedOn w:val="1"/>
    <w:autoRedefine/>
    <w:qFormat/>
    <w:uiPriority w:val="0"/>
    <w:pPr>
      <w:adjustRightInd w:val="0"/>
      <w:snapToGrid/>
      <w:spacing w:line="500" w:lineRule="exact"/>
      <w:ind w:firstLine="624" w:firstLineChars="0"/>
      <w:jc w:val="both"/>
      <w:textAlignment w:val="baseline"/>
    </w:pPr>
    <w:rPr>
      <w:rFonts w:ascii="Arial" w:hAnsi="Arial"/>
      <w:kern w:val="0"/>
      <w:sz w:val="28"/>
      <w:szCs w:val="20"/>
    </w:rPr>
  </w:style>
  <w:style w:type="paragraph" w:customStyle="1" w:styleId="585">
    <w:name w:val="样式 样式 标题 41.1.1.1标题 4.1.1.1.1标题 4 Char款1.1.1.1 Char标4 + (符号) ......"/>
    <w:basedOn w:val="1"/>
    <w:autoRedefine/>
    <w:qFormat/>
    <w:uiPriority w:val="0"/>
    <w:pPr>
      <w:keepLines/>
      <w:autoSpaceDE w:val="0"/>
      <w:autoSpaceDN w:val="0"/>
      <w:adjustRightInd w:val="0"/>
      <w:ind w:firstLine="0" w:firstLineChars="0"/>
      <w:textAlignment w:val="bottom"/>
      <w:outlineLvl w:val="3"/>
    </w:pPr>
    <w:rPr>
      <w:rFonts w:ascii="宋体" w:hAnsi="宋体"/>
      <w:sz w:val="28"/>
      <w:szCs w:val="20"/>
    </w:rPr>
  </w:style>
  <w:style w:type="character" w:customStyle="1" w:styleId="586">
    <w:name w:val="正文首行缩进 Char1"/>
    <w:link w:val="86"/>
    <w:autoRedefine/>
    <w:qFormat/>
    <w:uiPriority w:val="0"/>
    <w:rPr>
      <w:color w:val="000000"/>
      <w:kern w:val="2"/>
      <w:sz w:val="24"/>
      <w:szCs w:val="24"/>
    </w:rPr>
  </w:style>
  <w:style w:type="paragraph" w:customStyle="1" w:styleId="587">
    <w:name w:val="标题 51"/>
    <w:basedOn w:val="1"/>
    <w:autoRedefine/>
    <w:qFormat/>
    <w:uiPriority w:val="0"/>
    <w:pPr>
      <w:tabs>
        <w:tab w:val="left" w:pos="0"/>
      </w:tabs>
      <w:autoSpaceDE w:val="0"/>
      <w:autoSpaceDN w:val="0"/>
      <w:adjustRightInd w:val="0"/>
      <w:spacing w:line="420" w:lineRule="exact"/>
      <w:ind w:right="-263" w:firstLine="360"/>
      <w:jc w:val="both"/>
    </w:pPr>
    <w:rPr>
      <w:rFonts w:ascii="仿宋_GB2312" w:hAnsi="宋体" w:eastAsia="仿宋_GB2312" w:cs="宋体"/>
    </w:rPr>
  </w:style>
  <w:style w:type="character" w:customStyle="1" w:styleId="588">
    <w:name w:val="1) Char1"/>
    <w:qFormat/>
    <w:uiPriority w:val="0"/>
    <w:rPr>
      <w:rFonts w:ascii="宋体" w:hAnsi="宋体" w:eastAsia="宋体"/>
      <w:kern w:val="2"/>
      <w:sz w:val="28"/>
      <w:szCs w:val="28"/>
      <w:lang w:val="en-US" w:eastAsia="zh-CN" w:bidi="ar-SA"/>
    </w:rPr>
  </w:style>
  <w:style w:type="character" w:customStyle="1" w:styleId="589">
    <w:name w:val="标题 5 Char1"/>
    <w:qFormat/>
    <w:uiPriority w:val="0"/>
  </w:style>
  <w:style w:type="paragraph" w:customStyle="1" w:styleId="590">
    <w:name w:val="表中居中文字"/>
    <w:basedOn w:val="1"/>
    <w:autoRedefine/>
    <w:qFormat/>
    <w:uiPriority w:val="0"/>
    <w:pPr>
      <w:autoSpaceDE w:val="0"/>
      <w:autoSpaceDN w:val="0"/>
      <w:adjustRightInd w:val="0"/>
      <w:spacing w:line="300" w:lineRule="auto"/>
      <w:ind w:firstLine="0" w:firstLineChars="0"/>
      <w:jc w:val="center"/>
    </w:pPr>
    <w:rPr>
      <w:rFonts w:ascii="仿宋_GB2312" w:hAnsi="宋体" w:eastAsia="仿宋_GB2312" w:cs="Arial"/>
      <w:szCs w:val="18"/>
    </w:rPr>
  </w:style>
  <w:style w:type="paragraph" w:customStyle="1" w:styleId="591">
    <w:name w:val="zxl正文首行缩进  2 字符 行距: Char"/>
    <w:basedOn w:val="1"/>
    <w:uiPriority w:val="0"/>
    <w:pPr>
      <w:widowControl/>
      <w:tabs>
        <w:tab w:val="left" w:pos="-1843"/>
        <w:tab w:val="left" w:pos="1727"/>
        <w:tab w:val="left" w:pos="1884"/>
      </w:tabs>
      <w:autoSpaceDE w:val="0"/>
      <w:autoSpaceDN w:val="0"/>
      <w:adjustRightInd w:val="0"/>
      <w:spacing w:line="336" w:lineRule="auto"/>
      <w:jc w:val="both"/>
      <w:textAlignment w:val="bottom"/>
      <w:outlineLvl w:val="0"/>
    </w:pPr>
    <w:rPr>
      <w:rFonts w:ascii="仿宋_GB2312" w:hAnsi="宋体" w:eastAsia="仿宋_GB2312" w:cs="宋体"/>
      <w:color w:val="000000"/>
    </w:rPr>
  </w:style>
  <w:style w:type="paragraph" w:customStyle="1" w:styleId="592">
    <w:name w:val="列表项目符号1.缩2"/>
    <w:basedOn w:val="1"/>
    <w:autoRedefine/>
    <w:qFormat/>
    <w:uiPriority w:val="0"/>
    <w:pPr>
      <w:tabs>
        <w:tab w:val="left" w:pos="397"/>
        <w:tab w:val="left" w:pos="945"/>
      </w:tabs>
      <w:autoSpaceDE w:val="0"/>
      <w:autoSpaceDN w:val="0"/>
      <w:adjustRightInd w:val="0"/>
      <w:spacing w:line="300" w:lineRule="auto"/>
      <w:ind w:firstLine="425"/>
      <w:jc w:val="both"/>
      <w:textAlignment w:val="baseline"/>
    </w:pPr>
    <w:rPr>
      <w:rFonts w:ascii="仿宋_GB2312" w:hAnsi="宋体" w:eastAsia="仿宋_GB2312" w:cs="宋体"/>
      <w:kern w:val="0"/>
      <w:szCs w:val="20"/>
    </w:rPr>
  </w:style>
  <w:style w:type="paragraph" w:customStyle="1" w:styleId="593">
    <w:name w:val="表格文字中"/>
    <w:basedOn w:val="1"/>
    <w:autoRedefine/>
    <w:uiPriority w:val="0"/>
    <w:pPr>
      <w:keepNext/>
      <w:widowControl/>
      <w:tabs>
        <w:tab w:val="left" w:pos="1727"/>
        <w:tab w:val="left" w:pos="1884"/>
      </w:tabs>
      <w:autoSpaceDE w:val="0"/>
      <w:autoSpaceDN w:val="0"/>
      <w:adjustRightInd w:val="0"/>
      <w:spacing w:line="300" w:lineRule="auto"/>
      <w:jc w:val="center"/>
      <w:outlineLvl w:val="0"/>
    </w:pPr>
    <w:rPr>
      <w:rFonts w:ascii="黑体" w:hAnsi="宋体" w:eastAsia="黑体" w:cs="宋体"/>
      <w:color w:val="000000"/>
      <w:kern w:val="0"/>
      <w:sz w:val="18"/>
      <w:szCs w:val="20"/>
    </w:rPr>
  </w:style>
  <w:style w:type="character" w:customStyle="1" w:styleId="594">
    <w:name w:val="表格文字中 Char"/>
    <w:autoRedefine/>
    <w:qFormat/>
    <w:uiPriority w:val="0"/>
    <w:rPr>
      <w:rFonts w:ascii="黑体" w:hAnsi="宋体" w:eastAsia="黑体"/>
      <w:color w:val="000000"/>
      <w:sz w:val="18"/>
      <w:lang w:val="en-US" w:eastAsia="zh-CN" w:bidi="ar-SA"/>
    </w:rPr>
  </w:style>
  <w:style w:type="paragraph" w:customStyle="1" w:styleId="595">
    <w:name w:val="表格文字左"/>
    <w:basedOn w:val="590"/>
    <w:autoRedefine/>
    <w:uiPriority w:val="0"/>
    <w:pPr>
      <w:ind w:firstLine="180" w:firstLineChars="75"/>
      <w:jc w:val="left"/>
    </w:pPr>
  </w:style>
  <w:style w:type="paragraph" w:customStyle="1" w:styleId="596">
    <w:name w:val="表格文字居中 Char Char"/>
    <w:basedOn w:val="86"/>
    <w:uiPriority w:val="0"/>
    <w:pPr>
      <w:keepNext/>
      <w:widowControl/>
      <w:tabs>
        <w:tab w:val="left" w:pos="628"/>
        <w:tab w:val="left" w:pos="1727"/>
        <w:tab w:val="left" w:pos="1884"/>
        <w:tab w:val="left" w:pos="4900"/>
      </w:tabs>
      <w:autoSpaceDE w:val="0"/>
      <w:autoSpaceDN w:val="0"/>
      <w:adjustRightInd w:val="0"/>
      <w:snapToGrid w:val="0"/>
      <w:spacing w:before="100" w:beforeAutospacing="1" w:after="0"/>
      <w:ind w:firstLine="0" w:firstLineChars="0"/>
      <w:jc w:val="center"/>
    </w:pPr>
    <w:rPr>
      <w:rFonts w:hint="eastAsia" w:ascii="仿宋_GB2312" w:hAnsi="宋体" w:eastAsia="仿宋_GB2312" w:cs="宋体"/>
      <w:color w:val="FF0000"/>
    </w:rPr>
  </w:style>
  <w:style w:type="paragraph" w:customStyle="1" w:styleId="597">
    <w:name w:val="列表项目符号1."/>
    <w:basedOn w:val="1"/>
    <w:qFormat/>
    <w:uiPriority w:val="0"/>
    <w:pPr>
      <w:keepNext/>
      <w:autoSpaceDE w:val="0"/>
      <w:autoSpaceDN w:val="0"/>
      <w:adjustRightInd w:val="0"/>
      <w:spacing w:line="312" w:lineRule="atLeast"/>
      <w:ind w:left="425" w:hanging="425" w:firstLineChars="0"/>
      <w:jc w:val="both"/>
      <w:textAlignment w:val="baseline"/>
    </w:pPr>
    <w:rPr>
      <w:rFonts w:ascii="仿宋_GB2312" w:hAnsi="宋体" w:eastAsia="仿宋_GB2312" w:cs="宋体"/>
      <w:kern w:val="0"/>
      <w:sz w:val="21"/>
      <w:szCs w:val="20"/>
    </w:rPr>
  </w:style>
  <w:style w:type="paragraph" w:customStyle="1" w:styleId="598">
    <w:name w:val="font12"/>
    <w:basedOn w:val="1"/>
    <w:autoRedefine/>
    <w:qFormat/>
    <w:uiPriority w:val="0"/>
    <w:pPr>
      <w:widowControl/>
      <w:autoSpaceDE w:val="0"/>
      <w:autoSpaceDN w:val="0"/>
      <w:adjustRightInd w:val="0"/>
      <w:spacing w:beforeAutospacing="1" w:afterAutospacing="1" w:line="300" w:lineRule="auto"/>
      <w:ind w:firstLine="0" w:firstLineChars="0"/>
      <w:jc w:val="both"/>
    </w:pPr>
    <w:rPr>
      <w:rFonts w:ascii="Arial" w:hAnsi="Arial" w:eastAsia="Arial Unicode MS" w:cs="Arial"/>
      <w:kern w:val="0"/>
      <w:sz w:val="18"/>
      <w:szCs w:val="18"/>
    </w:rPr>
  </w:style>
  <w:style w:type="paragraph" w:customStyle="1" w:styleId="599">
    <w:name w:val="font13"/>
    <w:basedOn w:val="1"/>
    <w:autoRedefine/>
    <w:qFormat/>
    <w:uiPriority w:val="0"/>
    <w:pPr>
      <w:widowControl/>
      <w:autoSpaceDE w:val="0"/>
      <w:autoSpaceDN w:val="0"/>
      <w:adjustRightInd w:val="0"/>
      <w:spacing w:beforeAutospacing="1" w:afterAutospacing="1" w:line="300" w:lineRule="auto"/>
      <w:ind w:firstLine="0" w:firstLineChars="0"/>
      <w:jc w:val="both"/>
    </w:pPr>
    <w:rPr>
      <w:rFonts w:ascii="Arial" w:hAnsi="Arial" w:eastAsia="Arial Unicode MS" w:cs="Arial"/>
      <w:kern w:val="0"/>
      <w:sz w:val="18"/>
      <w:szCs w:val="18"/>
    </w:rPr>
  </w:style>
  <w:style w:type="paragraph" w:customStyle="1" w:styleId="600">
    <w:name w:val="注意"/>
    <w:basedOn w:val="1"/>
    <w:next w:val="86"/>
    <w:autoRedefine/>
    <w:qFormat/>
    <w:uiPriority w:val="0"/>
    <w:pPr>
      <w:keepNext/>
      <w:autoSpaceDE w:val="0"/>
      <w:autoSpaceDN w:val="0"/>
      <w:adjustRightInd w:val="0"/>
      <w:spacing w:line="300" w:lineRule="auto"/>
      <w:ind w:firstLine="198"/>
      <w:jc w:val="both"/>
    </w:pPr>
    <w:rPr>
      <w:rFonts w:ascii="仿宋_GB2312" w:hAnsi="宋体" w:eastAsia="楷体_GB2312" w:cs="宋体"/>
      <w:color w:val="000000"/>
      <w:sz w:val="21"/>
    </w:rPr>
  </w:style>
  <w:style w:type="paragraph" w:customStyle="1" w:styleId="601">
    <w:name w:val="样式 标题 1 + 黑体 四号 自动设置 两端对齐 段前: 7.8 磅 段后: 7.8 磅"/>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602">
    <w:name w:val="样式 标题 51)项标题 5 Char1) Char项 Char标5 + 左 Char"/>
    <w:basedOn w:val="7"/>
    <w:next w:val="86"/>
    <w:link w:val="603"/>
    <w:autoRedefine/>
    <w:uiPriority w:val="0"/>
  </w:style>
  <w:style w:type="character" w:customStyle="1" w:styleId="603">
    <w:name w:val="样式 标题 51)项标题 5 Char1) Char项 Char标5 + 左 Char Char"/>
    <w:link w:val="602"/>
    <w:autoRedefine/>
    <w:uiPriority w:val="0"/>
    <w:rPr>
      <w:rFonts w:ascii="宋体"/>
      <w:b/>
      <w:spacing w:val="6"/>
      <w:kern w:val="2"/>
      <w:sz w:val="26"/>
      <w:szCs w:val="26"/>
    </w:rPr>
  </w:style>
  <w:style w:type="paragraph" w:customStyle="1" w:styleId="604">
    <w:name w:val="样式 题注 + 首行缩进:  2 字符"/>
    <w:basedOn w:val="22"/>
    <w:uiPriority w:val="0"/>
    <w:pPr>
      <w:autoSpaceDE w:val="0"/>
      <w:autoSpaceDN w:val="0"/>
      <w:adjustRightInd w:val="0"/>
      <w:spacing w:line="240" w:lineRule="auto"/>
      <w:ind w:firstLine="400" w:firstLineChars="0"/>
      <w:jc w:val="center"/>
    </w:pPr>
    <w:rPr>
      <w:rFonts w:ascii="黑体" w:hAnsi="宋体" w:cs="宋体"/>
      <w:color w:val="000000"/>
      <w:sz w:val="24"/>
      <w:szCs w:val="24"/>
    </w:rPr>
  </w:style>
  <w:style w:type="paragraph" w:customStyle="1" w:styleId="605">
    <w:name w:val="样式 题注"/>
    <w:basedOn w:val="22"/>
    <w:uiPriority w:val="0"/>
    <w:pPr>
      <w:autoSpaceDE w:val="0"/>
      <w:autoSpaceDN w:val="0"/>
      <w:adjustRightInd w:val="0"/>
      <w:spacing w:line="240" w:lineRule="auto"/>
      <w:ind w:firstLine="617" w:firstLineChars="0"/>
      <w:jc w:val="center"/>
    </w:pPr>
    <w:rPr>
      <w:rFonts w:ascii="黑体" w:hAnsi="宋体" w:cs="Arial"/>
      <w:color w:val="000000"/>
      <w:sz w:val="24"/>
      <w:szCs w:val="24"/>
    </w:rPr>
  </w:style>
  <w:style w:type="paragraph" w:customStyle="1" w:styleId="606">
    <w:name w:val="表中文字居中"/>
    <w:basedOn w:val="1"/>
    <w:next w:val="86"/>
    <w:qFormat/>
    <w:uiPriority w:val="0"/>
    <w:pPr>
      <w:keepNext/>
      <w:autoSpaceDE w:val="0"/>
      <w:autoSpaceDN w:val="0"/>
      <w:adjustRightInd w:val="0"/>
      <w:spacing w:line="300" w:lineRule="auto"/>
      <w:jc w:val="center"/>
    </w:pPr>
    <w:rPr>
      <w:rFonts w:ascii="仿宋_GB2312" w:hAnsi="宋体" w:eastAsia="仿宋_GB2312" w:cs="宋体"/>
    </w:rPr>
  </w:style>
  <w:style w:type="paragraph" w:customStyle="1" w:styleId="607">
    <w:name w:val="样式 标题 51)项标题 5 Char1) Char项 Char标5 + 左1"/>
    <w:basedOn w:val="7"/>
    <w:next w:val="1"/>
    <w:autoRedefine/>
    <w:qFormat/>
    <w:uiPriority w:val="0"/>
  </w:style>
  <w:style w:type="paragraph" w:customStyle="1" w:styleId="608">
    <w:name w:val="备注"/>
    <w:basedOn w:val="86"/>
    <w:autoRedefine/>
    <w:qFormat/>
    <w:uiPriority w:val="0"/>
    <w:pPr>
      <w:keepNext/>
      <w:tabs>
        <w:tab w:val="left" w:pos="628"/>
        <w:tab w:val="left" w:pos="1727"/>
        <w:tab w:val="left" w:pos="1884"/>
        <w:tab w:val="left" w:pos="4900"/>
      </w:tabs>
      <w:autoSpaceDE w:val="0"/>
      <w:autoSpaceDN w:val="0"/>
      <w:adjustRightInd w:val="0"/>
      <w:snapToGrid w:val="0"/>
      <w:spacing w:after="0" w:line="300" w:lineRule="auto"/>
      <w:ind w:firstLine="480" w:firstLineChars="200"/>
      <w:jc w:val="center"/>
    </w:pPr>
    <w:rPr>
      <w:rFonts w:ascii="仿宋_GB2312" w:hAnsi="宋体" w:eastAsia="楷体_GB2312" w:cs="宋体"/>
      <w:bCs/>
      <w:color w:val="auto"/>
    </w:rPr>
  </w:style>
  <w:style w:type="paragraph" w:customStyle="1" w:styleId="609">
    <w:name w:val="样式 目录 1目录 + 首行缩进:  2 字符"/>
    <w:basedOn w:val="59"/>
    <w:autoRedefine/>
    <w:qFormat/>
    <w:uiPriority w:val="0"/>
    <w:pPr>
      <w:keepNext/>
      <w:tabs>
        <w:tab w:val="right" w:leader="dot" w:pos="9062"/>
        <w:tab w:val="clear" w:pos="9060"/>
      </w:tabs>
      <w:autoSpaceDE w:val="0"/>
      <w:autoSpaceDN w:val="0"/>
      <w:adjustRightInd w:val="0"/>
      <w:snapToGrid w:val="0"/>
      <w:spacing w:beforeLines="0" w:afterLines="0" w:line="300" w:lineRule="auto"/>
      <w:jc w:val="both"/>
    </w:pPr>
    <w:rPr>
      <w:rFonts w:ascii="Arial Narrow" w:hAnsi="Arial Narrow" w:eastAsia="仿宋_GB2312" w:cs="宋体"/>
      <w:b w:val="0"/>
      <w:bCs/>
      <w:caps/>
      <w:color w:val="000000"/>
      <w:sz w:val="20"/>
      <w:szCs w:val="20"/>
    </w:rPr>
  </w:style>
  <w:style w:type="paragraph" w:customStyle="1" w:styleId="610">
    <w:name w:val="题注2"/>
    <w:basedOn w:val="22"/>
    <w:autoRedefine/>
    <w:uiPriority w:val="0"/>
    <w:pPr>
      <w:keepNext/>
      <w:autoSpaceDE w:val="0"/>
      <w:autoSpaceDN w:val="0"/>
      <w:adjustRightInd w:val="0"/>
      <w:spacing w:afterLines="50" w:line="240" w:lineRule="auto"/>
      <w:ind w:right="109" w:rightChars="39" w:firstLine="0" w:firstLineChars="0"/>
      <w:jc w:val="center"/>
    </w:pPr>
    <w:rPr>
      <w:rFonts w:ascii="黑体" w:hAnsi="宋体" w:cs="Arial"/>
      <w:b/>
      <w:snapToGrid w:val="0"/>
      <w:color w:val="000000"/>
      <w:kern w:val="0"/>
      <w:sz w:val="24"/>
      <w:szCs w:val="24"/>
    </w:rPr>
  </w:style>
  <w:style w:type="paragraph" w:customStyle="1" w:styleId="611">
    <w:name w:val="样式 正文首行缩进 + 首行缩进:  2 字符"/>
    <w:basedOn w:val="86"/>
    <w:autoRedefine/>
    <w:qFormat/>
    <w:uiPriority w:val="0"/>
    <w:pPr>
      <w:tabs>
        <w:tab w:val="left" w:pos="628"/>
        <w:tab w:val="left" w:pos="1727"/>
        <w:tab w:val="left" w:pos="1884"/>
        <w:tab w:val="left" w:pos="2660"/>
        <w:tab w:val="left" w:pos="5460"/>
      </w:tabs>
      <w:autoSpaceDE w:val="0"/>
      <w:autoSpaceDN w:val="0"/>
      <w:adjustRightInd w:val="0"/>
      <w:snapToGrid w:val="0"/>
      <w:spacing w:after="0" w:line="300" w:lineRule="auto"/>
      <w:ind w:firstLine="480" w:firstLineChars="200"/>
      <w:jc w:val="center"/>
    </w:pPr>
    <w:rPr>
      <w:rFonts w:ascii="仿宋_GB2312" w:hAnsi="宋体" w:eastAsia="仿宋_GB2312" w:cs="宋体"/>
      <w:bCs/>
    </w:rPr>
  </w:style>
  <w:style w:type="paragraph" w:customStyle="1" w:styleId="612">
    <w:name w:val="样式 标题 1标题 1 Char标1第一章 + 两端对齐 段前: 0.5 行 段后: 0.5 行"/>
    <w:basedOn w:val="3"/>
    <w:autoRedefine/>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613">
    <w:name w:val="样式 标题 31.1.1条标题 3 Char Char标题 3 Char标3 +"/>
    <w:basedOn w:val="5"/>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614">
    <w:name w:val="样式 标题 21.1标题 21.1标题2标题 2 Char1节_Heading 2标2 + 段前: 0.5 行..."/>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615">
    <w:name w:val="样式 标题 41.1.1.1标题 4.1.1.1.1标题 4 Char款1.1.1.1 Char标4 +"/>
    <w:basedOn w:val="6"/>
    <w:autoRedefine/>
    <w:qFormat/>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616">
    <w:name w:val="样式 标题 51)项标5 +"/>
    <w:basedOn w:val="7"/>
    <w:qFormat/>
    <w:uiPriority w:val="0"/>
  </w:style>
  <w:style w:type="paragraph" w:customStyle="1" w:styleId="617">
    <w:name w:val="样式 标题 51)项标5 +1"/>
    <w:basedOn w:val="7"/>
    <w:autoRedefine/>
    <w:uiPriority w:val="0"/>
  </w:style>
  <w:style w:type="paragraph" w:customStyle="1" w:styleId="618">
    <w:name w:val="样式 标题 1标题 1 Char标1 + 段前: 0.5 行 段后: 0.5 行"/>
    <w:basedOn w:val="3"/>
    <w:autoRedefine/>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619">
    <w:name w:val="样式 标题 21.1标题 21.1标题2标题 2 Char1节_Heading 2标2二级标题1.1标题 +..."/>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620">
    <w:name w:val="标题 52"/>
    <w:basedOn w:val="1"/>
    <w:uiPriority w:val="0"/>
    <w:pPr>
      <w:autoSpaceDE w:val="0"/>
      <w:autoSpaceDN w:val="0"/>
      <w:adjustRightInd w:val="0"/>
      <w:spacing w:line="300" w:lineRule="auto"/>
      <w:ind w:firstLine="567"/>
      <w:jc w:val="both"/>
    </w:pPr>
    <w:rPr>
      <w:rFonts w:ascii="仿宋_GB2312" w:hAnsi="宋体" w:eastAsia="仿宋_GB2312" w:cs="宋体"/>
    </w:rPr>
  </w:style>
  <w:style w:type="paragraph" w:customStyle="1" w:styleId="621">
    <w:name w:val="样式 标题 21.1标题 21.1标题2标题 2 Char1节_Heading 2标2二级标题1.1标题 +...1"/>
    <w:basedOn w:val="1"/>
    <w:next w:val="86"/>
    <w:uiPriority w:val="0"/>
    <w:pPr>
      <w:keepNext/>
      <w:autoSpaceDE w:val="0"/>
      <w:autoSpaceDN w:val="0"/>
      <w:adjustRightInd w:val="0"/>
      <w:spacing w:line="300" w:lineRule="auto"/>
      <w:jc w:val="both"/>
    </w:pPr>
    <w:rPr>
      <w:rFonts w:ascii="仿宋_GB2312" w:hAnsi="宋体" w:eastAsia="仿宋_GB2312" w:cs="宋体"/>
      <w:szCs w:val="20"/>
    </w:rPr>
  </w:style>
  <w:style w:type="paragraph" w:customStyle="1" w:styleId="622">
    <w:name w:val="c"/>
    <w:autoRedefine/>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623">
    <w:name w:val="gb1"/>
    <w:basedOn w:val="1"/>
    <w:uiPriority w:val="0"/>
    <w:pPr>
      <w:tabs>
        <w:tab w:val="left" w:pos="227"/>
      </w:tabs>
      <w:overflowPunct w:val="0"/>
      <w:autoSpaceDE w:val="0"/>
      <w:autoSpaceDN w:val="0"/>
      <w:adjustRightInd w:val="0"/>
      <w:spacing w:line="300" w:lineRule="auto"/>
      <w:jc w:val="both"/>
      <w:textAlignment w:val="baseline"/>
    </w:pPr>
    <w:rPr>
      <w:rFonts w:ascii="Arial" w:hAnsi="Arial" w:eastAsia="仿宋体" w:cs="宋体"/>
      <w:kern w:val="0"/>
      <w:sz w:val="21"/>
      <w:szCs w:val="20"/>
    </w:rPr>
  </w:style>
  <w:style w:type="paragraph" w:customStyle="1" w:styleId="624">
    <w:name w:val="注释标题4"/>
    <w:basedOn w:val="16"/>
    <w:uiPriority w:val="0"/>
    <w:pPr>
      <w:autoSpaceDE w:val="0"/>
      <w:autoSpaceDN w:val="0"/>
      <w:adjustRightInd w:val="0"/>
      <w:snapToGrid w:val="0"/>
      <w:spacing w:line="300" w:lineRule="auto"/>
      <w:ind w:left="-20" w:firstLine="198" w:firstLineChars="200"/>
    </w:pPr>
    <w:rPr>
      <w:rFonts w:ascii="仿宋_GB2312" w:hAnsi="宋体" w:cs="宋体"/>
    </w:rPr>
  </w:style>
  <w:style w:type="paragraph" w:customStyle="1" w:styleId="625">
    <w:name w:val="首页脚注"/>
    <w:basedOn w:val="55"/>
    <w:uiPriority w:val="0"/>
    <w:pPr>
      <w:tabs>
        <w:tab w:val="clear" w:pos="4153"/>
        <w:tab w:val="clear" w:pos="8306"/>
      </w:tabs>
      <w:snapToGrid/>
      <w:spacing w:beforeLines="10" w:afterLines="10"/>
      <w:ind w:firstLine="200"/>
      <w:jc w:val="both"/>
    </w:pPr>
    <w:rPr>
      <w:kern w:val="2"/>
      <w:sz w:val="24"/>
      <w:szCs w:val="22"/>
    </w:rPr>
  </w:style>
  <w:style w:type="paragraph" w:customStyle="1" w:styleId="626">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7">
    <w:name w:val="样式 正文文本 +"/>
    <w:basedOn w:val="34"/>
    <w:uiPriority w:val="0"/>
    <w:pPr>
      <w:widowControl w:val="0"/>
      <w:autoSpaceDE w:val="0"/>
      <w:autoSpaceDN w:val="0"/>
      <w:adjustRightInd w:val="0"/>
      <w:spacing w:before="0" w:after="120" w:line="300" w:lineRule="auto"/>
      <w:ind w:right="0"/>
      <w:jc w:val="center"/>
    </w:pPr>
    <w:rPr>
      <w:rFonts w:ascii="仿宋_GB2312" w:hAnsi="宋体" w:eastAsia="仿宋_GB2312" w:cs="宋体"/>
      <w:bCs/>
      <w:sz w:val="24"/>
      <w:szCs w:val="24"/>
    </w:rPr>
  </w:style>
  <w:style w:type="paragraph" w:customStyle="1" w:styleId="628">
    <w:name w:val="样式 题注 + (西文) 宋体"/>
    <w:basedOn w:val="22"/>
    <w:uiPriority w:val="0"/>
    <w:pPr>
      <w:tabs>
        <w:tab w:val="left" w:pos="1727"/>
        <w:tab w:val="left" w:pos="1884"/>
      </w:tabs>
      <w:autoSpaceDE w:val="0"/>
      <w:autoSpaceDN w:val="0"/>
      <w:adjustRightInd w:val="0"/>
      <w:ind w:firstLine="0" w:firstLineChars="0"/>
      <w:jc w:val="center"/>
      <w:outlineLvl w:val="0"/>
    </w:pPr>
    <w:rPr>
      <w:rFonts w:ascii="黑体" w:hAnsi="宋体" w:cs="宋体"/>
      <w:color w:val="000000"/>
      <w:kern w:val="0"/>
      <w:sz w:val="24"/>
      <w:szCs w:val="24"/>
      <w:lang w:val="zh-CN"/>
    </w:rPr>
  </w:style>
  <w:style w:type="character" w:customStyle="1" w:styleId="629">
    <w:name w:val="样式 题注 + (西文) 宋体 Char"/>
    <w:autoRedefine/>
    <w:locked/>
    <w:uiPriority w:val="0"/>
    <w:rPr>
      <w:rFonts w:ascii="宋体" w:hAnsi="宋体" w:eastAsia="宋体" w:cs="宋体"/>
      <w:color w:val="000000"/>
      <w:sz w:val="28"/>
      <w:szCs w:val="28"/>
      <w:lang w:val="zh-CN" w:eastAsia="zh-CN" w:bidi="ar-SA"/>
    </w:rPr>
  </w:style>
  <w:style w:type="paragraph" w:customStyle="1" w:styleId="630">
    <w:name w:val="样式 表格1 + 黑体 两端对齐 首行缩进:  2.12 厘米 行距: 1.5 倍行距"/>
    <w:basedOn w:val="1"/>
    <w:uiPriority w:val="0"/>
    <w:pPr>
      <w:keepNext/>
      <w:autoSpaceDE w:val="0"/>
      <w:autoSpaceDN w:val="0"/>
      <w:adjustRightInd w:val="0"/>
      <w:spacing w:line="300" w:lineRule="auto"/>
      <w:jc w:val="center"/>
    </w:pPr>
    <w:rPr>
      <w:rFonts w:ascii="黑体" w:hAnsi="宋体" w:eastAsia="黑体" w:cs="黑体"/>
      <w:kern w:val="0"/>
      <w:lang w:val="zh-CN"/>
    </w:rPr>
  </w:style>
  <w:style w:type="paragraph" w:customStyle="1" w:styleId="631">
    <w:name w:val="五号"/>
    <w:basedOn w:val="1"/>
    <w:uiPriority w:val="0"/>
    <w:pPr>
      <w:autoSpaceDE w:val="0"/>
      <w:autoSpaceDN w:val="0"/>
      <w:adjustRightInd w:val="0"/>
      <w:spacing w:line="300" w:lineRule="auto"/>
      <w:ind w:firstLine="200"/>
      <w:jc w:val="both"/>
    </w:pPr>
    <w:rPr>
      <w:rFonts w:ascii="仿宋_GB2312" w:hAnsi="宋体" w:eastAsia="仿宋_GB2312" w:cs="宋体"/>
      <w:sz w:val="21"/>
      <w:szCs w:val="21"/>
    </w:rPr>
  </w:style>
  <w:style w:type="character" w:customStyle="1" w:styleId="632">
    <w:name w:val="五号 Char"/>
    <w:uiPriority w:val="0"/>
    <w:rPr>
      <w:rFonts w:ascii="Verdana" w:hAnsi="Verdana" w:eastAsia="宋体"/>
      <w:kern w:val="2"/>
      <w:sz w:val="21"/>
      <w:szCs w:val="24"/>
      <w:lang w:val="en-US" w:eastAsia="zh-CN" w:bidi="ar-SA"/>
    </w:rPr>
  </w:style>
  <w:style w:type="paragraph" w:customStyle="1" w:styleId="633">
    <w:name w:val="样式 题注 + 小四"/>
    <w:basedOn w:val="22"/>
    <w:autoRedefine/>
    <w:qFormat/>
    <w:uiPriority w:val="0"/>
    <w:pPr>
      <w:autoSpaceDE w:val="0"/>
      <w:autoSpaceDN w:val="0"/>
      <w:adjustRightInd w:val="0"/>
      <w:ind w:firstLine="200"/>
      <w:jc w:val="center"/>
    </w:pPr>
    <w:rPr>
      <w:rFonts w:ascii="Arial" w:hAnsi="Arial" w:cs="Arial"/>
      <w:color w:val="000000"/>
      <w:sz w:val="24"/>
    </w:rPr>
  </w:style>
  <w:style w:type="character" w:customStyle="1" w:styleId="634">
    <w:name w:val="样式 题注 + 小四 Char"/>
    <w:uiPriority w:val="0"/>
    <w:rPr>
      <w:rFonts w:ascii="Arial" w:hAnsi="Arial" w:eastAsia="黑体" w:cs="Arial"/>
      <w:kern w:val="2"/>
      <w:sz w:val="24"/>
      <w:szCs w:val="24"/>
      <w:lang w:val="en-US" w:eastAsia="zh-CN" w:bidi="ar-SA"/>
    </w:rPr>
  </w:style>
  <w:style w:type="paragraph" w:customStyle="1" w:styleId="635">
    <w:name w:val="样式 左侧:  0.85 厘米"/>
    <w:basedOn w:val="1"/>
    <w:uiPriority w:val="0"/>
    <w:pPr>
      <w:autoSpaceDE w:val="0"/>
      <w:autoSpaceDN w:val="0"/>
      <w:adjustRightInd w:val="0"/>
      <w:spacing w:line="300" w:lineRule="auto"/>
      <w:ind w:left="482" w:firstLine="200"/>
      <w:jc w:val="both"/>
    </w:pPr>
    <w:rPr>
      <w:rFonts w:ascii="仿宋_GB2312" w:hAnsi="宋体" w:eastAsia="仿宋_GB2312" w:cs="宋体"/>
      <w:szCs w:val="20"/>
    </w:rPr>
  </w:style>
  <w:style w:type="character" w:customStyle="1" w:styleId="636">
    <w:name w:val="标题5 Char Char"/>
    <w:uiPriority w:val="0"/>
    <w:rPr>
      <w:rFonts w:ascii="宋体" w:hAnsi="Verdana" w:eastAsia="宋体"/>
      <w:color w:val="000000"/>
      <w:kern w:val="2"/>
      <w:sz w:val="28"/>
      <w:szCs w:val="24"/>
      <w:lang w:val="en-US" w:eastAsia="zh-CN" w:bidi="ar-SA"/>
    </w:rPr>
  </w:style>
  <w:style w:type="paragraph" w:customStyle="1" w:styleId="637">
    <w:name w:val="表格标题居中"/>
    <w:basedOn w:val="530"/>
    <w:qFormat/>
    <w:uiPriority w:val="0"/>
    <w:pPr>
      <w:spacing w:line="360" w:lineRule="auto"/>
      <w:ind w:firstLine="561"/>
      <w:textAlignment w:val="auto"/>
    </w:pPr>
    <w:rPr>
      <w:rFonts w:ascii="仿宋_GB2312" w:eastAsia="黑体" w:cs="宋体"/>
      <w:color w:val="000000"/>
      <w:kern w:val="0"/>
    </w:rPr>
  </w:style>
  <w:style w:type="paragraph" w:customStyle="1" w:styleId="638">
    <w:name w:val="正文居中"/>
    <w:basedOn w:val="1"/>
    <w:next w:val="1"/>
    <w:uiPriority w:val="0"/>
    <w:pPr>
      <w:autoSpaceDE w:val="0"/>
      <w:autoSpaceDN w:val="0"/>
      <w:adjustRightInd w:val="0"/>
      <w:spacing w:line="300" w:lineRule="auto"/>
      <w:ind w:firstLine="200"/>
      <w:jc w:val="center"/>
    </w:pPr>
    <w:rPr>
      <w:rFonts w:ascii="仿宋_GB2312" w:hAnsi="宋体" w:eastAsia="仿宋_GB2312" w:cs="宋体"/>
      <w:spacing w:val="8"/>
      <w:kern w:val="21"/>
      <w:szCs w:val="20"/>
    </w:rPr>
  </w:style>
  <w:style w:type="paragraph" w:customStyle="1" w:styleId="639">
    <w:name w:val="样式 普通段落 + 首行缩进:  2 字符 段前: 0.5 行4"/>
    <w:basedOn w:val="1"/>
    <w:uiPriority w:val="0"/>
    <w:pPr>
      <w:autoSpaceDE w:val="0"/>
      <w:autoSpaceDN w:val="0"/>
      <w:adjustRightInd w:val="0"/>
      <w:spacing w:beforeLines="50" w:line="288" w:lineRule="auto"/>
      <w:jc w:val="both"/>
    </w:pPr>
    <w:rPr>
      <w:rFonts w:ascii="Arial" w:hAnsi="Arial" w:eastAsia="华文宋体" w:cs="Arial"/>
      <w:kern w:val="0"/>
      <w:szCs w:val="20"/>
    </w:rPr>
  </w:style>
  <w:style w:type="paragraph" w:customStyle="1" w:styleId="640">
    <w:name w:val="样式 题注 + (西文) Arial (中文) 黑体 小四 Char Char"/>
    <w:basedOn w:val="22"/>
    <w:autoRedefine/>
    <w:uiPriority w:val="0"/>
    <w:pPr>
      <w:autoSpaceDE w:val="0"/>
      <w:autoSpaceDN w:val="0"/>
      <w:adjustRightInd w:val="0"/>
      <w:spacing w:line="240" w:lineRule="auto"/>
      <w:ind w:firstLine="0" w:firstLineChars="0"/>
      <w:jc w:val="center"/>
    </w:pPr>
    <w:rPr>
      <w:rFonts w:ascii="Arial" w:hAnsi="Arial" w:cs="Arial"/>
      <w:color w:val="000000"/>
      <w:sz w:val="24"/>
      <w:szCs w:val="24"/>
    </w:rPr>
  </w:style>
  <w:style w:type="character" w:customStyle="1" w:styleId="641">
    <w:name w:val="样式 题注 + (西文) Arial (中文) 黑体 小四 Char Char Char"/>
    <w:uiPriority w:val="0"/>
    <w:rPr>
      <w:rFonts w:ascii="黑体" w:hAnsi="Arial" w:eastAsia="黑体" w:cs="Arial"/>
      <w:kern w:val="2"/>
      <w:sz w:val="28"/>
      <w:szCs w:val="28"/>
      <w:lang w:val="en-US" w:eastAsia="zh-CN" w:bidi="ar-SA"/>
    </w:rPr>
  </w:style>
  <w:style w:type="paragraph" w:customStyle="1" w:styleId="642">
    <w:name w:val="样式 标题 21.1标题 21.1标题2标题 2 Char1节_Heading 2标2二级标题1.1标题 +...2"/>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643">
    <w:name w:val="样式 标题 51)项标5标题 5 Char21) Char2项 Char2 + 左侧:  -0.04 厘米 首行缩... Char"/>
    <w:uiPriority w:val="0"/>
    <w:rPr>
      <w:rFonts w:ascii="宋体" w:hAnsi="宋体" w:eastAsia="宋体" w:cs="宋体"/>
      <w:kern w:val="2"/>
      <w:sz w:val="28"/>
      <w:szCs w:val="28"/>
      <w:lang w:val="en-US" w:eastAsia="zh-CN" w:bidi="ar-SA"/>
    </w:rPr>
  </w:style>
  <w:style w:type="paragraph" w:customStyle="1" w:styleId="644">
    <w:name w:val="样式 题注 + 首行缩进:  2 字符1"/>
    <w:basedOn w:val="22"/>
    <w:autoRedefine/>
    <w:qFormat/>
    <w:uiPriority w:val="0"/>
    <w:pPr>
      <w:autoSpaceDE w:val="0"/>
      <w:autoSpaceDN w:val="0"/>
      <w:adjustRightInd w:val="0"/>
      <w:spacing w:line="240" w:lineRule="auto"/>
      <w:ind w:firstLine="200" w:firstLineChars="0"/>
      <w:jc w:val="center"/>
    </w:pPr>
    <w:rPr>
      <w:rFonts w:ascii="黑体" w:hAnsi="宋体" w:cs="宋体"/>
      <w:color w:val="000000"/>
      <w:sz w:val="24"/>
    </w:rPr>
  </w:style>
  <w:style w:type="paragraph" w:customStyle="1" w:styleId="645">
    <w:name w:val="样式 左侧:  -0.04 厘米"/>
    <w:basedOn w:val="1"/>
    <w:uiPriority w:val="0"/>
    <w:pPr>
      <w:autoSpaceDE w:val="0"/>
      <w:autoSpaceDN w:val="0"/>
      <w:adjustRightInd w:val="0"/>
      <w:spacing w:line="300" w:lineRule="auto"/>
      <w:ind w:left="-23" w:firstLine="200"/>
      <w:jc w:val="both"/>
    </w:pPr>
    <w:rPr>
      <w:rFonts w:ascii="仿宋_GB2312" w:hAnsi="宋体" w:eastAsia="仿宋_GB2312" w:cs="宋体"/>
      <w:szCs w:val="20"/>
    </w:rPr>
  </w:style>
  <w:style w:type="paragraph" w:customStyle="1" w:styleId="646">
    <w:name w:val="样式 样式 左侧:  -0.04 厘米 + 首行缩进:  2 字符"/>
    <w:basedOn w:val="647"/>
    <w:uiPriority w:val="0"/>
    <w:pPr>
      <w:ind w:firstLine="560"/>
    </w:pPr>
  </w:style>
  <w:style w:type="paragraph" w:customStyle="1" w:styleId="647">
    <w:name w:val="样式 五号 首行缩进:  2 字符"/>
    <w:basedOn w:val="1"/>
    <w:uiPriority w:val="0"/>
    <w:pPr>
      <w:autoSpaceDE w:val="0"/>
      <w:autoSpaceDN w:val="0"/>
      <w:adjustRightInd w:val="0"/>
      <w:spacing w:line="300" w:lineRule="auto"/>
      <w:ind w:firstLine="420"/>
      <w:jc w:val="both"/>
    </w:pPr>
    <w:rPr>
      <w:rFonts w:ascii="仿宋_GB2312" w:hAnsi="宋体" w:eastAsia="仿宋_GB2312" w:cs="宋体"/>
    </w:rPr>
  </w:style>
  <w:style w:type="character" w:customStyle="1" w:styleId="648">
    <w:name w:val="无节 Char"/>
    <w:qFormat/>
    <w:uiPriority w:val="0"/>
    <w:rPr>
      <w:rFonts w:ascii="Arial" w:hAnsi="Arial" w:eastAsia="宋体"/>
      <w:kern w:val="2"/>
      <w:sz w:val="28"/>
      <w:szCs w:val="28"/>
      <w:lang w:val="en-US" w:eastAsia="zh-CN" w:bidi="ar-SA"/>
    </w:rPr>
  </w:style>
  <w:style w:type="paragraph" w:customStyle="1" w:styleId="649">
    <w:name w:val="标题 53"/>
    <w:basedOn w:val="570"/>
    <w:uiPriority w:val="0"/>
  </w:style>
  <w:style w:type="paragraph" w:customStyle="1" w:styleId="650">
    <w:name w:val="标题 21.1标题 21.1标题2标题 2 Char1节_Heading 2标2二级标题1.1标题 +..."/>
    <w:basedOn w:val="1"/>
    <w:autoRedefine/>
    <w:uiPriority w:val="0"/>
    <w:pPr>
      <w:autoSpaceDE w:val="0"/>
      <w:autoSpaceDN w:val="0"/>
      <w:adjustRightInd w:val="0"/>
      <w:spacing w:line="300" w:lineRule="auto"/>
      <w:ind w:firstLine="200"/>
      <w:jc w:val="both"/>
    </w:pPr>
    <w:rPr>
      <w:rFonts w:ascii="仿宋_GB2312" w:hAnsi="宋体" w:eastAsia="仿宋_GB2312" w:cs="宋体"/>
    </w:rPr>
  </w:style>
  <w:style w:type="paragraph" w:customStyle="1" w:styleId="651">
    <w:name w:val="表格2"/>
    <w:basedOn w:val="1"/>
    <w:uiPriority w:val="0"/>
    <w:pPr>
      <w:autoSpaceDE w:val="0"/>
      <w:autoSpaceDN w:val="0"/>
      <w:adjustRightInd w:val="0"/>
      <w:spacing w:line="300" w:lineRule="auto"/>
      <w:jc w:val="center"/>
    </w:pPr>
    <w:rPr>
      <w:rFonts w:hint="eastAsia" w:ascii="仿宋_GB2312" w:hAnsi="宋体" w:eastAsia="仿宋_GB2312" w:cs="宋体"/>
      <w:kern w:val="0"/>
      <w:sz w:val="21"/>
      <w:szCs w:val="21"/>
    </w:rPr>
  </w:style>
  <w:style w:type="paragraph" w:customStyle="1" w:styleId="652">
    <w:name w:val="样式 题注 + (西文) Arial (中文) 黑体 小四"/>
    <w:basedOn w:val="22"/>
    <w:uiPriority w:val="0"/>
    <w:pPr>
      <w:tabs>
        <w:tab w:val="left" w:pos="360"/>
      </w:tabs>
      <w:autoSpaceDE w:val="0"/>
      <w:autoSpaceDN w:val="0"/>
      <w:adjustRightInd w:val="0"/>
      <w:spacing w:line="240" w:lineRule="auto"/>
      <w:ind w:firstLine="560" w:firstLineChars="0"/>
      <w:jc w:val="center"/>
    </w:pPr>
    <w:rPr>
      <w:rFonts w:ascii="Arial" w:hAnsi="Arial" w:cs="Arial"/>
      <w:color w:val="000000"/>
      <w:sz w:val="24"/>
      <w:szCs w:val="24"/>
    </w:rPr>
  </w:style>
  <w:style w:type="paragraph" w:customStyle="1" w:styleId="653">
    <w:name w:val="样式 样式 题注 + (西文) 宋体 + 黑体 四号"/>
    <w:basedOn w:val="628"/>
    <w:uiPriority w:val="0"/>
    <w:pPr>
      <w:outlineLvl w:val="9"/>
    </w:pPr>
    <w:rPr>
      <w:rFonts w:hAnsi="黑体"/>
    </w:rPr>
  </w:style>
  <w:style w:type="character" w:customStyle="1" w:styleId="654">
    <w:name w:val="样式 样式 题注 + (西文) 宋体 + 黑体 四号 Char"/>
    <w:autoRedefine/>
    <w:qFormat/>
    <w:uiPriority w:val="0"/>
    <w:rPr>
      <w:rFonts w:ascii="黑体" w:hAnsi="黑体" w:eastAsia="黑体" w:cs="宋体"/>
      <w:color w:val="000000"/>
      <w:sz w:val="28"/>
      <w:szCs w:val="24"/>
      <w:lang w:val="zh-CN" w:eastAsia="zh-CN" w:bidi="ar-SA"/>
    </w:rPr>
  </w:style>
  <w:style w:type="paragraph" w:customStyle="1" w:styleId="655">
    <w:name w:val="样式 标题 51)项标题 5 Char1) Char项 Char标5一级项 + 紧缩量  0.7 磅"/>
    <w:basedOn w:val="1"/>
    <w:uiPriority w:val="0"/>
    <w:pPr>
      <w:autoSpaceDE w:val="0"/>
      <w:autoSpaceDN w:val="0"/>
      <w:adjustRightInd w:val="0"/>
      <w:spacing w:line="300" w:lineRule="auto"/>
      <w:ind w:firstLine="567"/>
      <w:jc w:val="both"/>
    </w:pPr>
    <w:rPr>
      <w:rFonts w:ascii="仿宋_GB2312" w:hAnsi="宋体" w:eastAsia="仿宋_GB2312" w:cs="宋体"/>
      <w:spacing w:val="-14"/>
    </w:rPr>
  </w:style>
  <w:style w:type="character" w:customStyle="1" w:styleId="656">
    <w:name w:val="样式 标题 51)项标题 5 Char1) Char项 Char标5一级项 + 紧缩量  0.7 磅 Char"/>
    <w:uiPriority w:val="0"/>
    <w:rPr>
      <w:rFonts w:ascii="宋体" w:hAnsi="宋体" w:eastAsia="宋体"/>
      <w:spacing w:val="-14"/>
      <w:kern w:val="2"/>
      <w:sz w:val="28"/>
      <w:szCs w:val="28"/>
      <w:lang w:val="en-US" w:eastAsia="zh-CN" w:bidi="ar-SA"/>
    </w:rPr>
  </w:style>
  <w:style w:type="paragraph" w:customStyle="1" w:styleId="657">
    <w:name w:val="样式 标题 41.1.1.1标题 4.1.1.1.1标题 4 Char款1.1.1.1 Char标4 + (符号) ..."/>
    <w:basedOn w:val="6"/>
    <w:next w:val="6"/>
    <w:qFormat/>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character" w:customStyle="1" w:styleId="658">
    <w:name w:val="样式 标题 41.1.1.1标题 4.1.1.1.1标题 4 Char款1.1.1.1 Char标4 + (符号) ... Char Char"/>
    <w:uiPriority w:val="0"/>
    <w:rPr>
      <w:rFonts w:ascii="宋体" w:hAnsi="Arial" w:eastAsia="宋体"/>
      <w:bCs/>
      <w:color w:val="000000"/>
      <w:kern w:val="2"/>
      <w:sz w:val="28"/>
      <w:szCs w:val="28"/>
      <w:lang w:val="en-US" w:eastAsia="zh-CN" w:bidi="ar-SA"/>
    </w:rPr>
  </w:style>
  <w:style w:type="paragraph" w:customStyle="1" w:styleId="659">
    <w:name w:val="样式 标题 1标题 1 Char标1 + 段前: 0.5 行 段后: 0.5 行1"/>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660">
    <w:name w:val="样式 标题 21.1标题 21.1标题2标题 2 Char1节_Heading 2标2 + 段前: 0.5 行...1"/>
    <w:basedOn w:val="4"/>
    <w:autoRedefine/>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661">
    <w:name w:val="样式 标题5 + 段前: 0.5 行 段后: 0.5 行"/>
    <w:basedOn w:val="420"/>
    <w:uiPriority w:val="0"/>
    <w:pPr>
      <w:numPr>
        <w:numId w:val="0"/>
      </w:numPr>
      <w:tabs>
        <w:tab w:val="left" w:pos="864"/>
      </w:tabs>
      <w:adjustRightInd w:val="0"/>
      <w:spacing w:line="360" w:lineRule="auto"/>
      <w:ind w:left="864" w:hanging="864"/>
      <w:jc w:val="left"/>
      <w:outlineLvl w:val="4"/>
    </w:pPr>
    <w:rPr>
      <w:rFonts w:ascii="仿宋_GB2312" w:hAnsi="宋体" w:cs="宋体"/>
      <w:bCs/>
      <w:kern w:val="44"/>
      <w:szCs w:val="28"/>
    </w:rPr>
  </w:style>
  <w:style w:type="paragraph" w:customStyle="1" w:styleId="662">
    <w:name w:val="样式 标题 41.1.1.1标题 4.1.1.1.1标题 4 Char款1.1.1.1 Char标4 + 段前: 0..."/>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663">
    <w:name w:val="xl23"/>
    <w:basedOn w:val="1"/>
    <w:uiPriority w:val="0"/>
    <w:pPr>
      <w:autoSpaceDE w:val="0"/>
      <w:autoSpaceDN w:val="0"/>
      <w:adjustRightInd w:val="0"/>
      <w:spacing w:line="240" w:lineRule="auto"/>
      <w:ind w:firstLine="200"/>
      <w:jc w:val="center"/>
    </w:pPr>
    <w:rPr>
      <w:rFonts w:ascii="仿宋_GB2312" w:hAnsi="宋体" w:eastAsia="仿宋_GB2312" w:cs="宋体"/>
      <w:kern w:val="0"/>
    </w:rPr>
  </w:style>
  <w:style w:type="character" w:customStyle="1" w:styleId="664">
    <w:name w:val="样式 标题 51)项标题 5 Char1) Char项 Char标5一级项 + 紧缩量  0.7 磅 Char1"/>
    <w:autoRedefine/>
    <w:qFormat/>
    <w:uiPriority w:val="0"/>
    <w:rPr>
      <w:rFonts w:ascii="宋体" w:hAnsi="宋体" w:eastAsia="宋体"/>
      <w:spacing w:val="-14"/>
      <w:kern w:val="2"/>
      <w:sz w:val="28"/>
      <w:szCs w:val="28"/>
      <w:lang w:val="en-US" w:eastAsia="zh-CN" w:bidi="ar-SA"/>
    </w:rPr>
  </w:style>
  <w:style w:type="character" w:customStyle="1" w:styleId="665">
    <w:name w:val="标题 3 Char2"/>
    <w:uiPriority w:val="0"/>
    <w:rPr>
      <w:rFonts w:ascii="宋体" w:hAnsi="Arial" w:eastAsia="宋体"/>
      <w:b/>
      <w:bCs/>
      <w:color w:val="000000"/>
      <w:kern w:val="2"/>
      <w:sz w:val="28"/>
      <w:szCs w:val="28"/>
      <w:lang w:val="en-US" w:eastAsia="zh-CN" w:bidi="ar-SA"/>
    </w:rPr>
  </w:style>
  <w:style w:type="character" w:customStyle="1" w:styleId="666">
    <w:name w:val="标题 4 Char3"/>
    <w:uiPriority w:val="0"/>
    <w:rPr>
      <w:rFonts w:ascii="宋体" w:hAnsi="Arial" w:eastAsia="宋体"/>
      <w:b/>
      <w:bCs/>
      <w:color w:val="000000"/>
      <w:kern w:val="2"/>
      <w:sz w:val="28"/>
      <w:szCs w:val="28"/>
      <w:lang w:val="en-US" w:eastAsia="zh-CN" w:bidi="ar-SA"/>
    </w:rPr>
  </w:style>
  <w:style w:type="character" w:customStyle="1" w:styleId="667">
    <w:name w:val="标题5 Char"/>
    <w:uiPriority w:val="0"/>
    <w:rPr>
      <w:rFonts w:ascii="宋体" w:hAnsi="宋体" w:eastAsia="宋体"/>
      <w:b/>
      <w:bCs/>
      <w:color w:val="000000"/>
      <w:kern w:val="2"/>
      <w:sz w:val="28"/>
      <w:szCs w:val="32"/>
      <w:lang w:val="en-US" w:eastAsia="zh-CN" w:bidi="ar-SA"/>
    </w:rPr>
  </w:style>
  <w:style w:type="paragraph" w:customStyle="1" w:styleId="668">
    <w:name w:val="样式 表格文字居中 + 首行缩进:  2 字符"/>
    <w:basedOn w:val="530"/>
    <w:qFormat/>
    <w:uiPriority w:val="0"/>
    <w:pPr>
      <w:spacing w:before="50" w:after="50"/>
      <w:textAlignment w:val="auto"/>
    </w:pPr>
    <w:rPr>
      <w:rFonts w:ascii="仿宋_GB2312" w:eastAsia="仿宋_GB2312" w:cs="宋体"/>
      <w:color w:val="000000"/>
      <w:szCs w:val="20"/>
    </w:rPr>
  </w:style>
  <w:style w:type="paragraph" w:customStyle="1" w:styleId="669">
    <w:name w:val="样式 样式 五号 首行缩进:  2 字符 + 首行缩进:  2 字符"/>
    <w:basedOn w:val="647"/>
    <w:uiPriority w:val="0"/>
    <w:pPr>
      <w:ind w:firstLine="560"/>
    </w:pPr>
  </w:style>
  <w:style w:type="paragraph" w:customStyle="1" w:styleId="670">
    <w:name w:val="样式 样式 样式 五号 首行缩进:  2 字符 + 首行缩进:  2 字符 + 首行缩进:  2 字符"/>
    <w:basedOn w:val="671"/>
    <w:uiPriority w:val="0"/>
  </w:style>
  <w:style w:type="paragraph" w:customStyle="1" w:styleId="671">
    <w:name w:val="样式 样式 五号 首行缩进:  2 字符 + 首行缩进:  2 字符1"/>
    <w:basedOn w:val="647"/>
    <w:autoRedefine/>
    <w:uiPriority w:val="0"/>
    <w:pPr>
      <w:ind w:firstLine="480"/>
    </w:pPr>
  </w:style>
  <w:style w:type="paragraph" w:customStyle="1" w:styleId="672">
    <w:name w:val="样式 表格文字居中 + 宋体 小四 Char"/>
    <w:basedOn w:val="530"/>
    <w:link w:val="673"/>
    <w:uiPriority w:val="0"/>
    <w:pPr>
      <w:spacing w:line="360" w:lineRule="auto"/>
      <w:textAlignment w:val="auto"/>
    </w:pPr>
  </w:style>
  <w:style w:type="character" w:customStyle="1" w:styleId="673">
    <w:name w:val="样式 表格文字居中 + 宋体 小四 Char Char"/>
    <w:link w:val="672"/>
    <w:uiPriority w:val="0"/>
    <w:rPr>
      <w:rFonts w:ascii="宋体" w:hAnsi="宋体"/>
      <w:kern w:val="2"/>
      <w:sz w:val="24"/>
      <w:szCs w:val="24"/>
    </w:rPr>
  </w:style>
  <w:style w:type="paragraph" w:customStyle="1" w:styleId="674">
    <w:name w:val="表格内"/>
    <w:basedOn w:val="1"/>
    <w:link w:val="1735"/>
    <w:uiPriority w:val="0"/>
    <w:pPr>
      <w:adjustRightInd w:val="0"/>
      <w:snapToGrid/>
      <w:spacing w:line="240" w:lineRule="atLeast"/>
      <w:ind w:firstLine="0" w:firstLineChars="0"/>
      <w:jc w:val="center"/>
      <w:textAlignment w:val="baseline"/>
    </w:pPr>
    <w:rPr>
      <w:rFonts w:ascii="宋体" w:hAnsi="宋体" w:eastAsia="仿宋_GB2312" w:cs="宋体"/>
      <w:kern w:val="0"/>
      <w:szCs w:val="20"/>
    </w:rPr>
  </w:style>
  <w:style w:type="paragraph" w:customStyle="1" w:styleId="675">
    <w:name w:val="Items"/>
    <w:basedOn w:val="1"/>
    <w:autoRedefine/>
    <w:qFormat/>
    <w:uiPriority w:val="0"/>
    <w:pPr>
      <w:snapToGrid/>
      <w:spacing w:beforeLines="20" w:afterLines="30" w:line="560" w:lineRule="exact"/>
      <w:ind w:left="240" w:firstLine="80" w:firstLineChars="0"/>
      <w:jc w:val="both"/>
    </w:pPr>
    <w:rPr>
      <w:rFonts w:ascii="Arial" w:hAnsi="Arial" w:eastAsia="仿宋_GB2312" w:cs="宋体"/>
      <w:szCs w:val="20"/>
    </w:rPr>
  </w:style>
  <w:style w:type="paragraph" w:customStyle="1" w:styleId="676">
    <w:name w:val="正文01"/>
    <w:basedOn w:val="1"/>
    <w:link w:val="1153"/>
    <w:uiPriority w:val="0"/>
    <w:pPr>
      <w:snapToGrid/>
      <w:spacing w:line="460" w:lineRule="exact"/>
      <w:ind w:firstLine="200"/>
      <w:jc w:val="both"/>
    </w:pPr>
    <w:rPr>
      <w:rFonts w:ascii="Arial" w:hAnsi="Arial"/>
      <w:szCs w:val="20"/>
    </w:rPr>
  </w:style>
  <w:style w:type="paragraph" w:customStyle="1" w:styleId="677">
    <w:name w:val="批注框文本 Char Char"/>
    <w:basedOn w:val="1"/>
    <w:uiPriority w:val="0"/>
    <w:pPr>
      <w:snapToGrid/>
      <w:spacing w:line="312" w:lineRule="auto"/>
      <w:ind w:firstLine="0" w:firstLineChars="0"/>
      <w:jc w:val="both"/>
    </w:pPr>
    <w:rPr>
      <w:rFonts w:eastAsia="楷体_GB2312"/>
      <w:sz w:val="18"/>
      <w:szCs w:val="20"/>
    </w:rPr>
  </w:style>
  <w:style w:type="paragraph" w:customStyle="1" w:styleId="678">
    <w:name w:val="普通(网站)1"/>
    <w:basedOn w:val="1"/>
    <w:uiPriority w:val="0"/>
    <w:pPr>
      <w:snapToGrid/>
      <w:spacing w:line="240" w:lineRule="auto"/>
      <w:ind w:firstLine="0" w:firstLineChars="0"/>
      <w:jc w:val="both"/>
    </w:pPr>
  </w:style>
  <w:style w:type="paragraph" w:customStyle="1" w:styleId="679">
    <w:name w:val="样式 仿宋_GB2312 小四 行距: 多倍行距 1.25 字行"/>
    <w:basedOn w:val="1"/>
    <w:autoRedefine/>
    <w:uiPriority w:val="0"/>
    <w:pPr>
      <w:snapToGrid/>
      <w:spacing w:line="300" w:lineRule="auto"/>
      <w:ind w:firstLine="0" w:firstLineChars="0"/>
      <w:jc w:val="both"/>
    </w:pPr>
    <w:rPr>
      <w:rFonts w:ascii="Arial Narrow" w:hAnsi="Arial Narrow" w:eastAsia="仿宋_GB2312" w:cs="宋体"/>
    </w:rPr>
  </w:style>
  <w:style w:type="paragraph" w:customStyle="1" w:styleId="680">
    <w:name w:val="表字1"/>
    <w:basedOn w:val="1"/>
    <w:uiPriority w:val="0"/>
    <w:pPr>
      <w:adjustRightInd w:val="0"/>
      <w:snapToGrid/>
      <w:ind w:firstLine="0" w:firstLineChars="0"/>
      <w:jc w:val="center"/>
      <w:textAlignment w:val="baseline"/>
    </w:pPr>
    <w:rPr>
      <w:rFonts w:ascii="宋体"/>
      <w:kern w:val="0"/>
      <w:sz w:val="21"/>
      <w:szCs w:val="20"/>
    </w:rPr>
  </w:style>
  <w:style w:type="paragraph" w:customStyle="1" w:styleId="681">
    <w:name w:val="我的样式（正文）"/>
    <w:basedOn w:val="1"/>
    <w:uiPriority w:val="0"/>
    <w:pPr>
      <w:snapToGrid/>
      <w:spacing w:line="440" w:lineRule="exact"/>
      <w:ind w:firstLine="0" w:firstLineChars="0"/>
      <w:jc w:val="both"/>
    </w:pPr>
    <w:rPr>
      <w:rFonts w:ascii="宋体"/>
      <w:sz w:val="28"/>
      <w:szCs w:val="28"/>
    </w:rPr>
  </w:style>
  <w:style w:type="character" w:customStyle="1" w:styleId="682">
    <w:name w:val="可研-正文首行缩进 Char Char"/>
    <w:uiPriority w:val="0"/>
    <w:rPr>
      <w:rFonts w:ascii="Arial Narrow" w:hAnsi="Arial Narrow" w:eastAsia="仿宋_GB2312"/>
      <w:kern w:val="2"/>
      <w:sz w:val="24"/>
      <w:szCs w:val="24"/>
      <w:lang w:val="en-US" w:eastAsia="zh-CN" w:bidi="ar-SA"/>
    </w:rPr>
  </w:style>
  <w:style w:type="paragraph" w:customStyle="1" w:styleId="683">
    <w:name w:val="正文小四"/>
    <w:basedOn w:val="1"/>
    <w:link w:val="1156"/>
    <w:autoRedefine/>
    <w:qFormat/>
    <w:uiPriority w:val="0"/>
    <w:pPr>
      <w:snapToGrid/>
      <w:ind w:firstLine="0" w:firstLineChars="0"/>
      <w:jc w:val="both"/>
    </w:pPr>
    <w:rPr>
      <w:szCs w:val="20"/>
    </w:rPr>
  </w:style>
  <w:style w:type="character" w:customStyle="1" w:styleId="684">
    <w:name w:val="content"/>
    <w:uiPriority w:val="0"/>
    <w:rPr>
      <w:rFonts w:ascii="Verdana" w:hAnsi="Verdana" w:eastAsia="宋体"/>
      <w:lang w:val="en-US" w:eastAsia="en-US" w:bidi="ar-SA"/>
    </w:rPr>
  </w:style>
  <w:style w:type="character" w:customStyle="1" w:styleId="685">
    <w:name w:val="style31"/>
    <w:uiPriority w:val="0"/>
    <w:rPr>
      <w:rFonts w:hint="eastAsia" w:ascii="宋体" w:hAnsi="宋体" w:eastAsia="宋体"/>
      <w:color w:val="333333"/>
      <w:sz w:val="21"/>
      <w:szCs w:val="21"/>
      <w:lang w:val="en-US" w:eastAsia="en-US" w:bidi="ar-SA"/>
    </w:rPr>
  </w:style>
  <w:style w:type="paragraph" w:customStyle="1" w:styleId="686">
    <w:name w:val="项目符号文字"/>
    <w:basedOn w:val="687"/>
    <w:next w:val="687"/>
    <w:uiPriority w:val="0"/>
    <w:pPr>
      <w:tabs>
        <w:tab w:val="left" w:pos="927"/>
      </w:tabs>
      <w:ind w:left="284" w:firstLine="0"/>
    </w:pPr>
    <w:rPr>
      <w:rFonts w:ascii="宋体" w:hAnsi="宋体"/>
    </w:rPr>
  </w:style>
  <w:style w:type="paragraph" w:customStyle="1" w:styleId="687">
    <w:name w:val="文字"/>
    <w:basedOn w:val="1"/>
    <w:qFormat/>
    <w:uiPriority w:val="0"/>
    <w:pPr>
      <w:snapToGrid/>
      <w:ind w:firstLine="482" w:firstLineChars="0"/>
      <w:jc w:val="both"/>
    </w:pPr>
    <w:rPr>
      <w:rFonts w:ascii="Arial" w:hAnsi="Arial"/>
      <w:snapToGrid w:val="0"/>
      <w:kern w:val="28"/>
      <w:szCs w:val="20"/>
    </w:rPr>
  </w:style>
  <w:style w:type="paragraph" w:customStyle="1" w:styleId="688">
    <w:name w:val="正文41"/>
    <w:basedOn w:val="87"/>
    <w:uiPriority w:val="0"/>
    <w:pPr>
      <w:tabs>
        <w:tab w:val="left" w:pos="425"/>
      </w:tabs>
      <w:spacing w:after="0" w:line="360" w:lineRule="auto"/>
      <w:ind w:left="425" w:hanging="425"/>
    </w:pPr>
    <w:rPr>
      <w:rFonts w:ascii="Times New Roman" w:hAnsi="Times New Roman" w:eastAsia="宋体"/>
    </w:rPr>
  </w:style>
  <w:style w:type="paragraph" w:customStyle="1" w:styleId="689">
    <w:name w:val="正文5"/>
    <w:basedOn w:val="1"/>
    <w:uiPriority w:val="0"/>
    <w:pPr>
      <w:snapToGrid/>
      <w:ind w:firstLine="70" w:firstLineChars="70"/>
      <w:jc w:val="both"/>
    </w:pPr>
  </w:style>
  <w:style w:type="paragraph" w:customStyle="1" w:styleId="690">
    <w:name w:val="表格填充1"/>
    <w:basedOn w:val="1"/>
    <w:autoRedefine/>
    <w:uiPriority w:val="0"/>
    <w:pPr>
      <w:spacing w:line="240" w:lineRule="auto"/>
      <w:ind w:firstLine="0" w:firstLineChars="0"/>
      <w:jc w:val="center"/>
    </w:pPr>
    <w:rPr>
      <w:snapToGrid w:val="0"/>
      <w:sz w:val="30"/>
      <w:szCs w:val="20"/>
    </w:rPr>
  </w:style>
  <w:style w:type="paragraph" w:customStyle="1" w:styleId="691">
    <w:name w:val="流程文字"/>
    <w:basedOn w:val="1"/>
    <w:uiPriority w:val="0"/>
    <w:pPr>
      <w:tabs>
        <w:tab w:val="left" w:pos="6480"/>
      </w:tabs>
      <w:topLinePunct/>
      <w:adjustRightInd w:val="0"/>
      <w:spacing w:line="240" w:lineRule="auto"/>
      <w:ind w:firstLine="0" w:firstLineChars="0"/>
      <w:jc w:val="center"/>
    </w:pPr>
    <w:rPr>
      <w:rFonts w:eastAsia="仿宋_GB2312"/>
      <w:sz w:val="21"/>
      <w:szCs w:val="20"/>
    </w:rPr>
  </w:style>
  <w:style w:type="paragraph" w:customStyle="1" w:styleId="692">
    <w:name w:val="表内字五"/>
    <w:basedOn w:val="66"/>
    <w:uiPriority w:val="0"/>
    <w:pPr>
      <w:tabs>
        <w:tab w:val="left" w:pos="255"/>
        <w:tab w:val="left" w:pos="540"/>
        <w:tab w:val="left" w:pos="600"/>
        <w:tab w:val="left" w:pos="720"/>
        <w:tab w:val="left" w:pos="1200"/>
        <w:tab w:val="left" w:pos="1440"/>
        <w:tab w:val="left" w:pos="2448"/>
        <w:tab w:val="left" w:pos="3000"/>
        <w:tab w:val="left" w:pos="3888"/>
        <w:tab w:val="left" w:pos="4800"/>
        <w:tab w:val="left" w:pos="5883"/>
        <w:tab w:val="left" w:pos="6300"/>
        <w:tab w:val="left" w:pos="7353"/>
        <w:tab w:val="left" w:pos="8613"/>
      </w:tabs>
      <w:autoSpaceDE w:val="0"/>
      <w:autoSpaceDN w:val="0"/>
      <w:snapToGrid w:val="0"/>
      <w:spacing w:line="300" w:lineRule="auto"/>
    </w:pPr>
    <w:rPr>
      <w:kern w:val="0"/>
    </w:rPr>
  </w:style>
  <w:style w:type="paragraph" w:customStyle="1" w:styleId="693">
    <w:name w:val="样式1 正文"/>
    <w:basedOn w:val="45"/>
    <w:uiPriority w:val="0"/>
    <w:pPr>
      <w:adjustRightInd/>
      <w:snapToGrid w:val="0"/>
      <w:spacing w:beforeLines="0" w:afterLines="0" w:line="420" w:lineRule="auto"/>
      <w:ind w:firstLine="0" w:firstLineChars="0"/>
      <w:jc w:val="both"/>
      <w:textAlignment w:val="auto"/>
    </w:pPr>
    <w:rPr>
      <w:rFonts w:hAnsi="宋体" w:cs="Courier New"/>
      <w:sz w:val="21"/>
      <w:szCs w:val="21"/>
    </w:rPr>
  </w:style>
  <w:style w:type="paragraph" w:customStyle="1" w:styleId="694">
    <w:name w:val="biaoge 表1"/>
    <w:basedOn w:val="1"/>
    <w:autoRedefine/>
    <w:qFormat/>
    <w:uiPriority w:val="0"/>
    <w:pPr>
      <w:snapToGrid/>
      <w:spacing w:line="240" w:lineRule="auto"/>
      <w:ind w:firstLine="0" w:firstLineChars="0"/>
      <w:jc w:val="center"/>
    </w:pPr>
    <w:rPr>
      <w:sz w:val="21"/>
      <w:szCs w:val="20"/>
    </w:rPr>
  </w:style>
  <w:style w:type="paragraph" w:customStyle="1" w:styleId="695">
    <w:name w:val="样式 样式 正文缩进 + 首行缩进:  2 字符 + 首行缩进:  0.99 厘米"/>
    <w:basedOn w:val="1"/>
    <w:uiPriority w:val="0"/>
    <w:pPr>
      <w:tabs>
        <w:tab w:val="left" w:pos="540"/>
        <w:tab w:val="left" w:pos="600"/>
        <w:tab w:val="left" w:pos="7265"/>
        <w:tab w:val="left" w:pos="7340"/>
        <w:tab w:val="left" w:pos="8613"/>
      </w:tabs>
      <w:autoSpaceDE w:val="0"/>
      <w:autoSpaceDN w:val="0"/>
      <w:adjustRightInd w:val="0"/>
      <w:spacing w:line="300" w:lineRule="auto"/>
      <w:ind w:firstLine="624" w:firstLineChars="0"/>
      <w:jc w:val="both"/>
      <w:textAlignment w:val="baseline"/>
    </w:pPr>
    <w:rPr>
      <w:rFonts w:ascii="宋体" w:hAnsi="宋体"/>
      <w:kern w:val="0"/>
      <w:sz w:val="28"/>
      <w:szCs w:val="20"/>
      <w:u w:color="FFFFFF"/>
    </w:rPr>
  </w:style>
  <w:style w:type="paragraph" w:customStyle="1" w:styleId="696">
    <w:name w:val="表格文字2"/>
    <w:basedOn w:val="1"/>
    <w:uiPriority w:val="0"/>
    <w:pPr>
      <w:tabs>
        <w:tab w:val="left" w:pos="277"/>
        <w:tab w:val="left" w:pos="600"/>
        <w:tab w:val="left" w:pos="780"/>
        <w:tab w:val="left" w:pos="2517"/>
      </w:tabs>
      <w:adjustRightInd w:val="0"/>
      <w:snapToGrid/>
      <w:spacing w:line="240" w:lineRule="auto"/>
      <w:ind w:firstLine="0" w:firstLineChars="0"/>
      <w:jc w:val="center"/>
      <w:textAlignment w:val="baseline"/>
    </w:pPr>
    <w:rPr>
      <w:kern w:val="0"/>
      <w:sz w:val="21"/>
      <w:szCs w:val="20"/>
    </w:rPr>
  </w:style>
  <w:style w:type="paragraph" w:customStyle="1" w:styleId="697">
    <w:name w:val="表前文字"/>
    <w:basedOn w:val="1"/>
    <w:uiPriority w:val="0"/>
    <w:pPr>
      <w:snapToGrid/>
      <w:spacing w:line="240" w:lineRule="auto"/>
      <w:ind w:firstLine="0" w:firstLineChars="0"/>
      <w:jc w:val="center"/>
    </w:pPr>
    <w:rPr>
      <w:rFonts w:ascii="宋体" w:hAnsi="宋体"/>
      <w:bCs/>
      <w:kern w:val="0"/>
    </w:rPr>
  </w:style>
  <w:style w:type="paragraph" w:customStyle="1" w:styleId="698">
    <w:name w:val="报告"/>
    <w:basedOn w:val="1"/>
    <w:link w:val="1732"/>
    <w:qFormat/>
    <w:uiPriority w:val="0"/>
    <w:pPr>
      <w:overflowPunct w:val="0"/>
      <w:autoSpaceDE w:val="0"/>
      <w:autoSpaceDN w:val="0"/>
      <w:adjustRightInd w:val="0"/>
      <w:snapToGrid/>
      <w:spacing w:beforeLines="20" w:afterLines="20" w:line="360" w:lineRule="atLeast"/>
      <w:ind w:firstLine="200"/>
      <w:textAlignment w:val="baseline"/>
    </w:pPr>
    <w:rPr>
      <w:color w:val="000000"/>
      <w:spacing w:val="8"/>
      <w:kern w:val="0"/>
      <w:szCs w:val="28"/>
    </w:rPr>
  </w:style>
  <w:style w:type="character" w:customStyle="1" w:styleId="699">
    <w:name w:val="Char1 Char Char Char Char Char Char Char Char Char Char Char Char Char Char Char Char Char"/>
    <w:uiPriority w:val="0"/>
    <w:rPr>
      <w:rFonts w:ascii="Arial Narrow" w:hAnsi="Arial Narrow" w:eastAsia="仿宋_GB2312"/>
      <w:sz w:val="24"/>
      <w:szCs w:val="28"/>
      <w:lang w:val="en-US" w:eastAsia="zh-CN" w:bidi="ar-SA"/>
    </w:rPr>
  </w:style>
  <w:style w:type="character" w:customStyle="1" w:styleId="700">
    <w:name w:val="标题 4 Char Char3"/>
    <w:uiPriority w:val="0"/>
    <w:rPr>
      <w:rFonts w:ascii="Arial Narrow" w:hAnsi="Arial Narrow" w:eastAsia="仿宋_GB2312" w:cs="Arial"/>
      <w:snapToGrid w:val="0"/>
      <w:sz w:val="24"/>
      <w:szCs w:val="32"/>
      <w:lang w:val="en-US" w:eastAsia="zh-CN" w:bidi="ar-SA"/>
    </w:rPr>
  </w:style>
  <w:style w:type="paragraph" w:customStyle="1" w:styleId="701">
    <w:name w:val="5"/>
    <w:basedOn w:val="1"/>
    <w:next w:val="31"/>
    <w:autoRedefine/>
    <w:uiPriority w:val="0"/>
    <w:pPr>
      <w:snapToGrid/>
      <w:spacing w:line="300" w:lineRule="auto"/>
      <w:ind w:firstLine="0" w:firstLineChars="0"/>
      <w:jc w:val="center"/>
    </w:pPr>
    <w:rPr>
      <w:sz w:val="18"/>
      <w:szCs w:val="18"/>
    </w:rPr>
  </w:style>
  <w:style w:type="character" w:customStyle="1" w:styleId="702">
    <w:name w:val="可研-正文首行缩进 Char Char Char2"/>
    <w:uiPriority w:val="0"/>
    <w:rPr>
      <w:rFonts w:ascii="Arial Narrow" w:hAnsi="宋体" w:eastAsia="宋体"/>
      <w:b/>
      <w:kern w:val="2"/>
      <w:sz w:val="24"/>
      <w:szCs w:val="24"/>
      <w:lang w:val="en-US" w:eastAsia="zh-CN" w:bidi="ar-SA"/>
    </w:rPr>
  </w:style>
  <w:style w:type="paragraph" w:customStyle="1" w:styleId="703">
    <w:name w:val="表格文字居中 Char Char1"/>
    <w:basedOn w:val="86"/>
    <w:uiPriority w:val="0"/>
    <w:pPr>
      <w:keepNext/>
      <w:widowControl/>
      <w:tabs>
        <w:tab w:val="left" w:pos="628"/>
        <w:tab w:val="left" w:pos="1727"/>
        <w:tab w:val="left" w:pos="1884"/>
        <w:tab w:val="left" w:pos="4900"/>
      </w:tabs>
      <w:autoSpaceDE w:val="0"/>
      <w:autoSpaceDN w:val="0"/>
      <w:adjustRightInd w:val="0"/>
      <w:snapToGrid w:val="0"/>
      <w:spacing w:before="100" w:beforeAutospacing="1" w:after="0"/>
      <w:ind w:firstLine="0" w:firstLineChars="200"/>
      <w:jc w:val="center"/>
    </w:pPr>
    <w:rPr>
      <w:rFonts w:hint="eastAsia" w:ascii="仿宋_GB2312" w:hAnsi="宋体" w:cs="宋体"/>
      <w:b/>
      <w:bCs/>
      <w:color w:val="FF0000"/>
    </w:rPr>
  </w:style>
  <w:style w:type="character" w:customStyle="1" w:styleId="704">
    <w:name w:val="表格文字居中 Char Char Char"/>
    <w:uiPriority w:val="0"/>
    <w:rPr>
      <w:rFonts w:ascii="宋体" w:hAnsi="宋体" w:eastAsia="宋体"/>
      <w:kern w:val="2"/>
      <w:sz w:val="24"/>
      <w:szCs w:val="24"/>
      <w:lang w:val="en-US" w:eastAsia="zh-CN" w:bidi="ar-SA"/>
    </w:rPr>
  </w:style>
  <w:style w:type="character" w:customStyle="1" w:styleId="705">
    <w:name w:val="样式 标题 51)项标题 5 Char1) Char项 Char标5 + 左 Char Char Char"/>
    <w:uiPriority w:val="0"/>
    <w:rPr>
      <w:rFonts w:ascii="Arial Narrow" w:hAnsi="Arial" w:eastAsia="宋体"/>
      <w:b/>
      <w:bCs/>
      <w:color w:val="000000"/>
      <w:kern w:val="24"/>
      <w:sz w:val="28"/>
      <w:szCs w:val="28"/>
      <w:lang w:val="en-US" w:eastAsia="zh-CN" w:bidi="ar-SA"/>
    </w:rPr>
  </w:style>
  <w:style w:type="character" w:customStyle="1" w:styleId="706">
    <w:name w:val="样式 表格文字居中 + 宋体 小四 Char Char Char"/>
    <w:uiPriority w:val="0"/>
    <w:rPr>
      <w:rFonts w:ascii="宋体" w:hAnsi="宋体" w:eastAsia="宋体"/>
      <w:kern w:val="2"/>
      <w:sz w:val="24"/>
      <w:szCs w:val="24"/>
      <w:lang w:val="en-US" w:eastAsia="zh-CN" w:bidi="ar-SA"/>
    </w:rPr>
  </w:style>
  <w:style w:type="character" w:customStyle="1" w:styleId="707">
    <w:name w:val="可研-正文首行缩进 Char Char Char1"/>
    <w:uiPriority w:val="0"/>
    <w:rPr>
      <w:rFonts w:ascii="Arial Narrow" w:hAnsi="Arial Narrow" w:eastAsia="仿宋_GB2312"/>
      <w:kern w:val="2"/>
      <w:sz w:val="24"/>
      <w:szCs w:val="24"/>
      <w:lang w:val="en-US" w:eastAsia="zh-CN" w:bidi="ar-SA"/>
    </w:rPr>
  </w:style>
  <w:style w:type="character" w:customStyle="1" w:styleId="708">
    <w:name w:val="可研-正文首行缩进 Char Char Char Char Char"/>
    <w:qFormat/>
    <w:uiPriority w:val="0"/>
    <w:rPr>
      <w:rFonts w:ascii="Arial Narrow" w:hAnsi="Arial Narrow" w:eastAsia="仿宋_GB2312"/>
      <w:kern w:val="2"/>
      <w:sz w:val="24"/>
      <w:szCs w:val="24"/>
      <w:lang w:val="en-US" w:eastAsia="zh-CN" w:bidi="ar-SA"/>
    </w:rPr>
  </w:style>
  <w:style w:type="character" w:customStyle="1" w:styleId="709">
    <w:name w:val="表格文字居中 Char Char Char Char"/>
    <w:uiPriority w:val="0"/>
    <w:rPr>
      <w:rFonts w:ascii="宋体" w:hAnsi="宋体" w:eastAsia="宋体"/>
      <w:kern w:val="2"/>
      <w:sz w:val="24"/>
      <w:szCs w:val="24"/>
      <w:lang w:val="en-US" w:eastAsia="zh-CN" w:bidi="ar-SA"/>
    </w:rPr>
  </w:style>
  <w:style w:type="character" w:customStyle="1" w:styleId="710">
    <w:name w:val="样式 标题 51)项标题 5 Char1) Char项 Char标5 + 左 Char Char Char Char"/>
    <w:uiPriority w:val="0"/>
    <w:rPr>
      <w:rFonts w:ascii="Arial Narrow" w:hAnsi="Arial" w:eastAsia="宋体"/>
      <w:b/>
      <w:bCs/>
      <w:kern w:val="24"/>
      <w:sz w:val="28"/>
      <w:szCs w:val="28"/>
      <w:lang w:val="en-US" w:eastAsia="zh-CN" w:bidi="ar-SA"/>
    </w:rPr>
  </w:style>
  <w:style w:type="character" w:customStyle="1" w:styleId="711">
    <w:name w:val="样式 表格文字居中 + 宋体 小四 Char Char Char Char"/>
    <w:autoRedefine/>
    <w:uiPriority w:val="0"/>
    <w:rPr>
      <w:rFonts w:ascii="宋体" w:hAnsi="宋体" w:eastAsia="宋体"/>
      <w:kern w:val="2"/>
      <w:sz w:val="24"/>
      <w:szCs w:val="24"/>
      <w:lang w:val="en-US" w:eastAsia="zh-CN" w:bidi="ar-SA"/>
    </w:rPr>
  </w:style>
  <w:style w:type="paragraph" w:customStyle="1" w:styleId="712">
    <w:name w:val="样式 标题 4 + 图案: 清除 (白色)1"/>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713">
    <w:name w:val="表文字5"/>
    <w:basedOn w:val="1"/>
    <w:uiPriority w:val="0"/>
    <w:pPr>
      <w:adjustRightInd w:val="0"/>
      <w:snapToGrid/>
      <w:spacing w:line="240" w:lineRule="auto"/>
      <w:ind w:firstLine="0" w:firstLineChars="0"/>
      <w:textAlignment w:val="baseline"/>
    </w:pPr>
    <w:rPr>
      <w:rFonts w:ascii="宋体"/>
      <w:kern w:val="0"/>
      <w:sz w:val="21"/>
      <w:szCs w:val="20"/>
    </w:rPr>
  </w:style>
  <w:style w:type="paragraph" w:customStyle="1" w:styleId="714">
    <w:name w:val="封面标题1"/>
    <w:basedOn w:val="1"/>
    <w:next w:val="1"/>
    <w:uiPriority w:val="0"/>
    <w:pPr>
      <w:adjustRightInd w:val="0"/>
      <w:snapToGrid/>
      <w:spacing w:line="240" w:lineRule="auto"/>
      <w:ind w:firstLine="0" w:firstLineChars="0"/>
      <w:jc w:val="center"/>
      <w:textAlignment w:val="baseline"/>
    </w:pPr>
    <w:rPr>
      <w:rFonts w:ascii="宋体" w:eastAsia="宋体繁体"/>
      <w:b/>
      <w:spacing w:val="6"/>
      <w:kern w:val="0"/>
      <w:sz w:val="44"/>
      <w:szCs w:val="20"/>
    </w:rPr>
  </w:style>
  <w:style w:type="paragraph" w:customStyle="1" w:styleId="715">
    <w:name w:val="封面标题2"/>
    <w:basedOn w:val="1"/>
    <w:autoRedefine/>
    <w:qFormat/>
    <w:uiPriority w:val="0"/>
    <w:pPr>
      <w:adjustRightInd w:val="0"/>
      <w:snapToGrid/>
      <w:spacing w:line="480" w:lineRule="atLeast"/>
      <w:ind w:firstLine="0" w:firstLineChars="0"/>
      <w:jc w:val="center"/>
      <w:textAlignment w:val="baseline"/>
    </w:pPr>
    <w:rPr>
      <w:rFonts w:ascii="宋体" w:eastAsia="黑体"/>
      <w:kern w:val="0"/>
      <w:sz w:val="52"/>
      <w:szCs w:val="20"/>
    </w:rPr>
  </w:style>
  <w:style w:type="paragraph" w:customStyle="1" w:styleId="716">
    <w:name w:val="xl22"/>
    <w:basedOn w:val="1"/>
    <w:uiPriority w:val="0"/>
    <w:pPr>
      <w:widowControl/>
      <w:snapToGrid/>
      <w:spacing w:beforeAutospacing="1" w:afterAutospacing="1" w:line="240" w:lineRule="auto"/>
      <w:ind w:firstLine="0" w:firstLineChars="0"/>
      <w:jc w:val="center"/>
    </w:pPr>
    <w:rPr>
      <w:rFonts w:ascii="Arial" w:hAnsi="Arial" w:eastAsia="Arial Unicode MS" w:cs="Arial"/>
      <w:kern w:val="0"/>
    </w:rPr>
  </w:style>
  <w:style w:type="character" w:customStyle="1" w:styleId="717">
    <w:name w:val="正文 Char1"/>
    <w:uiPriority w:val="0"/>
    <w:rPr>
      <w:rFonts w:ascii="Arial Narrow" w:hAnsi="Arial Narrow" w:eastAsia="仿宋_GB2312"/>
      <w:sz w:val="24"/>
      <w:szCs w:val="24"/>
      <w:lang w:val="en-US" w:eastAsia="zh-CN" w:bidi="ar-SA"/>
    </w:rPr>
  </w:style>
  <w:style w:type="paragraph" w:customStyle="1" w:styleId="718">
    <w:name w:val="Char1"/>
    <w:basedOn w:val="26"/>
    <w:uiPriority w:val="0"/>
    <w:pPr>
      <w:spacing w:beforeLines="0" w:afterLines="0" w:line="240" w:lineRule="auto"/>
      <w:ind w:firstLine="0" w:firstLineChars="0"/>
    </w:pPr>
    <w:rPr>
      <w:szCs w:val="20"/>
    </w:rPr>
  </w:style>
  <w:style w:type="paragraph" w:customStyle="1" w:styleId="719">
    <w:name w:val="CM1"/>
    <w:basedOn w:val="180"/>
    <w:next w:val="180"/>
    <w:uiPriority w:val="0"/>
    <w:pPr>
      <w:suppressAutoHyphens w:val="0"/>
      <w:adjustRightInd w:val="0"/>
      <w:textAlignment w:val="auto"/>
    </w:pPr>
    <w:rPr>
      <w:rFonts w:ascii="Times New Roman" w:hAnsi="Times New Roman" w:cs="Times New Roman"/>
      <w:color w:val="auto"/>
    </w:rPr>
  </w:style>
  <w:style w:type="paragraph" w:customStyle="1" w:styleId="720">
    <w:name w:val="CM109"/>
    <w:basedOn w:val="180"/>
    <w:next w:val="180"/>
    <w:uiPriority w:val="0"/>
    <w:pPr>
      <w:suppressAutoHyphens w:val="0"/>
      <w:adjustRightInd w:val="0"/>
      <w:spacing w:after="378"/>
      <w:textAlignment w:val="auto"/>
    </w:pPr>
    <w:rPr>
      <w:rFonts w:ascii="Times New Roman" w:hAnsi="Times New Roman" w:cs="Times New Roman"/>
      <w:color w:val="auto"/>
    </w:rPr>
  </w:style>
  <w:style w:type="paragraph" w:customStyle="1" w:styleId="721">
    <w:name w:val="CM21"/>
    <w:basedOn w:val="180"/>
    <w:next w:val="180"/>
    <w:autoRedefine/>
    <w:uiPriority w:val="99"/>
    <w:pPr>
      <w:suppressAutoHyphens w:val="0"/>
      <w:adjustRightInd w:val="0"/>
      <w:spacing w:line="438" w:lineRule="atLeast"/>
      <w:textAlignment w:val="auto"/>
    </w:pPr>
    <w:rPr>
      <w:rFonts w:ascii="Times New Roman" w:hAnsi="Times New Roman" w:cs="Times New Roman"/>
      <w:color w:val="auto"/>
    </w:rPr>
  </w:style>
  <w:style w:type="paragraph" w:customStyle="1" w:styleId="722">
    <w:name w:val="CM22"/>
    <w:basedOn w:val="180"/>
    <w:next w:val="180"/>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723">
    <w:name w:val="CM110"/>
    <w:basedOn w:val="180"/>
    <w:next w:val="180"/>
    <w:uiPriority w:val="0"/>
    <w:pPr>
      <w:suppressAutoHyphens w:val="0"/>
      <w:adjustRightInd w:val="0"/>
      <w:spacing w:after="73"/>
      <w:textAlignment w:val="auto"/>
    </w:pPr>
    <w:rPr>
      <w:rFonts w:ascii="Times New Roman" w:hAnsi="Times New Roman" w:cs="Times New Roman"/>
      <w:color w:val="auto"/>
    </w:rPr>
  </w:style>
  <w:style w:type="paragraph" w:customStyle="1" w:styleId="724">
    <w:name w:val="CM24"/>
    <w:basedOn w:val="180"/>
    <w:next w:val="180"/>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725">
    <w:name w:val="CM25"/>
    <w:basedOn w:val="180"/>
    <w:next w:val="180"/>
    <w:autoRedefine/>
    <w:qFormat/>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726">
    <w:name w:val="CM112"/>
    <w:basedOn w:val="180"/>
    <w:next w:val="180"/>
    <w:uiPriority w:val="0"/>
    <w:pPr>
      <w:suppressAutoHyphens w:val="0"/>
      <w:adjustRightInd w:val="0"/>
      <w:spacing w:after="303"/>
      <w:textAlignment w:val="auto"/>
    </w:pPr>
    <w:rPr>
      <w:rFonts w:ascii="Times New Roman" w:hAnsi="Times New Roman" w:cs="Times New Roman"/>
      <w:color w:val="auto"/>
    </w:rPr>
  </w:style>
  <w:style w:type="paragraph" w:customStyle="1" w:styleId="727">
    <w:name w:val="CM27"/>
    <w:basedOn w:val="180"/>
    <w:next w:val="180"/>
    <w:uiPriority w:val="0"/>
    <w:pPr>
      <w:suppressAutoHyphens w:val="0"/>
      <w:adjustRightInd w:val="0"/>
      <w:spacing w:line="438" w:lineRule="atLeast"/>
      <w:textAlignment w:val="auto"/>
    </w:pPr>
    <w:rPr>
      <w:rFonts w:ascii="Times New Roman" w:hAnsi="Times New Roman" w:cs="Times New Roman"/>
      <w:color w:val="auto"/>
    </w:rPr>
  </w:style>
  <w:style w:type="paragraph" w:customStyle="1" w:styleId="728">
    <w:name w:val="Char Char3 Char Char Char Char1"/>
    <w:basedOn w:val="1"/>
    <w:uiPriority w:val="0"/>
    <w:pPr>
      <w:widowControl/>
      <w:snapToGrid/>
      <w:spacing w:line="240" w:lineRule="exact"/>
      <w:ind w:firstLine="0" w:firstLineChars="0"/>
    </w:pPr>
    <w:rPr>
      <w:rFonts w:ascii="Verdana" w:hAnsi="Verdana"/>
      <w:kern w:val="0"/>
      <w:sz w:val="20"/>
      <w:szCs w:val="20"/>
      <w:lang w:eastAsia="en-US"/>
    </w:rPr>
  </w:style>
  <w:style w:type="paragraph" w:customStyle="1" w:styleId="729">
    <w:name w:val="样式 报告正文 + 首行缩进:  2 字符 Char Char"/>
    <w:basedOn w:val="1"/>
    <w:link w:val="730"/>
    <w:qFormat/>
    <w:uiPriority w:val="0"/>
    <w:pPr>
      <w:snapToGrid/>
      <w:spacing w:line="312" w:lineRule="auto"/>
      <w:ind w:firstLine="600"/>
      <w:jc w:val="both"/>
    </w:pPr>
    <w:rPr>
      <w:rFonts w:eastAsia="楷体_GB2312" w:cs="宋体"/>
      <w:bCs/>
      <w:sz w:val="30"/>
    </w:rPr>
  </w:style>
  <w:style w:type="character" w:customStyle="1" w:styleId="730">
    <w:name w:val="样式 报告正文 + 首行缩进:  2 字符 Char Char Char"/>
    <w:link w:val="729"/>
    <w:uiPriority w:val="0"/>
    <w:rPr>
      <w:rFonts w:eastAsia="楷体_GB2312" w:cs="宋体"/>
      <w:bCs/>
      <w:kern w:val="2"/>
      <w:sz w:val="30"/>
      <w:szCs w:val="24"/>
    </w:rPr>
  </w:style>
  <w:style w:type="paragraph" w:customStyle="1" w:styleId="731">
    <w:name w:val="投标文件正文"/>
    <w:basedOn w:val="1"/>
    <w:link w:val="732"/>
    <w:uiPriority w:val="0"/>
    <w:pPr>
      <w:snapToGrid/>
      <w:spacing w:line="400" w:lineRule="exact"/>
      <w:jc w:val="both"/>
    </w:pPr>
    <w:rPr>
      <w:rFonts w:ascii="Arial" w:hAnsi="Arial"/>
    </w:rPr>
  </w:style>
  <w:style w:type="character" w:customStyle="1" w:styleId="732">
    <w:name w:val="投标文件正文 Char"/>
    <w:link w:val="731"/>
    <w:uiPriority w:val="0"/>
    <w:rPr>
      <w:rFonts w:ascii="Arial" w:hAnsi="Arial"/>
      <w:kern w:val="2"/>
      <w:sz w:val="24"/>
      <w:szCs w:val="24"/>
    </w:rPr>
  </w:style>
  <w:style w:type="paragraph" w:customStyle="1" w:styleId="733">
    <w:name w:val="投标文件一级标题"/>
    <w:basedOn w:val="3"/>
    <w:uiPriority w:val="0"/>
    <w:pPr>
      <w:keepNext/>
      <w:keepLines/>
      <w:numPr>
        <w:numId w:val="7"/>
      </w:numPr>
      <w:overflowPunct/>
      <w:snapToGrid/>
      <w:spacing w:before="340" w:beforeLines="10" w:after="330" w:afterLines="10" w:line="578" w:lineRule="auto"/>
      <w:ind w:left="0" w:firstLine="0" w:firstLineChars="200"/>
      <w:jc w:val="both"/>
    </w:pPr>
    <w:rPr>
      <w:rFonts w:eastAsia="宋体"/>
      <w:snapToGrid/>
      <w:color w:val="auto"/>
      <w:sz w:val="44"/>
      <w:szCs w:val="44"/>
    </w:rPr>
  </w:style>
  <w:style w:type="paragraph" w:customStyle="1" w:styleId="734">
    <w:name w:val="投标文件二级标题"/>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735">
    <w:name w:val="投标文件三级标题"/>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736">
    <w:name w:val="投标文件四级标题"/>
    <w:basedOn w:val="6"/>
    <w:autoRedefine/>
    <w:qFormat/>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character" w:customStyle="1" w:styleId="737">
    <w:name w:val="默认段落字体 Para Char Char"/>
    <w:link w:val="213"/>
    <w:uiPriority w:val="0"/>
    <w:rPr>
      <w:rFonts w:ascii="宋体" w:hAnsi="宋体" w:cs="宋体"/>
      <w:kern w:val="2"/>
      <w:sz w:val="24"/>
      <w:szCs w:val="24"/>
    </w:rPr>
  </w:style>
  <w:style w:type="paragraph" w:customStyle="1" w:styleId="738">
    <w:name w:val="正文-ls"/>
    <w:basedOn w:val="1"/>
    <w:link w:val="739"/>
    <w:uiPriority w:val="0"/>
    <w:pPr>
      <w:snapToGrid/>
      <w:ind w:firstLine="200"/>
      <w:jc w:val="both"/>
    </w:pPr>
    <w:rPr>
      <w:rFonts w:hAnsi="宋体" w:cs="宋体"/>
      <w:szCs w:val="20"/>
    </w:rPr>
  </w:style>
  <w:style w:type="character" w:customStyle="1" w:styleId="739">
    <w:name w:val="正文-ls Char"/>
    <w:link w:val="738"/>
    <w:uiPriority w:val="0"/>
    <w:rPr>
      <w:rFonts w:hAnsi="宋体" w:cs="宋体"/>
      <w:kern w:val="2"/>
      <w:sz w:val="24"/>
    </w:rPr>
  </w:style>
  <w:style w:type="character" w:customStyle="1" w:styleId="740">
    <w:name w:val="表头 Char2"/>
    <w:autoRedefine/>
    <w:qFormat/>
    <w:uiPriority w:val="0"/>
    <w:rPr>
      <w:rFonts w:ascii="宋体" w:hAnsi="宋体" w:eastAsia="宋体" w:cs="Arial"/>
      <w:b/>
      <w:kern w:val="28"/>
      <w:sz w:val="21"/>
      <w:szCs w:val="21"/>
      <w:lang w:val="en-US" w:eastAsia="zh-CN" w:bidi="ar-SA"/>
    </w:rPr>
  </w:style>
  <w:style w:type="character" w:customStyle="1" w:styleId="741">
    <w:name w:val="纯文本1 Char"/>
    <w:autoRedefine/>
    <w:qFormat/>
    <w:uiPriority w:val="0"/>
    <w:rPr>
      <w:rFonts w:ascii="宋体" w:hAnsi="Courier New" w:eastAsia="宋体"/>
      <w:lang w:val="zh-CN" w:eastAsia="zh-CN" w:bidi="ar-SA"/>
    </w:rPr>
  </w:style>
  <w:style w:type="character" w:customStyle="1" w:styleId="742">
    <w:name w:val="Char Char16"/>
    <w:autoRedefine/>
    <w:qFormat/>
    <w:uiPriority w:val="0"/>
    <w:rPr>
      <w:rFonts w:ascii="Book Antiqua" w:hAnsi="Book Antiqua" w:eastAsia="宋体"/>
      <w:i/>
      <w:sz w:val="22"/>
      <w:lang w:val="en-GB" w:eastAsia="zh-CN" w:bidi="ar-SA"/>
    </w:rPr>
  </w:style>
  <w:style w:type="character" w:customStyle="1" w:styleId="743">
    <w:name w:val="标题 5 Char2"/>
    <w:link w:val="7"/>
    <w:qFormat/>
    <w:uiPriority w:val="0"/>
    <w:rPr>
      <w:rFonts w:ascii="宋体"/>
      <w:b/>
      <w:spacing w:val="6"/>
      <w:kern w:val="2"/>
      <w:sz w:val="26"/>
      <w:szCs w:val="26"/>
    </w:rPr>
  </w:style>
  <w:style w:type="character" w:customStyle="1" w:styleId="744">
    <w:name w:val="Char Char13"/>
    <w:autoRedefine/>
    <w:qFormat/>
    <w:uiPriority w:val="0"/>
    <w:rPr>
      <w:rFonts w:ascii="宋体" w:eastAsia="宋体"/>
      <w:b/>
      <w:spacing w:val="6"/>
      <w:kern w:val="2"/>
      <w:sz w:val="24"/>
      <w:szCs w:val="26"/>
      <w:lang w:val="en-US" w:eastAsia="zh-CN" w:bidi="ar-SA"/>
    </w:rPr>
  </w:style>
  <w:style w:type="paragraph" w:customStyle="1" w:styleId="745">
    <w:name w:val="Char Char Char Char Char Char Char Char Char Char Char Char Char Char Char Char Char Char Char"/>
    <w:basedOn w:val="1"/>
    <w:qFormat/>
    <w:uiPriority w:val="0"/>
    <w:pPr>
      <w:snapToGrid/>
      <w:spacing w:line="240" w:lineRule="auto"/>
      <w:ind w:firstLine="0" w:firstLineChars="0"/>
      <w:jc w:val="both"/>
    </w:pPr>
    <w:rPr>
      <w:rFonts w:eastAsia="Times New Roman"/>
      <w:kern w:val="0"/>
      <w:sz w:val="20"/>
      <w:szCs w:val="20"/>
    </w:rPr>
  </w:style>
  <w:style w:type="character" w:customStyle="1" w:styleId="746">
    <w:name w:val="Char Char10"/>
    <w:uiPriority w:val="0"/>
    <w:rPr>
      <w:rFonts w:eastAsia="宋体"/>
      <w:sz w:val="18"/>
      <w:szCs w:val="18"/>
      <w:lang w:val="zh-CN" w:eastAsia="zh-CN" w:bidi="ar-SA"/>
    </w:rPr>
  </w:style>
  <w:style w:type="character" w:customStyle="1" w:styleId="747">
    <w:name w:val="Body Text Indent 3 Char"/>
    <w:uiPriority w:val="0"/>
    <w:rPr>
      <w:rFonts w:ascii="宋体" w:hAnsi="宋体" w:eastAsia="宋体"/>
      <w:sz w:val="24"/>
      <w:szCs w:val="24"/>
      <w:lang w:val="zh-CN" w:eastAsia="zh-CN" w:bidi="ar-BH"/>
    </w:rPr>
  </w:style>
  <w:style w:type="character" w:customStyle="1" w:styleId="748">
    <w:name w:val="Char Char8"/>
    <w:uiPriority w:val="0"/>
    <w:rPr>
      <w:rFonts w:ascii="宋体" w:hAnsi="宋体" w:eastAsia="宋体"/>
      <w:sz w:val="24"/>
      <w:szCs w:val="24"/>
      <w:lang w:val="zh-CN" w:eastAsia="zh-CN" w:bidi="ar-SA"/>
    </w:rPr>
  </w:style>
  <w:style w:type="paragraph" w:customStyle="1" w:styleId="749">
    <w:name w:val="dan7-1"/>
    <w:basedOn w:val="1"/>
    <w:link w:val="750"/>
    <w:qFormat/>
    <w:uiPriority w:val="0"/>
    <w:pPr>
      <w:snapToGrid/>
      <w:ind w:firstLine="200"/>
      <w:jc w:val="both"/>
    </w:pPr>
    <w:rPr>
      <w:kern w:val="0"/>
      <w:lang w:val="zh-CN"/>
    </w:rPr>
  </w:style>
  <w:style w:type="character" w:customStyle="1" w:styleId="750">
    <w:name w:val="dan7-1 Char"/>
    <w:link w:val="749"/>
    <w:uiPriority w:val="0"/>
    <w:rPr>
      <w:sz w:val="24"/>
      <w:szCs w:val="24"/>
      <w:lang w:val="zh-CN"/>
    </w:rPr>
  </w:style>
  <w:style w:type="paragraph" w:customStyle="1" w:styleId="751">
    <w:name w:val="五级条标题"/>
    <w:basedOn w:val="339"/>
    <w:next w:val="1"/>
    <w:uiPriority w:val="0"/>
    <w:pPr>
      <w:tabs>
        <w:tab w:val="left" w:pos="1740"/>
        <w:tab w:val="left" w:pos="2130"/>
        <w:tab w:val="left" w:pos="2160"/>
        <w:tab w:val="left" w:pos="2580"/>
        <w:tab w:val="left" w:pos="2790"/>
        <w:tab w:val="left" w:pos="3000"/>
        <w:tab w:val="left" w:pos="3090"/>
        <w:tab w:val="left" w:pos="3420"/>
        <w:tab w:val="left" w:pos="3510"/>
        <w:tab w:val="clear" w:pos="360"/>
        <w:tab w:val="clear" w:pos="1080"/>
        <w:tab w:val="clear" w:pos="1440"/>
        <w:tab w:val="clear" w:pos="1755"/>
        <w:tab w:val="clear" w:pos="2250"/>
        <w:tab w:val="clear" w:pos="2670"/>
      </w:tabs>
      <w:ind w:left="0" w:firstLine="0"/>
      <w:outlineLvl w:val="6"/>
    </w:pPr>
  </w:style>
  <w:style w:type="paragraph" w:customStyle="1" w:styleId="752">
    <w:name w:val="_Style 10"/>
    <w:basedOn w:val="1"/>
    <w:next w:val="34"/>
    <w:autoRedefine/>
    <w:uiPriority w:val="0"/>
    <w:pPr>
      <w:snapToGrid/>
      <w:ind w:firstLine="0" w:firstLineChars="0"/>
      <w:jc w:val="both"/>
    </w:pPr>
    <w:rPr>
      <w:szCs w:val="20"/>
    </w:rPr>
  </w:style>
  <w:style w:type="character" w:customStyle="1" w:styleId="753">
    <w:name w:val="style41"/>
    <w:uiPriority w:val="0"/>
    <w:rPr>
      <w:color w:val="000000"/>
      <w:sz w:val="16"/>
      <w:szCs w:val="16"/>
    </w:rPr>
  </w:style>
  <w:style w:type="character" w:customStyle="1" w:styleId="754">
    <w:name w:val="rsdesckey1"/>
    <w:autoRedefine/>
    <w:uiPriority w:val="0"/>
    <w:rPr>
      <w:color w:val="FF0000"/>
    </w:rPr>
  </w:style>
  <w:style w:type="character" w:customStyle="1" w:styleId="755">
    <w:name w:val="style51"/>
    <w:qFormat/>
    <w:uiPriority w:val="0"/>
    <w:rPr>
      <w:sz w:val="21"/>
      <w:szCs w:val="21"/>
    </w:rPr>
  </w:style>
  <w:style w:type="paragraph" w:customStyle="1" w:styleId="756">
    <w:name w:val="_Style 5"/>
    <w:basedOn w:val="1"/>
    <w:next w:val="51"/>
    <w:autoRedefine/>
    <w:qFormat/>
    <w:uiPriority w:val="0"/>
    <w:pPr>
      <w:tabs>
        <w:tab w:val="left" w:pos="360"/>
        <w:tab w:val="left" w:pos="540"/>
      </w:tabs>
      <w:snapToGrid/>
      <w:spacing w:line="440" w:lineRule="exact"/>
      <w:jc w:val="both"/>
    </w:pPr>
    <w:rPr>
      <w:kern w:val="10"/>
      <w:szCs w:val="20"/>
    </w:rPr>
  </w:style>
  <w:style w:type="paragraph" w:customStyle="1" w:styleId="757">
    <w:name w:val="MFS正文 Char Char"/>
    <w:basedOn w:val="86"/>
    <w:autoRedefine/>
    <w:uiPriority w:val="0"/>
    <w:pPr>
      <w:adjustRightInd w:val="0"/>
      <w:snapToGrid w:val="0"/>
      <w:spacing w:before="93" w:line="360" w:lineRule="auto"/>
      <w:ind w:firstLine="487" w:firstLineChars="200"/>
    </w:pPr>
    <w:rPr>
      <w:color w:val="auto"/>
      <w:kern w:val="0"/>
      <w:lang w:val="zh-CN" w:bidi="ar-BH"/>
    </w:rPr>
  </w:style>
  <w:style w:type="paragraph" w:customStyle="1" w:styleId="758">
    <w:name w:val="表样式"/>
    <w:basedOn w:val="1"/>
    <w:autoRedefine/>
    <w:qFormat/>
    <w:uiPriority w:val="0"/>
    <w:pPr>
      <w:snapToGrid/>
      <w:spacing w:line="240" w:lineRule="auto"/>
      <w:ind w:firstLine="0" w:firstLineChars="0"/>
      <w:jc w:val="center"/>
    </w:pPr>
    <w:rPr>
      <w:rFonts w:ascii="仿宋_GB2312" w:eastAsia="黑体"/>
      <w:sz w:val="21"/>
    </w:rPr>
  </w:style>
  <w:style w:type="paragraph" w:customStyle="1" w:styleId="759">
    <w:name w:val="简单回函地址"/>
    <w:basedOn w:val="1"/>
    <w:uiPriority w:val="0"/>
    <w:pPr>
      <w:adjustRightInd w:val="0"/>
      <w:snapToGrid/>
      <w:spacing w:line="312" w:lineRule="atLeast"/>
      <w:ind w:firstLine="0" w:firstLineChars="0"/>
      <w:jc w:val="both"/>
      <w:textAlignment w:val="baseline"/>
    </w:pPr>
    <w:rPr>
      <w:kern w:val="0"/>
      <w:sz w:val="21"/>
      <w:szCs w:val="20"/>
    </w:rPr>
  </w:style>
  <w:style w:type="paragraph" w:customStyle="1" w:styleId="760">
    <w:name w:val="?2"/>
    <w:basedOn w:val="1"/>
    <w:next w:val="1"/>
    <w:autoRedefine/>
    <w:qFormat/>
    <w:uiPriority w:val="0"/>
    <w:pPr>
      <w:autoSpaceDE w:val="0"/>
      <w:autoSpaceDN w:val="0"/>
      <w:adjustRightInd w:val="0"/>
      <w:snapToGrid/>
      <w:spacing w:line="240" w:lineRule="auto"/>
      <w:ind w:firstLine="0" w:firstLineChars="0"/>
    </w:pPr>
    <w:rPr>
      <w:rFonts w:ascii="五" w:eastAsia="五"/>
      <w:kern w:val="0"/>
      <w:sz w:val="20"/>
    </w:rPr>
  </w:style>
  <w:style w:type="paragraph" w:customStyle="1" w:styleId="761">
    <w:name w:val="text13"/>
    <w:basedOn w:val="1"/>
    <w:autoRedefine/>
    <w:uiPriority w:val="0"/>
    <w:pPr>
      <w:widowControl/>
      <w:snapToGrid/>
      <w:spacing w:beforeAutospacing="1" w:afterAutospacing="1" w:line="240" w:lineRule="auto"/>
      <w:ind w:firstLine="0" w:firstLineChars="0"/>
    </w:pPr>
    <w:rPr>
      <w:rFonts w:ascii="宋体" w:hAnsi="宋体"/>
      <w:kern w:val="0"/>
    </w:rPr>
  </w:style>
  <w:style w:type="paragraph" w:customStyle="1" w:styleId="762">
    <w:name w:val="unnamed11"/>
    <w:basedOn w:val="1"/>
    <w:autoRedefine/>
    <w:qFormat/>
    <w:uiPriority w:val="0"/>
    <w:pPr>
      <w:widowControl/>
      <w:snapToGrid/>
      <w:spacing w:beforeAutospacing="1" w:afterAutospacing="1" w:line="240" w:lineRule="auto"/>
      <w:ind w:firstLine="0" w:firstLineChars="0"/>
    </w:pPr>
    <w:rPr>
      <w:color w:val="000000"/>
      <w:kern w:val="0"/>
      <w:sz w:val="18"/>
      <w:szCs w:val="18"/>
    </w:rPr>
  </w:style>
  <w:style w:type="paragraph" w:customStyle="1" w:styleId="763">
    <w:name w:val="af0"/>
    <w:basedOn w:val="1"/>
    <w:autoRedefine/>
    <w:uiPriority w:val="0"/>
    <w:pPr>
      <w:widowControl/>
      <w:snapToGrid/>
      <w:spacing w:beforeAutospacing="1" w:afterAutospacing="1" w:line="240" w:lineRule="auto"/>
      <w:ind w:firstLine="0" w:firstLineChars="0"/>
    </w:pPr>
    <w:rPr>
      <w:rFonts w:ascii="宋体" w:hAnsi="宋体"/>
      <w:kern w:val="0"/>
    </w:rPr>
  </w:style>
  <w:style w:type="paragraph" w:customStyle="1" w:styleId="764">
    <w:name w:val="表文字"/>
    <w:basedOn w:val="1"/>
    <w:link w:val="999"/>
    <w:qFormat/>
    <w:uiPriority w:val="0"/>
    <w:pPr>
      <w:topLinePunct/>
      <w:adjustRightInd w:val="0"/>
      <w:snapToGrid/>
      <w:spacing w:line="240" w:lineRule="exact"/>
      <w:ind w:firstLine="0" w:firstLineChars="0"/>
      <w:jc w:val="both"/>
      <w:textAlignment w:val="baseline"/>
    </w:pPr>
    <w:rPr>
      <w:rFonts w:eastAsia="汉鼎简书宋"/>
      <w:sz w:val="21"/>
      <w:szCs w:val="21"/>
    </w:rPr>
  </w:style>
  <w:style w:type="character" w:customStyle="1" w:styleId="765">
    <w:name w:val="cont21"/>
    <w:autoRedefine/>
    <w:qFormat/>
    <w:uiPriority w:val="0"/>
    <w:rPr>
      <w:sz w:val="21"/>
      <w:szCs w:val="21"/>
    </w:rPr>
  </w:style>
  <w:style w:type="paragraph" w:customStyle="1" w:styleId="766">
    <w:name w:val="注："/>
    <w:next w:val="6"/>
    <w:autoRedefine/>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767">
    <w:name w:val="Char Char Char Char Char2 Char Char Char Char"/>
    <w:basedOn w:val="1"/>
    <w:semiHidden/>
    <w:uiPriority w:val="0"/>
    <w:pPr>
      <w:adjustRightInd w:val="0"/>
      <w:ind w:firstLine="200"/>
      <w:jc w:val="both"/>
    </w:pPr>
    <w:rPr>
      <w:rFonts w:ascii="宋体" w:hAnsi="宋体" w:cs="宋体"/>
      <w:szCs w:val="26"/>
    </w:rPr>
  </w:style>
  <w:style w:type="paragraph" w:customStyle="1" w:styleId="768">
    <w:name w:val="样式 表格内容 + (中文) 宋体 居中"/>
    <w:basedOn w:val="1"/>
    <w:uiPriority w:val="0"/>
    <w:pPr>
      <w:overflowPunct w:val="0"/>
      <w:adjustRightInd w:val="0"/>
      <w:spacing w:line="440" w:lineRule="exact"/>
      <w:ind w:firstLine="0" w:firstLineChars="0"/>
      <w:jc w:val="center"/>
      <w:textAlignment w:val="baseline"/>
    </w:pPr>
    <w:rPr>
      <w:rFonts w:ascii="Arial" w:hAnsi="Arial"/>
      <w:kern w:val="0"/>
      <w:sz w:val="21"/>
      <w:szCs w:val="21"/>
    </w:rPr>
  </w:style>
  <w:style w:type="paragraph" w:customStyle="1" w:styleId="769">
    <w:name w:val="666666-标题2"/>
    <w:basedOn w:val="1"/>
    <w:uiPriority w:val="0"/>
    <w:pPr>
      <w:snapToGrid/>
      <w:spacing w:beforeLines="50" w:afterLines="50" w:line="440" w:lineRule="exact"/>
      <w:ind w:firstLine="0" w:firstLineChars="0"/>
      <w:jc w:val="both"/>
      <w:outlineLvl w:val="1"/>
    </w:pPr>
    <w:rPr>
      <w:rFonts w:eastAsia="黑体"/>
      <w:kern w:val="44"/>
      <w:sz w:val="32"/>
      <w:szCs w:val="20"/>
    </w:rPr>
  </w:style>
  <w:style w:type="paragraph" w:customStyle="1" w:styleId="770">
    <w:name w:val="666666-标题3"/>
    <w:basedOn w:val="5"/>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771">
    <w:name w:val="666666-正文"/>
    <w:basedOn w:val="1"/>
    <w:uiPriority w:val="0"/>
    <w:pPr>
      <w:snapToGrid/>
      <w:spacing w:line="440" w:lineRule="exact"/>
      <w:ind w:firstLine="200"/>
      <w:jc w:val="both"/>
    </w:pPr>
    <w:rPr>
      <w:szCs w:val="20"/>
      <w:lang w:val="zh-CN"/>
    </w:rPr>
  </w:style>
  <w:style w:type="paragraph" w:customStyle="1" w:styleId="772">
    <w:name w:val="666666-标题1"/>
    <w:basedOn w:val="1"/>
    <w:autoRedefine/>
    <w:uiPriority w:val="0"/>
    <w:pPr>
      <w:snapToGrid/>
      <w:spacing w:beforeLines="50" w:afterLines="50" w:line="440" w:lineRule="exact"/>
      <w:ind w:firstLine="0" w:firstLineChars="0"/>
      <w:jc w:val="both"/>
      <w:outlineLvl w:val="0"/>
    </w:pPr>
    <w:rPr>
      <w:rFonts w:eastAsia="黑体"/>
      <w:sz w:val="36"/>
      <w:szCs w:val="20"/>
    </w:rPr>
  </w:style>
  <w:style w:type="paragraph" w:customStyle="1" w:styleId="773">
    <w:name w:val="word"/>
    <w:basedOn w:val="1"/>
    <w:autoRedefine/>
    <w:qFormat/>
    <w:uiPriority w:val="0"/>
    <w:pPr>
      <w:snapToGrid/>
      <w:spacing w:beforeLines="50" w:line="240" w:lineRule="auto"/>
      <w:ind w:firstLine="0" w:firstLineChars="0"/>
      <w:jc w:val="center"/>
    </w:pPr>
    <w:rPr>
      <w:rFonts w:ascii="黑体" w:eastAsia="黑体"/>
      <w:sz w:val="21"/>
      <w:szCs w:val="21"/>
    </w:rPr>
  </w:style>
  <w:style w:type="paragraph" w:customStyle="1" w:styleId="774">
    <w:name w:val="标题 3 + Arial 小四 非加粗 段前: 0 磅 段后: 6 磅 行距: 固定值 22 磅"/>
    <w:basedOn w:val="5"/>
    <w:next w:val="1"/>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775">
    <w:name w:val="样式 四号 黑色 首行缩进:  2 字符"/>
    <w:basedOn w:val="1"/>
    <w:autoRedefine/>
    <w:uiPriority w:val="0"/>
    <w:pPr>
      <w:snapToGrid/>
      <w:spacing w:line="480" w:lineRule="atLeast"/>
      <w:ind w:firstLine="200"/>
      <w:jc w:val="both"/>
    </w:pPr>
    <w:rPr>
      <w:color w:val="000000"/>
    </w:rPr>
  </w:style>
  <w:style w:type="paragraph" w:customStyle="1" w:styleId="776">
    <w:name w:val="TEXT"/>
    <w:basedOn w:val="1"/>
    <w:qFormat/>
    <w:uiPriority w:val="0"/>
    <w:pPr>
      <w:snapToGrid/>
      <w:ind w:firstLine="0" w:firstLineChars="0"/>
      <w:jc w:val="both"/>
    </w:pPr>
    <w:rPr>
      <w:b/>
      <w:sz w:val="30"/>
      <w:szCs w:val="30"/>
    </w:rPr>
  </w:style>
  <w:style w:type="paragraph" w:customStyle="1" w:styleId="777">
    <w:name w:val="初设正文"/>
    <w:basedOn w:val="1"/>
    <w:autoRedefine/>
    <w:qFormat/>
    <w:uiPriority w:val="0"/>
    <w:pPr>
      <w:snapToGrid/>
      <w:spacing w:line="440" w:lineRule="exact"/>
      <w:ind w:left="425" w:firstLine="425" w:firstLineChars="0"/>
      <w:jc w:val="both"/>
    </w:pPr>
    <w:rPr>
      <w:rFonts w:ascii="Arial" w:hAnsi="Arial"/>
      <w:kern w:val="0"/>
      <w:szCs w:val="20"/>
    </w:rPr>
  </w:style>
  <w:style w:type="paragraph" w:customStyle="1" w:styleId="778">
    <w:name w:val="正文x"/>
    <w:basedOn w:val="1"/>
    <w:next w:val="1"/>
    <w:uiPriority w:val="0"/>
    <w:pPr>
      <w:snapToGrid/>
      <w:jc w:val="both"/>
    </w:pPr>
    <w:rPr>
      <w:rFonts w:hAnsi="宋体"/>
    </w:rPr>
  </w:style>
  <w:style w:type="paragraph" w:customStyle="1" w:styleId="779">
    <w:name w:val="正文样式3"/>
    <w:basedOn w:val="1"/>
    <w:autoRedefine/>
    <w:qFormat/>
    <w:uiPriority w:val="0"/>
    <w:pPr>
      <w:keepLines/>
      <w:adjustRightInd w:val="0"/>
      <w:snapToGrid/>
      <w:spacing w:line="20" w:lineRule="atLeast"/>
      <w:ind w:firstLine="0" w:firstLineChars="0"/>
      <w:jc w:val="center"/>
      <w:textAlignment w:val="baseline"/>
    </w:pPr>
    <w:rPr>
      <w:kern w:val="0"/>
      <w:szCs w:val="20"/>
    </w:rPr>
  </w:style>
  <w:style w:type="paragraph" w:customStyle="1" w:styleId="780">
    <w:name w:val="样式 列表 + 五号"/>
    <w:basedOn w:val="66"/>
    <w:uiPriority w:val="0"/>
    <w:pPr>
      <w:keepNext/>
      <w:textAlignment w:val="auto"/>
    </w:pPr>
    <w:rPr>
      <w:szCs w:val="24"/>
    </w:rPr>
  </w:style>
  <w:style w:type="paragraph" w:customStyle="1" w:styleId="781">
    <w:name w:val="Char Char Char Char Char Char1"/>
    <w:basedOn w:val="1"/>
    <w:autoRedefine/>
    <w:qFormat/>
    <w:uiPriority w:val="0"/>
    <w:pPr>
      <w:snapToGrid/>
      <w:spacing w:line="240" w:lineRule="auto"/>
      <w:ind w:firstLine="0" w:firstLineChars="0"/>
      <w:jc w:val="both"/>
    </w:pPr>
    <w:rPr>
      <w:sz w:val="21"/>
    </w:rPr>
  </w:style>
  <w:style w:type="paragraph" w:customStyle="1" w:styleId="782">
    <w:name w:val="666666-表头儿"/>
    <w:basedOn w:val="1"/>
    <w:link w:val="783"/>
    <w:autoRedefine/>
    <w:uiPriority w:val="0"/>
    <w:pPr>
      <w:snapToGrid/>
      <w:spacing w:line="440" w:lineRule="exact"/>
      <w:ind w:firstLine="0" w:firstLineChars="0"/>
      <w:jc w:val="center"/>
    </w:pPr>
    <w:rPr>
      <w:rFonts w:eastAsia="黑体"/>
      <w:sz w:val="21"/>
      <w:szCs w:val="20"/>
    </w:rPr>
  </w:style>
  <w:style w:type="character" w:customStyle="1" w:styleId="783">
    <w:name w:val="666666-表头儿 Char"/>
    <w:link w:val="782"/>
    <w:autoRedefine/>
    <w:qFormat/>
    <w:uiPriority w:val="0"/>
    <w:rPr>
      <w:rFonts w:eastAsia="黑体"/>
      <w:kern w:val="2"/>
      <w:sz w:val="21"/>
    </w:rPr>
  </w:style>
  <w:style w:type="paragraph" w:customStyle="1" w:styleId="784">
    <w:name w:val="Char Char Char Char Char Char Char Char Char Char Char Char Char Char Char Char Char Char"/>
    <w:basedOn w:val="1"/>
    <w:qFormat/>
    <w:uiPriority w:val="0"/>
    <w:pPr>
      <w:snapToGrid/>
      <w:spacing w:line="240" w:lineRule="auto"/>
      <w:ind w:firstLine="0" w:firstLineChars="0"/>
      <w:jc w:val="both"/>
    </w:pPr>
    <w:rPr>
      <w:sz w:val="21"/>
    </w:rPr>
  </w:style>
  <w:style w:type="paragraph" w:customStyle="1" w:styleId="785">
    <w:name w:val="样式 标题 1 + 宋体"/>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786">
    <w:name w:val="样式 标题 2 + 宋体"/>
    <w:basedOn w:val="4"/>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787">
    <w:name w:val="样式 标题 3 + 宋体"/>
    <w:basedOn w:val="5"/>
    <w:autoRedefine/>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788">
    <w:name w:val="style11"/>
    <w:uiPriority w:val="0"/>
    <w:rPr>
      <w:color w:val="000000"/>
    </w:rPr>
  </w:style>
  <w:style w:type="character" w:customStyle="1" w:styleId="789">
    <w:name w:val="apple-style-span"/>
    <w:uiPriority w:val="0"/>
  </w:style>
  <w:style w:type="character" w:customStyle="1" w:styleId="790">
    <w:name w:val="Re Char1"/>
    <w:uiPriority w:val="0"/>
    <w:rPr>
      <w:rFonts w:eastAsia="宋体"/>
      <w:b/>
      <w:bCs/>
      <w:kern w:val="2"/>
      <w:sz w:val="32"/>
      <w:szCs w:val="32"/>
      <w:lang w:val="en-US" w:eastAsia="zh-CN" w:bidi="ar-SA"/>
    </w:rPr>
  </w:style>
  <w:style w:type="paragraph" w:customStyle="1" w:styleId="791">
    <w:name w:val="中文报告书样式"/>
    <w:basedOn w:val="1"/>
    <w:uiPriority w:val="0"/>
    <w:pPr>
      <w:adjustRightInd w:val="0"/>
      <w:snapToGrid/>
      <w:spacing w:line="480" w:lineRule="atLeast"/>
      <w:ind w:firstLine="482" w:firstLineChars="0"/>
      <w:jc w:val="both"/>
      <w:textAlignment w:val="baseline"/>
    </w:pPr>
    <w:rPr>
      <w:kern w:val="24"/>
      <w:szCs w:val="20"/>
    </w:rPr>
  </w:style>
  <w:style w:type="character" w:customStyle="1" w:styleId="792">
    <w:name w:val="标题 3-ls Char"/>
    <w:uiPriority w:val="0"/>
    <w:rPr>
      <w:rFonts w:eastAsia="黑体"/>
      <w:b/>
      <w:bCs/>
      <w:kern w:val="2"/>
      <w:sz w:val="28"/>
      <w:szCs w:val="32"/>
      <w:lang w:val="en-US" w:eastAsia="zh-CN" w:bidi="ar-SA"/>
    </w:rPr>
  </w:style>
  <w:style w:type="paragraph" w:customStyle="1" w:styleId="793">
    <w:name w:val="标题1-ls"/>
    <w:basedOn w:val="84"/>
    <w:autoRedefine/>
    <w:uiPriority w:val="0"/>
    <w:pPr>
      <w:adjustRightInd/>
      <w:snapToGrid/>
      <w:spacing w:beforeLines="0" w:afterLines="100" w:line="360" w:lineRule="auto"/>
      <w:outlineLvl w:val="0"/>
    </w:pPr>
    <w:rPr>
      <w:rFonts w:eastAsia="黑体" w:cs="Arial"/>
      <w:b/>
      <w:bCs w:val="0"/>
      <w:snapToGrid/>
      <w:spacing w:val="0"/>
      <w:sz w:val="36"/>
      <w:szCs w:val="32"/>
    </w:rPr>
  </w:style>
  <w:style w:type="paragraph" w:customStyle="1" w:styleId="794">
    <w:name w:val="表左"/>
    <w:basedOn w:val="1"/>
    <w:autoRedefine/>
    <w:semiHidden/>
    <w:qFormat/>
    <w:uiPriority w:val="0"/>
    <w:pPr>
      <w:snapToGrid/>
      <w:spacing w:line="280" w:lineRule="exact"/>
      <w:ind w:firstLine="0" w:firstLineChars="0"/>
    </w:pPr>
    <w:rPr>
      <w:rFonts w:ascii="宋体"/>
      <w:color w:val="000000"/>
      <w:sz w:val="18"/>
    </w:rPr>
  </w:style>
  <w:style w:type="paragraph" w:customStyle="1" w:styleId="795">
    <w:name w:val="正文仿宋"/>
    <w:basedOn w:val="1"/>
    <w:uiPriority w:val="0"/>
    <w:pPr>
      <w:adjustRightInd w:val="0"/>
      <w:ind w:firstLine="567" w:firstLineChars="0"/>
      <w:jc w:val="both"/>
    </w:pPr>
    <w:rPr>
      <w:rFonts w:eastAsia="仿宋_GB2312"/>
      <w:snapToGrid w:val="0"/>
      <w:kern w:val="0"/>
      <w:szCs w:val="20"/>
    </w:rPr>
  </w:style>
  <w:style w:type="character" w:customStyle="1" w:styleId="796">
    <w:name w:val="标题 4宋旭峰 Char Char"/>
    <w:autoRedefine/>
    <w:uiPriority w:val="0"/>
    <w:rPr>
      <w:rFonts w:eastAsia="黑体"/>
      <w:b/>
      <w:bCs/>
      <w:kern w:val="2"/>
      <w:sz w:val="24"/>
      <w:szCs w:val="28"/>
      <w:lang w:val="en-US" w:eastAsia="zh-CN" w:bidi="ar-SA"/>
    </w:rPr>
  </w:style>
  <w:style w:type="character" w:customStyle="1" w:styleId="797">
    <w:name w:val="题注 Char Char Char Char"/>
    <w:uiPriority w:val="0"/>
    <w:rPr>
      <w:rFonts w:eastAsia="仿宋_GB2312"/>
      <w:kern w:val="2"/>
      <w:sz w:val="24"/>
      <w:lang w:val="en-US" w:eastAsia="zh-CN" w:bidi="ar-SA"/>
    </w:rPr>
  </w:style>
  <w:style w:type="paragraph" w:customStyle="1" w:styleId="798">
    <w:name w:val="依据文字"/>
    <w:basedOn w:val="87"/>
    <w:autoRedefine/>
    <w:semiHidden/>
    <w:qFormat/>
    <w:uiPriority w:val="0"/>
    <w:pPr>
      <w:tabs>
        <w:tab w:val="left" w:pos="420"/>
        <w:tab w:val="left" w:pos="870"/>
        <w:tab w:val="left" w:pos="3150"/>
      </w:tabs>
      <w:autoSpaceDE w:val="0"/>
      <w:autoSpaceDN w:val="0"/>
      <w:adjustRightInd w:val="0"/>
      <w:spacing w:before="60" w:after="0" w:line="336" w:lineRule="auto"/>
      <w:ind w:firstLine="527"/>
      <w:textAlignment w:val="baseline"/>
    </w:pPr>
    <w:rPr>
      <w:rFonts w:ascii="宋体" w:hAnsi="Times New Roman" w:eastAsia="宋体"/>
      <w:szCs w:val="20"/>
    </w:rPr>
  </w:style>
  <w:style w:type="paragraph" w:customStyle="1" w:styleId="799">
    <w:name w:val="右侧"/>
    <w:uiPriority w:val="0"/>
    <w:pPr>
      <w:spacing w:line="280" w:lineRule="exact"/>
      <w:jc w:val="right"/>
    </w:pPr>
    <w:rPr>
      <w:rFonts w:ascii="Batang" w:hAnsi="Batang" w:eastAsia="宋体" w:cs="Times New Roman"/>
      <w:color w:val="000000"/>
      <w:sz w:val="18"/>
      <w:lang w:val="en-US" w:eastAsia="zh-CN" w:bidi="ar-SA"/>
    </w:rPr>
  </w:style>
  <w:style w:type="paragraph" w:customStyle="1" w:styleId="800">
    <w:name w:val="左侧"/>
    <w:autoRedefine/>
    <w:semiHidden/>
    <w:qFormat/>
    <w:uiPriority w:val="0"/>
    <w:pPr>
      <w:spacing w:line="280" w:lineRule="exact"/>
      <w:jc w:val="center"/>
    </w:pPr>
    <w:rPr>
      <w:rFonts w:ascii="Batang" w:hAnsi="Batang" w:eastAsia="宋体" w:cs="Times New Roman"/>
      <w:color w:val="000000"/>
      <w:sz w:val="21"/>
      <w:lang w:val="en-US" w:eastAsia="zh-CN" w:bidi="ar-SA"/>
    </w:rPr>
  </w:style>
  <w:style w:type="paragraph" w:customStyle="1" w:styleId="801">
    <w:name w:val="右五"/>
    <w:basedOn w:val="802"/>
    <w:next w:val="1"/>
    <w:semiHidden/>
    <w:uiPriority w:val="0"/>
    <w:pPr>
      <w:jc w:val="right"/>
    </w:pPr>
  </w:style>
  <w:style w:type="paragraph" w:customStyle="1" w:styleId="802">
    <w:name w:val="左五"/>
    <w:basedOn w:val="1"/>
    <w:autoRedefine/>
    <w:semiHidden/>
    <w:qFormat/>
    <w:uiPriority w:val="0"/>
    <w:pPr>
      <w:adjustRightInd w:val="0"/>
      <w:spacing w:line="280" w:lineRule="exact"/>
      <w:ind w:firstLine="0" w:firstLineChars="0"/>
    </w:pPr>
    <w:rPr>
      <w:rFonts w:ascii="宋体" w:hAnsi="Symusic"/>
      <w:color w:val="000000"/>
      <w:sz w:val="18"/>
    </w:rPr>
  </w:style>
  <w:style w:type="character" w:customStyle="1" w:styleId="803">
    <w:name w:val="样式5 Char"/>
    <w:link w:val="376"/>
    <w:autoRedefine/>
    <w:uiPriority w:val="0"/>
    <w:rPr>
      <w:bCs/>
      <w:kern w:val="2"/>
      <w:sz w:val="26"/>
      <w:szCs w:val="26"/>
    </w:rPr>
  </w:style>
  <w:style w:type="paragraph" w:customStyle="1" w:styleId="804">
    <w:name w:val="样式 图表 + 首行缩进:  2 字符1"/>
    <w:basedOn w:val="1"/>
    <w:autoRedefine/>
    <w:qFormat/>
    <w:uiPriority w:val="0"/>
    <w:pPr>
      <w:adjustRightInd w:val="0"/>
      <w:spacing w:beforeLines="20" w:afterLines="20" w:line="240" w:lineRule="auto"/>
      <w:ind w:left="-102" w:leftChars="-50" w:right="-105" w:rightChars="-50" w:hanging="3" w:firstLineChars="0"/>
      <w:jc w:val="center"/>
    </w:pPr>
    <w:rPr>
      <w:rFonts w:eastAsia="仿宋_GB2312"/>
      <w:color w:val="000000"/>
      <w:sz w:val="21"/>
    </w:rPr>
  </w:style>
  <w:style w:type="paragraph" w:customStyle="1" w:styleId="805">
    <w:name w:val="1正文段落"/>
    <w:basedOn w:val="1"/>
    <w:link w:val="912"/>
    <w:autoRedefine/>
    <w:uiPriority w:val="0"/>
    <w:pPr>
      <w:adjustRightInd w:val="0"/>
      <w:ind w:firstLine="200"/>
    </w:pPr>
    <w:rPr>
      <w:snapToGrid w:val="0"/>
      <w:kern w:val="0"/>
    </w:rPr>
  </w:style>
  <w:style w:type="paragraph" w:customStyle="1" w:styleId="806">
    <w:name w:val="正文仿宋小四"/>
    <w:basedOn w:val="1"/>
    <w:semiHidden/>
    <w:qFormat/>
    <w:uiPriority w:val="0"/>
    <w:pPr>
      <w:adjustRightInd w:val="0"/>
      <w:jc w:val="both"/>
    </w:pPr>
    <w:rPr>
      <w:rFonts w:eastAsia="仿宋_GB2312"/>
    </w:rPr>
  </w:style>
  <w:style w:type="character" w:customStyle="1" w:styleId="807">
    <w:name w:val="样式 仿宋_GB2312 小四2"/>
    <w:autoRedefine/>
    <w:qFormat/>
    <w:uiPriority w:val="0"/>
    <w:rPr>
      <w:rFonts w:ascii="Times New Roman" w:hAnsi="Times New Roman" w:eastAsia="仿宋_GB2312" w:cs="Courier New"/>
      <w:kern w:val="2"/>
      <w:sz w:val="24"/>
      <w:szCs w:val="24"/>
      <w:lang w:val="en-US" w:eastAsia="zh-CN" w:bidi="ar-SA"/>
    </w:rPr>
  </w:style>
  <w:style w:type="paragraph" w:customStyle="1" w:styleId="808">
    <w:name w:val="正文单倍行距"/>
    <w:basedOn w:val="1"/>
    <w:qFormat/>
    <w:uiPriority w:val="0"/>
    <w:pPr>
      <w:tabs>
        <w:tab w:val="left" w:pos="8640"/>
      </w:tabs>
      <w:spacing w:line="240" w:lineRule="auto"/>
      <w:ind w:firstLine="200"/>
      <w:jc w:val="both"/>
    </w:pPr>
    <w:rPr>
      <w:rFonts w:eastAsia="仿宋_GB2312"/>
    </w:rPr>
  </w:style>
  <w:style w:type="character" w:customStyle="1" w:styleId="809">
    <w:name w:val="样式 仿宋_GB2312 小四 黑色"/>
    <w:uiPriority w:val="0"/>
    <w:rPr>
      <w:rFonts w:ascii="Times New Roman" w:hAnsi="Times New Roman" w:eastAsia="仿宋_GB2312" w:cs="Courier New"/>
      <w:color w:val="000000"/>
      <w:kern w:val="2"/>
      <w:sz w:val="24"/>
      <w:szCs w:val="24"/>
      <w:lang w:val="en-US" w:eastAsia="zh-CN" w:bidi="ar-SA"/>
    </w:rPr>
  </w:style>
  <w:style w:type="paragraph" w:customStyle="1" w:styleId="810">
    <w:name w:val="样式 仿宋_GB2312 小四1"/>
    <w:basedOn w:val="1"/>
    <w:semiHidden/>
    <w:uiPriority w:val="0"/>
    <w:pPr>
      <w:adjustRightInd w:val="0"/>
      <w:snapToGrid/>
      <w:jc w:val="both"/>
      <w:textAlignment w:val="baseline"/>
    </w:pPr>
    <w:rPr>
      <w:rFonts w:eastAsia="仿宋_GB2312"/>
      <w:kern w:val="0"/>
    </w:rPr>
  </w:style>
  <w:style w:type="paragraph" w:customStyle="1" w:styleId="811">
    <w:name w:val="湛江码头表"/>
    <w:basedOn w:val="1"/>
    <w:uiPriority w:val="0"/>
    <w:pPr>
      <w:snapToGrid/>
      <w:spacing w:line="240" w:lineRule="auto"/>
      <w:ind w:firstLine="0" w:firstLineChars="0"/>
      <w:jc w:val="center"/>
    </w:pPr>
    <w:rPr>
      <w:rFonts w:eastAsia="仿宋_GB2312"/>
      <w:kern w:val="0"/>
      <w:sz w:val="21"/>
      <w:lang w:eastAsia="zh-TW"/>
    </w:rPr>
  </w:style>
  <w:style w:type="character" w:customStyle="1" w:styleId="812">
    <w:name w:val="样式 (西文) 宋体 (中文) 仿宋_GB2312 黑色"/>
    <w:semiHidden/>
    <w:qFormat/>
    <w:uiPriority w:val="0"/>
    <w:rPr>
      <w:rFonts w:ascii="Times New Roman" w:hAnsi="Times New Roman" w:eastAsia="仿宋_GB2312" w:cs="Courier New"/>
      <w:color w:val="000000"/>
      <w:kern w:val="2"/>
      <w:sz w:val="32"/>
      <w:szCs w:val="32"/>
      <w:lang w:val="en-US" w:eastAsia="zh-CN" w:bidi="ar-SA"/>
    </w:rPr>
  </w:style>
  <w:style w:type="paragraph" w:customStyle="1" w:styleId="813">
    <w:name w:val="样式 正文缩进正文（首行缩进两字）正文（首行缩进两字） Char Char Char Char Char Char Char..."/>
    <w:basedOn w:val="21"/>
    <w:uiPriority w:val="0"/>
    <w:pPr>
      <w:tabs>
        <w:tab w:val="left" w:pos="3360"/>
      </w:tabs>
      <w:adjustRightInd w:val="0"/>
      <w:snapToGrid w:val="0"/>
      <w:spacing w:line="360" w:lineRule="auto"/>
      <w:ind w:firstLine="480"/>
      <w:textAlignment w:val="baseline"/>
    </w:pPr>
    <w:rPr>
      <w:rFonts w:ascii="楷体_GB2312" w:eastAsia="楷体_GB2312"/>
      <w:snapToGrid w:val="0"/>
      <w:kern w:val="0"/>
      <w:szCs w:val="24"/>
    </w:rPr>
  </w:style>
  <w:style w:type="paragraph" w:customStyle="1" w:styleId="814">
    <w:name w:val="样式2 Char"/>
    <w:basedOn w:val="21"/>
    <w:uiPriority w:val="0"/>
    <w:pPr>
      <w:widowControl/>
      <w:adjustRightInd w:val="0"/>
      <w:snapToGrid w:val="0"/>
      <w:spacing w:line="360" w:lineRule="auto"/>
      <w:ind w:firstLine="567" w:firstLineChars="0"/>
      <w:textAlignment w:val="baseline"/>
    </w:pPr>
    <w:rPr>
      <w:snapToGrid w:val="0"/>
      <w:kern w:val="0"/>
      <w:szCs w:val="24"/>
    </w:rPr>
  </w:style>
  <w:style w:type="paragraph" w:customStyle="1" w:styleId="815">
    <w:name w:val="正文图小四"/>
    <w:basedOn w:val="1"/>
    <w:autoRedefine/>
    <w:uiPriority w:val="0"/>
    <w:pPr>
      <w:adjustRightInd w:val="0"/>
      <w:spacing w:line="240" w:lineRule="auto"/>
      <w:ind w:firstLine="0" w:firstLineChars="0"/>
      <w:jc w:val="center"/>
      <w:textAlignment w:val="baseline"/>
    </w:pPr>
    <w:rPr>
      <w:rFonts w:ascii="宋体"/>
      <w:kern w:val="0"/>
    </w:rPr>
  </w:style>
  <w:style w:type="paragraph" w:customStyle="1" w:styleId="816">
    <w:name w:val="样式 标题 2 + 段后: 0.5 行"/>
    <w:basedOn w:val="4"/>
    <w:semiHidden/>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817">
    <w:name w:val="样式19"/>
    <w:basedOn w:val="4"/>
    <w:autoRedefine/>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818">
    <w:name w:val="正文999"/>
    <w:basedOn w:val="1"/>
    <w:semiHidden/>
    <w:qFormat/>
    <w:uiPriority w:val="0"/>
    <w:pPr>
      <w:snapToGrid/>
      <w:jc w:val="both"/>
    </w:pPr>
    <w:rPr>
      <w:rFonts w:ascii="宋体" w:hAnsi="宋体"/>
    </w:rPr>
  </w:style>
  <w:style w:type="character" w:customStyle="1" w:styleId="819">
    <w:name w:val="样式 样式 首行缩进:  0.85 厘米 + 段前: 0.5 行 Char1"/>
    <w:link w:val="820"/>
    <w:autoRedefine/>
    <w:qFormat/>
    <w:uiPriority w:val="0"/>
    <w:rPr>
      <w:sz w:val="24"/>
      <w:szCs w:val="24"/>
    </w:rPr>
  </w:style>
  <w:style w:type="paragraph" w:customStyle="1" w:styleId="820">
    <w:name w:val="样式 样式 首行缩进:  0.85 厘米 + 段前: 0.5 行"/>
    <w:basedOn w:val="1"/>
    <w:link w:val="819"/>
    <w:uiPriority w:val="0"/>
    <w:pPr>
      <w:snapToGrid/>
      <w:ind w:firstLine="482" w:firstLineChars="0"/>
      <w:jc w:val="both"/>
    </w:pPr>
    <w:rPr>
      <w:kern w:val="0"/>
    </w:rPr>
  </w:style>
  <w:style w:type="paragraph" w:customStyle="1" w:styleId="821">
    <w:name w:val="Char Char Char Char2"/>
    <w:basedOn w:val="1"/>
    <w:autoRedefine/>
    <w:qFormat/>
    <w:uiPriority w:val="0"/>
    <w:pPr>
      <w:snapToGrid/>
      <w:spacing w:line="240" w:lineRule="auto"/>
      <w:ind w:firstLine="0" w:firstLineChars="0"/>
      <w:jc w:val="both"/>
    </w:pPr>
    <w:rPr>
      <w:sz w:val="21"/>
      <w:szCs w:val="21"/>
    </w:rPr>
  </w:style>
  <w:style w:type="paragraph" w:customStyle="1" w:styleId="822">
    <w:name w:val="默认段落字体 Para"/>
    <w:basedOn w:val="1"/>
    <w:uiPriority w:val="0"/>
    <w:pPr>
      <w:snapToGrid/>
      <w:spacing w:line="240" w:lineRule="auto"/>
      <w:ind w:firstLine="0" w:firstLineChars="0"/>
      <w:jc w:val="both"/>
    </w:pPr>
    <w:rPr>
      <w:sz w:val="21"/>
    </w:rPr>
  </w:style>
  <w:style w:type="paragraph" w:customStyle="1" w:styleId="823">
    <w:name w:val="Char Char Char Char Char Char Char Char Char Char"/>
    <w:basedOn w:val="1"/>
    <w:next w:val="1"/>
    <w:autoRedefine/>
    <w:qFormat/>
    <w:uiPriority w:val="0"/>
    <w:pPr>
      <w:snapToGrid/>
      <w:ind w:firstLine="200"/>
      <w:jc w:val="both"/>
    </w:pPr>
    <w:rPr>
      <w:rFonts w:ascii="宋体" w:hAnsi="宋体" w:cs="宋体"/>
    </w:rPr>
  </w:style>
  <w:style w:type="character" w:customStyle="1" w:styleId="824">
    <w:name w:val="正文文本缩进 2 Char Char Char"/>
    <w:autoRedefine/>
    <w:uiPriority w:val="0"/>
    <w:rPr>
      <w:rFonts w:ascii="Arial" w:hAnsi="Arial" w:eastAsia="宋体"/>
      <w:kern w:val="2"/>
      <w:sz w:val="24"/>
      <w:szCs w:val="24"/>
      <w:lang w:val="en-US" w:eastAsia="zh-CN" w:bidi="ar-SA"/>
    </w:rPr>
  </w:style>
  <w:style w:type="paragraph" w:customStyle="1" w:styleId="825">
    <w:name w:val="样式 居中 首行缩进:  0 字符 Char Char Char"/>
    <w:basedOn w:val="1"/>
    <w:next w:val="1"/>
    <w:link w:val="826"/>
    <w:autoRedefine/>
    <w:qFormat/>
    <w:uiPriority w:val="0"/>
    <w:pPr>
      <w:tabs>
        <w:tab w:val="left" w:pos="9128"/>
      </w:tabs>
      <w:spacing w:line="240" w:lineRule="auto"/>
      <w:ind w:firstLine="0" w:firstLineChars="0"/>
      <w:jc w:val="center"/>
    </w:pPr>
    <w:rPr>
      <w:rFonts w:ascii="宋体" w:hAnsi="宋体"/>
      <w:color w:val="FF0000"/>
      <w:sz w:val="18"/>
      <w:szCs w:val="18"/>
    </w:rPr>
  </w:style>
  <w:style w:type="character" w:customStyle="1" w:styleId="826">
    <w:name w:val="样式 居中 首行缩进:  0 字符 Char Char Char Char"/>
    <w:link w:val="825"/>
    <w:autoRedefine/>
    <w:uiPriority w:val="0"/>
    <w:rPr>
      <w:rFonts w:ascii="宋体" w:hAnsi="宋体"/>
      <w:color w:val="FF0000"/>
      <w:kern w:val="2"/>
      <w:sz w:val="18"/>
      <w:szCs w:val="18"/>
    </w:rPr>
  </w:style>
  <w:style w:type="paragraph" w:customStyle="1" w:styleId="827">
    <w:name w:val="样式 居中 首行缩进:  0 字符"/>
    <w:basedOn w:val="1"/>
    <w:next w:val="1"/>
    <w:link w:val="828"/>
    <w:qFormat/>
    <w:uiPriority w:val="0"/>
    <w:pPr>
      <w:tabs>
        <w:tab w:val="left" w:pos="9128"/>
      </w:tabs>
      <w:snapToGrid/>
      <w:spacing w:line="500" w:lineRule="exact"/>
      <w:ind w:firstLine="0" w:firstLineChars="0"/>
      <w:jc w:val="center"/>
    </w:pPr>
    <w:rPr>
      <w:rFonts w:eastAsia="仿宋_GB2312"/>
      <w:sz w:val="21"/>
      <w:szCs w:val="20"/>
    </w:rPr>
  </w:style>
  <w:style w:type="character" w:customStyle="1" w:styleId="828">
    <w:name w:val="样式 居中 首行缩进:  0 字符 Char"/>
    <w:link w:val="827"/>
    <w:autoRedefine/>
    <w:qFormat/>
    <w:locked/>
    <w:uiPriority w:val="0"/>
    <w:rPr>
      <w:rFonts w:eastAsia="仿宋_GB2312"/>
      <w:kern w:val="2"/>
      <w:sz w:val="21"/>
    </w:rPr>
  </w:style>
  <w:style w:type="table" w:customStyle="1" w:styleId="829">
    <w:name w:val="自定义1"/>
    <w:basedOn w:val="124"/>
    <w:autoRedefine/>
    <w:uiPriority w:val="0"/>
    <w:pPr>
      <w:jc w:val="center"/>
    </w:pPr>
    <w:rPr>
      <w:sz w:val="21"/>
      <w:szCs w:val="21"/>
    </w:rPr>
    <w:tblPr>
      <w:tblBorders>
        <w:top w:val="thinThickSmallGap" w:color="auto" w:sz="12" w:space="0"/>
        <w:left w:val="thinThickSmallGap" w:color="auto" w:sz="12" w:space="0"/>
        <w:bottom w:val="thickThinSmallGap" w:color="auto" w:sz="12" w:space="0"/>
        <w:right w:val="thickThinSmallGap" w:color="auto" w:sz="12" w:space="0"/>
      </w:tblBorders>
      <w:tblCellMar>
        <w:top w:w="0" w:type="dxa"/>
        <w:left w:w="0" w:type="dxa"/>
        <w:bottom w:w="0" w:type="dxa"/>
        <w:right w:w="0" w:type="dxa"/>
      </w:tblCellMar>
    </w:tblPr>
    <w:tcPr>
      <w:shd w:val="clear" w:color="auto" w:fill="auto"/>
      <w:vAlign w:val="center"/>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paragraph" w:customStyle="1" w:styleId="830">
    <w:name w:val="样式 标题 1 + 加粗"/>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character" w:customStyle="1" w:styleId="831">
    <w:name w:val="font14px"/>
    <w:uiPriority w:val="0"/>
    <w:rPr>
      <w:rFonts w:eastAsia="宋体"/>
      <w:kern w:val="2"/>
      <w:sz w:val="21"/>
      <w:szCs w:val="24"/>
      <w:lang w:val="en-US" w:eastAsia="zh-CN" w:bidi="ar-SA"/>
    </w:rPr>
  </w:style>
  <w:style w:type="character" w:customStyle="1" w:styleId="832">
    <w:name w:val="s"/>
    <w:uiPriority w:val="0"/>
    <w:rPr>
      <w:rFonts w:eastAsia="宋体"/>
      <w:kern w:val="2"/>
      <w:sz w:val="21"/>
      <w:szCs w:val="24"/>
      <w:lang w:val="en-US" w:eastAsia="zh-CN" w:bidi="ar-SA"/>
    </w:rPr>
  </w:style>
  <w:style w:type="paragraph" w:customStyle="1" w:styleId="833">
    <w:name w:val="样式 居中 首行缩进:  0 字符 Char Char"/>
    <w:basedOn w:val="1"/>
    <w:next w:val="1"/>
    <w:qFormat/>
    <w:uiPriority w:val="0"/>
    <w:pPr>
      <w:tabs>
        <w:tab w:val="left" w:pos="9128"/>
      </w:tabs>
      <w:spacing w:line="240" w:lineRule="auto"/>
      <w:ind w:firstLine="0" w:firstLineChars="0"/>
      <w:jc w:val="center"/>
    </w:pPr>
    <w:rPr>
      <w:rFonts w:ascii="宋体" w:hAnsi="宋体"/>
      <w:color w:val="FF0000"/>
      <w:sz w:val="18"/>
      <w:szCs w:val="18"/>
    </w:rPr>
  </w:style>
  <w:style w:type="table" w:customStyle="1" w:styleId="834">
    <w:name w:val="自定义"/>
    <w:basedOn w:val="93"/>
    <w:uiPriority w:val="0"/>
    <w:pPr>
      <w:jc w:val="center"/>
    </w:pPr>
    <w:rPr>
      <w:sz w:val="21"/>
    </w:rPr>
    <w:tblPr>
      <w:tblBorders>
        <w:top w:val="thinThickSmallGap" w:color="auto" w:sz="12" w:space="0"/>
        <w:left w:val="thinThickSmallGap" w:color="auto" w:sz="12" w:space="0"/>
        <w:bottom w:val="thickThinSmallGap" w:color="auto" w:sz="12" w:space="0"/>
        <w:right w:val="thickThinSmallGap" w:color="auto" w:sz="12" w:space="0"/>
      </w:tblBorders>
      <w:tblCellMar>
        <w:top w:w="0" w:type="dxa"/>
        <w:left w:w="0" w:type="dxa"/>
        <w:bottom w:w="0" w:type="dxa"/>
        <w:right w:w="0" w:type="dxa"/>
      </w:tblCellMar>
    </w:tblPr>
    <w:tcPr>
      <w:shd w:val="clear" w:color="auto" w:fill="auto"/>
      <w:vAlign w:val="center"/>
    </w:tcPr>
    <w:tblStylePr w:type="firstRow">
      <w:rPr>
        <w:caps/>
        <w:color w:val="auto"/>
      </w:rPr>
      <w:tcPr>
        <w:tcBorders>
          <w:tl2br w:val="nil"/>
          <w:tr2bl w:val="nil"/>
        </w:tcBorders>
      </w:tcPr>
    </w:tblStylePr>
  </w:style>
  <w:style w:type="character" w:customStyle="1" w:styleId="835">
    <w:name w:val="个人答复风格"/>
    <w:autoRedefine/>
    <w:uiPriority w:val="0"/>
    <w:rPr>
      <w:rFonts w:ascii="Arial" w:hAnsi="Arial" w:eastAsia="宋体" w:cs="Arial"/>
      <w:color w:val="auto"/>
      <w:kern w:val="2"/>
      <w:sz w:val="20"/>
      <w:szCs w:val="24"/>
      <w:lang w:val="en-US" w:eastAsia="zh-CN" w:bidi="ar-SA"/>
    </w:rPr>
  </w:style>
  <w:style w:type="character" w:customStyle="1" w:styleId="836">
    <w:name w:val="个人撰写风格"/>
    <w:autoRedefine/>
    <w:qFormat/>
    <w:uiPriority w:val="0"/>
    <w:rPr>
      <w:rFonts w:ascii="Arial" w:hAnsi="Arial" w:eastAsia="宋体" w:cs="Arial"/>
      <w:color w:val="auto"/>
      <w:kern w:val="2"/>
      <w:sz w:val="20"/>
      <w:szCs w:val="24"/>
      <w:lang w:val="en-US" w:eastAsia="zh-CN" w:bidi="ar-SA"/>
    </w:rPr>
  </w:style>
  <w:style w:type="paragraph" w:customStyle="1" w:styleId="837">
    <w:name w:val="居中正文"/>
    <w:basedOn w:val="21"/>
    <w:next w:val="21"/>
    <w:uiPriority w:val="0"/>
    <w:pPr>
      <w:spacing w:line="540" w:lineRule="exact"/>
      <w:ind w:right="-13" w:rightChars="-6" w:firstLine="200"/>
      <w:jc w:val="center"/>
    </w:pPr>
    <w:rPr>
      <w:rFonts w:eastAsia="仿宋_GB2312"/>
      <w:sz w:val="28"/>
    </w:rPr>
  </w:style>
  <w:style w:type="table" w:customStyle="1" w:styleId="838">
    <w:name w:val="普通表格1"/>
    <w:autoRedefine/>
    <w:semiHidden/>
    <w:uiPriority w:val="0"/>
    <w:rPr>
      <w:rFonts w:eastAsia="Times New Roman"/>
    </w:rPr>
    <w:tblPr>
      <w:tblCellMar>
        <w:top w:w="0" w:type="dxa"/>
        <w:left w:w="108" w:type="dxa"/>
        <w:bottom w:w="0" w:type="dxa"/>
        <w:right w:w="108" w:type="dxa"/>
      </w:tblCellMar>
    </w:tblPr>
  </w:style>
  <w:style w:type="paragraph" w:customStyle="1" w:styleId="839">
    <w:name w:val="正文（首行式样2）"/>
    <w:basedOn w:val="21"/>
    <w:link w:val="840"/>
    <w:qFormat/>
    <w:uiPriority w:val="0"/>
    <w:pPr>
      <w:snapToGrid w:val="0"/>
      <w:spacing w:line="360" w:lineRule="auto"/>
      <w:ind w:right="-13" w:rightChars="-6" w:firstLine="526" w:firstLineChars="219"/>
    </w:pPr>
    <w:rPr>
      <w:rFonts w:ascii="宋体" w:hAnsi="宋体"/>
      <w:color w:val="000000"/>
      <w:szCs w:val="24"/>
    </w:rPr>
  </w:style>
  <w:style w:type="character" w:customStyle="1" w:styleId="840">
    <w:name w:val="正文（首行式样2） Char"/>
    <w:link w:val="839"/>
    <w:autoRedefine/>
    <w:qFormat/>
    <w:uiPriority w:val="0"/>
    <w:rPr>
      <w:rFonts w:ascii="宋体" w:hAnsi="宋体"/>
      <w:color w:val="000000"/>
      <w:kern w:val="2"/>
      <w:sz w:val="24"/>
      <w:szCs w:val="24"/>
    </w:rPr>
  </w:style>
  <w:style w:type="paragraph" w:customStyle="1" w:styleId="841">
    <w:name w:val="正文(首行缩进两字2)"/>
    <w:basedOn w:val="21"/>
    <w:qFormat/>
    <w:uiPriority w:val="0"/>
    <w:pPr>
      <w:spacing w:line="480" w:lineRule="exact"/>
      <w:ind w:right="-13" w:rightChars="-6" w:firstLine="560"/>
    </w:pPr>
    <w:rPr>
      <w:rFonts w:eastAsia="仿宋_GB2312"/>
      <w:sz w:val="28"/>
    </w:rPr>
  </w:style>
  <w:style w:type="paragraph" w:customStyle="1" w:styleId="842">
    <w:name w:val="正文表格"/>
    <w:basedOn w:val="1"/>
    <w:autoRedefine/>
    <w:qFormat/>
    <w:uiPriority w:val="0"/>
    <w:pPr>
      <w:keepNext/>
      <w:keepLines/>
      <w:snapToGrid/>
      <w:spacing w:line="240" w:lineRule="auto"/>
      <w:ind w:firstLine="0" w:firstLineChars="0"/>
      <w:jc w:val="center"/>
      <w:textAlignment w:val="bottom"/>
    </w:pPr>
    <w:rPr>
      <w:sz w:val="21"/>
    </w:rPr>
  </w:style>
  <w:style w:type="paragraph" w:customStyle="1" w:styleId="843">
    <w:name w:val="样式 四号2"/>
    <w:basedOn w:val="1"/>
    <w:uiPriority w:val="0"/>
    <w:pPr>
      <w:snapToGrid/>
      <w:spacing w:line="440" w:lineRule="exact"/>
      <w:ind w:firstLine="200"/>
      <w:jc w:val="both"/>
    </w:pPr>
    <w:rPr>
      <w:kern w:val="0"/>
      <w:sz w:val="28"/>
    </w:rPr>
  </w:style>
  <w:style w:type="paragraph" w:customStyle="1" w:styleId="844">
    <w:name w:val="Char Char Char Char Char Char Char Char Char Char Char Char"/>
    <w:basedOn w:val="1"/>
    <w:next w:val="1"/>
    <w:autoRedefine/>
    <w:qFormat/>
    <w:uiPriority w:val="0"/>
    <w:pPr>
      <w:snapToGrid/>
      <w:ind w:firstLine="200"/>
      <w:jc w:val="both"/>
    </w:pPr>
    <w:rPr>
      <w:rFonts w:ascii="宋体" w:hAnsi="宋体" w:cs="宋体"/>
    </w:rPr>
  </w:style>
  <w:style w:type="paragraph" w:customStyle="1" w:styleId="845">
    <w:name w:val="样式 标题 2 + 段前: 1 行 段后: 0.5 行"/>
    <w:basedOn w:val="4"/>
    <w:autoRedefine/>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846">
    <w:name w:val="Char Char Char Char Char Char Char Char Char Char Char Char1 Char"/>
    <w:basedOn w:val="1"/>
    <w:next w:val="1"/>
    <w:qFormat/>
    <w:uiPriority w:val="0"/>
    <w:pPr>
      <w:snapToGrid/>
      <w:ind w:firstLine="200"/>
      <w:jc w:val="both"/>
    </w:pPr>
    <w:rPr>
      <w:rFonts w:ascii="宋体" w:hAnsi="宋体" w:cs="宋体"/>
    </w:rPr>
  </w:style>
  <w:style w:type="paragraph" w:customStyle="1" w:styleId="847">
    <w:name w:val="样式 正文首行缩进 2 + (符号) 宋体 + (符号) 宋体"/>
    <w:basedOn w:val="1"/>
    <w:link w:val="849"/>
    <w:uiPriority w:val="0"/>
    <w:pPr>
      <w:snapToGrid/>
      <w:ind w:firstLine="200"/>
      <w:jc w:val="both"/>
    </w:pPr>
    <w:rPr>
      <w:rFonts w:ascii="宋体"/>
    </w:rPr>
  </w:style>
  <w:style w:type="paragraph" w:customStyle="1" w:styleId="848">
    <w:name w:val="Char Char Char Char Char Char Char Char Char1 Char Char Char Char"/>
    <w:basedOn w:val="1"/>
    <w:autoRedefine/>
    <w:semiHidden/>
    <w:uiPriority w:val="0"/>
    <w:pPr>
      <w:snapToGrid/>
      <w:ind w:firstLine="200"/>
      <w:jc w:val="both"/>
    </w:pPr>
    <w:rPr>
      <w:rFonts w:ascii="宋体" w:hAnsi="宋体" w:cs="宋体"/>
      <w:szCs w:val="26"/>
    </w:rPr>
  </w:style>
  <w:style w:type="character" w:customStyle="1" w:styleId="849">
    <w:name w:val="样式 正文首行缩进 2 + (符号) 宋体 + (符号) 宋体 Char Char"/>
    <w:link w:val="847"/>
    <w:uiPriority w:val="0"/>
    <w:rPr>
      <w:rFonts w:ascii="宋体"/>
      <w:kern w:val="2"/>
      <w:sz w:val="24"/>
      <w:szCs w:val="24"/>
    </w:rPr>
  </w:style>
  <w:style w:type="paragraph" w:customStyle="1" w:styleId="850">
    <w:name w:val="样式 5 + 首行缩进:  2 字符"/>
    <w:basedOn w:val="1"/>
    <w:link w:val="851"/>
    <w:uiPriority w:val="0"/>
    <w:pPr>
      <w:snapToGrid/>
      <w:spacing w:line="240" w:lineRule="auto"/>
      <w:ind w:firstLine="592"/>
      <w:jc w:val="both"/>
    </w:pPr>
    <w:rPr>
      <w:rFonts w:ascii="楷体_GB2312" w:hAnsi="宋体" w:eastAsia="楷体_GB2312" w:cs="宋体"/>
      <w:color w:val="000000"/>
      <w:spacing w:val="-2"/>
      <w:sz w:val="30"/>
      <w:szCs w:val="30"/>
    </w:rPr>
  </w:style>
  <w:style w:type="character" w:customStyle="1" w:styleId="851">
    <w:name w:val="样式 5 + 首行缩进:  2 字符 Char"/>
    <w:link w:val="850"/>
    <w:uiPriority w:val="0"/>
    <w:rPr>
      <w:rFonts w:ascii="楷体_GB2312" w:hAnsi="宋体" w:eastAsia="楷体_GB2312" w:cs="宋体"/>
      <w:color w:val="000000"/>
      <w:spacing w:val="-2"/>
      <w:kern w:val="2"/>
      <w:sz w:val="30"/>
      <w:szCs w:val="30"/>
    </w:rPr>
  </w:style>
  <w:style w:type="paragraph" w:customStyle="1" w:styleId="852">
    <w:name w:val="Char Char Char Char Char Char1 Char"/>
    <w:basedOn w:val="1"/>
    <w:uiPriority w:val="0"/>
    <w:pPr>
      <w:snapToGrid/>
      <w:spacing w:line="240" w:lineRule="auto"/>
      <w:ind w:firstLine="0" w:firstLineChars="0"/>
      <w:jc w:val="both"/>
    </w:pPr>
    <w:rPr>
      <w:sz w:val="21"/>
    </w:rPr>
  </w:style>
  <w:style w:type="paragraph" w:customStyle="1" w:styleId="853">
    <w:name w:val="样式 标题 2 + 黑色"/>
    <w:basedOn w:val="4"/>
    <w:next w:val="87"/>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854">
    <w:name w:val="Char Char Char Char Char Char Char Char Char Char Char Char Char Char Char Char"/>
    <w:basedOn w:val="1"/>
    <w:autoRedefine/>
    <w:uiPriority w:val="0"/>
    <w:pPr>
      <w:snapToGrid/>
      <w:spacing w:line="240" w:lineRule="auto"/>
      <w:ind w:firstLine="0" w:firstLineChars="0"/>
      <w:jc w:val="both"/>
    </w:pPr>
    <w:rPr>
      <w:sz w:val="21"/>
    </w:rPr>
  </w:style>
  <w:style w:type="paragraph" w:customStyle="1" w:styleId="855">
    <w:name w:val="公式样式1"/>
    <w:basedOn w:val="1"/>
    <w:autoRedefine/>
    <w:qFormat/>
    <w:uiPriority w:val="0"/>
    <w:pPr>
      <w:snapToGrid/>
      <w:spacing w:line="240" w:lineRule="auto"/>
      <w:ind w:firstLine="0" w:firstLineChars="0"/>
      <w:jc w:val="center"/>
    </w:pPr>
    <w:rPr>
      <w:rFonts w:ascii="宋体" w:hAnsi="宋体"/>
      <w:color w:val="FF0000"/>
      <w:sz w:val="21"/>
    </w:rPr>
  </w:style>
  <w:style w:type="paragraph" w:customStyle="1" w:styleId="856">
    <w:name w:val="设计文本"/>
    <w:basedOn w:val="1"/>
    <w:uiPriority w:val="0"/>
    <w:pPr>
      <w:snapToGrid/>
      <w:spacing w:line="240" w:lineRule="auto"/>
      <w:ind w:firstLine="0" w:firstLineChars="0"/>
      <w:jc w:val="center"/>
    </w:pPr>
    <w:rPr>
      <w:szCs w:val="20"/>
    </w:rPr>
  </w:style>
  <w:style w:type="paragraph" w:customStyle="1" w:styleId="857">
    <w:name w:val="a01"/>
    <w:basedOn w:val="1"/>
    <w:autoRedefine/>
    <w:uiPriority w:val="0"/>
    <w:pPr>
      <w:widowControl/>
      <w:snapToGrid/>
      <w:spacing w:beforeAutospacing="1" w:afterAutospacing="1" w:line="345" w:lineRule="atLeast"/>
      <w:ind w:firstLine="0" w:firstLineChars="0"/>
    </w:pPr>
    <w:rPr>
      <w:rFonts w:ascii="宋体" w:hAnsi="宋体" w:cs="宋体"/>
      <w:color w:val="000000"/>
      <w:kern w:val="0"/>
      <w:sz w:val="23"/>
      <w:szCs w:val="23"/>
    </w:rPr>
  </w:style>
  <w:style w:type="paragraph" w:customStyle="1" w:styleId="858">
    <w:name w:val="小四表文左齐"/>
    <w:basedOn w:val="1"/>
    <w:autoRedefine/>
    <w:uiPriority w:val="0"/>
    <w:pPr>
      <w:snapToGrid/>
      <w:spacing w:line="240" w:lineRule="auto"/>
      <w:ind w:firstLine="0" w:firstLineChars="0"/>
      <w:jc w:val="center"/>
    </w:pPr>
    <w:rPr>
      <w:rFonts w:ascii="宋体" w:hAnsi="宋体"/>
      <w:sz w:val="21"/>
    </w:rPr>
  </w:style>
  <w:style w:type="paragraph" w:customStyle="1" w:styleId="859">
    <w:name w:val="0"/>
    <w:basedOn w:val="1"/>
    <w:autoRedefine/>
    <w:qFormat/>
    <w:uiPriority w:val="0"/>
    <w:pPr>
      <w:widowControl/>
      <w:spacing w:line="240" w:lineRule="auto"/>
      <w:ind w:firstLine="0" w:firstLineChars="0"/>
      <w:jc w:val="both"/>
    </w:pPr>
    <w:rPr>
      <w:kern w:val="0"/>
      <w:sz w:val="21"/>
      <w:szCs w:val="21"/>
    </w:rPr>
  </w:style>
  <w:style w:type="paragraph" w:customStyle="1" w:styleId="860">
    <w:name w:val="Char Char Char1 Char Char Char Char Char Char Char Char Char Char Char Char Char Char Char Char Char Char Char"/>
    <w:basedOn w:val="1"/>
    <w:autoRedefine/>
    <w:qFormat/>
    <w:uiPriority w:val="0"/>
    <w:pPr>
      <w:snapToGrid/>
      <w:spacing w:line="240" w:lineRule="auto"/>
      <w:ind w:firstLine="0" w:firstLineChars="0"/>
      <w:jc w:val="both"/>
    </w:pPr>
    <w:rPr>
      <w:sz w:val="21"/>
    </w:rPr>
  </w:style>
  <w:style w:type="paragraph" w:customStyle="1" w:styleId="861">
    <w:name w:val="插图"/>
    <w:next w:val="1"/>
    <w:autoRedefine/>
    <w:qFormat/>
    <w:uiPriority w:val="0"/>
    <w:pPr>
      <w:snapToGrid w:val="0"/>
      <w:spacing w:line="240" w:lineRule="exact"/>
      <w:jc w:val="center"/>
    </w:pPr>
    <w:rPr>
      <w:rFonts w:ascii="宋体" w:hAnsi="Times New Roman" w:eastAsia="宋体" w:cs="Times New Roman"/>
      <w:kern w:val="2"/>
      <w:sz w:val="21"/>
      <w:szCs w:val="21"/>
      <w:lang w:val="en-US" w:eastAsia="zh-CN" w:bidi="ar-SA"/>
    </w:rPr>
  </w:style>
  <w:style w:type="paragraph" w:customStyle="1" w:styleId="862">
    <w:name w:val="报告正文 Char"/>
    <w:basedOn w:val="1"/>
    <w:link w:val="863"/>
    <w:autoRedefine/>
    <w:qFormat/>
    <w:uiPriority w:val="0"/>
    <w:pPr>
      <w:adjustRightInd w:val="0"/>
      <w:ind w:firstLine="200"/>
      <w:jc w:val="both"/>
    </w:pPr>
    <w:rPr>
      <w:sz w:val="28"/>
      <w:szCs w:val="28"/>
    </w:rPr>
  </w:style>
  <w:style w:type="character" w:customStyle="1" w:styleId="863">
    <w:name w:val="报告正文 Char Char"/>
    <w:link w:val="862"/>
    <w:autoRedefine/>
    <w:qFormat/>
    <w:uiPriority w:val="0"/>
    <w:rPr>
      <w:kern w:val="2"/>
      <w:sz w:val="28"/>
      <w:szCs w:val="28"/>
    </w:rPr>
  </w:style>
  <w:style w:type="paragraph" w:customStyle="1" w:styleId="864">
    <w:name w:val="密级编号"/>
    <w:basedOn w:val="1"/>
    <w:autoRedefine/>
    <w:uiPriority w:val="0"/>
    <w:pPr>
      <w:adjustRightInd w:val="0"/>
      <w:snapToGrid/>
      <w:spacing w:line="240" w:lineRule="auto"/>
      <w:ind w:firstLine="0" w:firstLineChars="0"/>
      <w:jc w:val="center"/>
      <w:textAlignment w:val="baseline"/>
    </w:pPr>
    <w:rPr>
      <w:rFonts w:ascii="仿宋_GB2312" w:eastAsia="仿宋_GB2312"/>
      <w:kern w:val="0"/>
      <w:szCs w:val="20"/>
    </w:rPr>
  </w:style>
  <w:style w:type="paragraph" w:customStyle="1" w:styleId="865">
    <w:name w:val="样式 行距: 1.5 倍行距"/>
    <w:basedOn w:val="1"/>
    <w:autoRedefine/>
    <w:qFormat/>
    <w:uiPriority w:val="0"/>
    <w:pPr>
      <w:tabs>
        <w:tab w:val="left" w:pos="630"/>
      </w:tabs>
      <w:snapToGrid/>
      <w:ind w:firstLine="0" w:firstLineChars="0"/>
      <w:jc w:val="both"/>
    </w:pPr>
    <w:rPr>
      <w:rFonts w:ascii="宋体" w:hAnsi="宋体"/>
      <w:color w:val="000000"/>
      <w:szCs w:val="20"/>
    </w:rPr>
  </w:style>
  <w:style w:type="paragraph" w:customStyle="1" w:styleId="866">
    <w:name w:val="样式 表头 + 首行缩进:  2 字符"/>
    <w:basedOn w:val="1"/>
    <w:autoRedefine/>
    <w:uiPriority w:val="0"/>
    <w:pPr>
      <w:keepNext/>
      <w:tabs>
        <w:tab w:val="left" w:pos="3319"/>
        <w:tab w:val="left" w:pos="3600"/>
      </w:tabs>
      <w:snapToGrid/>
      <w:spacing w:line="240" w:lineRule="auto"/>
      <w:ind w:firstLine="0" w:firstLineChars="0"/>
      <w:jc w:val="center"/>
    </w:pPr>
    <w:rPr>
      <w:rFonts w:eastAsia="仿宋_GB2312"/>
      <w:b/>
      <w:bCs/>
      <w:color w:val="000000"/>
      <w:szCs w:val="20"/>
    </w:rPr>
  </w:style>
  <w:style w:type="paragraph" w:customStyle="1" w:styleId="867">
    <w:name w:val="报告节"/>
    <w:basedOn w:val="862"/>
    <w:next w:val="1"/>
    <w:qFormat/>
    <w:uiPriority w:val="0"/>
    <w:pPr>
      <w:keepNext/>
      <w:widowControl/>
      <w:tabs>
        <w:tab w:val="left" w:pos="3319"/>
        <w:tab w:val="left" w:pos="3600"/>
      </w:tabs>
      <w:adjustRightInd/>
      <w:snapToGrid/>
      <w:spacing w:line="720" w:lineRule="auto"/>
      <w:ind w:firstLine="0" w:firstLineChars="0"/>
      <w:jc w:val="center"/>
      <w:outlineLvl w:val="1"/>
    </w:pPr>
    <w:rPr>
      <w:rFonts w:ascii="仿宋_GB2312" w:eastAsia="仿宋_GB2312"/>
      <w:b/>
      <w:snapToGrid w:val="0"/>
      <w:sz w:val="32"/>
      <w:szCs w:val="32"/>
    </w:rPr>
  </w:style>
  <w:style w:type="paragraph" w:customStyle="1" w:styleId="868">
    <w:name w:val="报告一"/>
    <w:basedOn w:val="862"/>
    <w:next w:val="862"/>
    <w:autoRedefine/>
    <w:qFormat/>
    <w:uiPriority w:val="0"/>
    <w:pPr>
      <w:keepNext/>
      <w:widowControl/>
      <w:tabs>
        <w:tab w:val="left" w:pos="3319"/>
        <w:tab w:val="left" w:pos="3600"/>
      </w:tabs>
      <w:adjustRightInd/>
      <w:snapToGrid/>
      <w:spacing w:line="240" w:lineRule="auto"/>
      <w:ind w:left="560" w:firstLine="0" w:firstLineChars="0"/>
      <w:outlineLvl w:val="3"/>
    </w:pPr>
    <w:rPr>
      <w:rFonts w:ascii="仿宋_GB2312" w:hAnsi="宋体" w:eastAsia="仿宋_GB2312"/>
      <w:b/>
      <w:bCs/>
    </w:rPr>
  </w:style>
  <w:style w:type="paragraph" w:customStyle="1" w:styleId="869">
    <w:name w:val="表文字 Char"/>
    <w:basedOn w:val="1"/>
    <w:link w:val="870"/>
    <w:uiPriority w:val="0"/>
    <w:pPr>
      <w:keepNext/>
      <w:widowControl/>
      <w:snapToGrid/>
      <w:spacing w:line="240" w:lineRule="exact"/>
      <w:ind w:firstLine="0" w:firstLineChars="0"/>
      <w:jc w:val="both"/>
    </w:pPr>
    <w:rPr>
      <w:rFonts w:ascii="仿宋_GB2312" w:hAnsi="宋体" w:eastAsia="仿宋_GB2312"/>
      <w:b/>
      <w:bCs/>
      <w:sz w:val="18"/>
      <w:szCs w:val="18"/>
    </w:rPr>
  </w:style>
  <w:style w:type="character" w:customStyle="1" w:styleId="870">
    <w:name w:val="表文字 Char Char"/>
    <w:link w:val="869"/>
    <w:uiPriority w:val="0"/>
    <w:rPr>
      <w:rFonts w:ascii="仿宋_GB2312" w:hAnsi="宋体" w:eastAsia="仿宋_GB2312"/>
      <w:b/>
      <w:bCs/>
      <w:kern w:val="2"/>
      <w:sz w:val="18"/>
      <w:szCs w:val="18"/>
    </w:rPr>
  </w:style>
  <w:style w:type="paragraph" w:customStyle="1" w:styleId="871">
    <w:name w:val="正文(首行缩进)宋旭峰"/>
    <w:basedOn w:val="21"/>
    <w:link w:val="872"/>
    <w:uiPriority w:val="0"/>
    <w:pPr>
      <w:spacing w:line="360" w:lineRule="auto"/>
      <w:ind w:firstLine="480"/>
      <w:contextualSpacing/>
    </w:pPr>
    <w:rPr>
      <w:rFonts w:cs="TimesNewRomanPSMT"/>
      <w:snapToGrid w:val="0"/>
      <w:kern w:val="0"/>
      <w:szCs w:val="24"/>
    </w:rPr>
  </w:style>
  <w:style w:type="character" w:customStyle="1" w:styleId="872">
    <w:name w:val="正文(首行缩进)宋旭峰 Char Char"/>
    <w:link w:val="871"/>
    <w:qFormat/>
    <w:uiPriority w:val="0"/>
    <w:rPr>
      <w:rFonts w:cs="TimesNewRomanPSMT"/>
      <w:snapToGrid w:val="0"/>
      <w:sz w:val="24"/>
      <w:szCs w:val="24"/>
    </w:rPr>
  </w:style>
  <w:style w:type="paragraph" w:customStyle="1" w:styleId="873">
    <w:name w:val="Char Char Char Char Char Char Char Char Char Char Char Char Char Char Char Char Char Char Char Char Char Char Char Char Char Char Char Char Char Char Char Char Char Char Char Char Char Char Char"/>
    <w:basedOn w:val="1"/>
    <w:uiPriority w:val="0"/>
    <w:pPr>
      <w:snapToGrid/>
      <w:spacing w:line="240" w:lineRule="auto"/>
      <w:ind w:firstLine="0" w:firstLineChars="0"/>
      <w:jc w:val="both"/>
    </w:pPr>
    <w:rPr>
      <w:sz w:val="21"/>
    </w:rPr>
  </w:style>
  <w:style w:type="paragraph" w:customStyle="1" w:styleId="874">
    <w:name w:val="样式 样式 样式 设计正文 + 首行缩进:  2 字符 + 首行缩进:  2 字符 + 首行缩进:  2 字符"/>
    <w:basedOn w:val="1"/>
    <w:uiPriority w:val="0"/>
    <w:pPr>
      <w:keepNext/>
      <w:snapToGrid/>
      <w:ind w:firstLine="538" w:firstLineChars="192"/>
      <w:jc w:val="both"/>
    </w:pPr>
    <w:rPr>
      <w:rFonts w:ascii="仿宋_GB2312" w:eastAsia="仿宋_GB2312" w:cs="宋体"/>
      <w:sz w:val="28"/>
      <w:szCs w:val="20"/>
    </w:rPr>
  </w:style>
  <w:style w:type="paragraph" w:customStyle="1" w:styleId="875">
    <w:name w:val="正文(首行缩进) Char Char Char"/>
    <w:basedOn w:val="1"/>
    <w:link w:val="884"/>
    <w:autoRedefine/>
    <w:uiPriority w:val="0"/>
    <w:pPr>
      <w:snapToGrid/>
      <w:jc w:val="both"/>
    </w:pPr>
    <w:rPr>
      <w:snapToGrid w:val="0"/>
    </w:rPr>
  </w:style>
  <w:style w:type="paragraph" w:customStyle="1" w:styleId="876">
    <w:name w:val="Char Char Char Char Char Char Char Char Char1"/>
    <w:basedOn w:val="1"/>
    <w:qFormat/>
    <w:uiPriority w:val="0"/>
    <w:pPr>
      <w:snapToGrid/>
      <w:spacing w:line="240" w:lineRule="auto"/>
      <w:ind w:firstLine="0" w:firstLineChars="0"/>
      <w:jc w:val="both"/>
    </w:pPr>
    <w:rPr>
      <w:sz w:val="21"/>
    </w:rPr>
  </w:style>
  <w:style w:type="paragraph" w:customStyle="1" w:styleId="877">
    <w:name w:val="表底说明"/>
    <w:basedOn w:val="1"/>
    <w:link w:val="878"/>
    <w:autoRedefine/>
    <w:qFormat/>
    <w:uiPriority w:val="0"/>
    <w:pPr>
      <w:snapToGrid/>
      <w:spacing w:line="240" w:lineRule="auto"/>
      <w:ind w:firstLine="0" w:firstLineChars="0"/>
      <w:jc w:val="both"/>
    </w:pPr>
    <w:rPr>
      <w:sz w:val="18"/>
    </w:rPr>
  </w:style>
  <w:style w:type="character" w:customStyle="1" w:styleId="878">
    <w:name w:val="表底说明 Char"/>
    <w:link w:val="877"/>
    <w:uiPriority w:val="0"/>
    <w:rPr>
      <w:kern w:val="2"/>
      <w:sz w:val="18"/>
      <w:szCs w:val="24"/>
    </w:rPr>
  </w:style>
  <w:style w:type="paragraph" w:customStyle="1" w:styleId="879">
    <w:name w:val="环保专篇"/>
    <w:link w:val="880"/>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880">
    <w:name w:val="环保专篇 Char"/>
    <w:link w:val="879"/>
    <w:autoRedefine/>
    <w:qFormat/>
    <w:uiPriority w:val="0"/>
    <w:rPr>
      <w:kern w:val="2"/>
      <w:sz w:val="24"/>
      <w:szCs w:val="24"/>
    </w:rPr>
  </w:style>
  <w:style w:type="paragraph" w:customStyle="1" w:styleId="881">
    <w:name w:val="表格后空行"/>
    <w:basedOn w:val="1"/>
    <w:autoRedefine/>
    <w:uiPriority w:val="0"/>
    <w:pPr>
      <w:widowControl/>
      <w:snapToGrid/>
      <w:spacing w:line="240" w:lineRule="exact"/>
      <w:ind w:firstLine="0" w:firstLineChars="0"/>
      <w:jc w:val="both"/>
      <w:textAlignment w:val="baseline"/>
    </w:pPr>
    <w:rPr>
      <w:rFonts w:cs="宋体"/>
      <w:color w:val="000000"/>
      <w:kern w:val="0"/>
      <w:sz w:val="21"/>
      <w:szCs w:val="20"/>
      <w:u w:color="000000"/>
    </w:rPr>
  </w:style>
  <w:style w:type="paragraph" w:customStyle="1" w:styleId="882">
    <w:name w:val="表头标题格式"/>
    <w:basedOn w:val="1"/>
    <w:link w:val="891"/>
    <w:autoRedefine/>
    <w:qFormat/>
    <w:uiPriority w:val="0"/>
    <w:pPr>
      <w:tabs>
        <w:tab w:val="left" w:pos="360"/>
        <w:tab w:val="left" w:pos="1620"/>
      </w:tabs>
      <w:snapToGrid/>
      <w:ind w:firstLine="0" w:firstLineChars="0"/>
      <w:jc w:val="center"/>
    </w:pPr>
    <w:rPr>
      <w:rFonts w:ascii="黑体" w:hAnsi="宋体" w:eastAsia="黑体" w:cs="宋体"/>
      <w:b/>
      <w:bCs/>
      <w:szCs w:val="20"/>
    </w:rPr>
  </w:style>
  <w:style w:type="character" w:customStyle="1" w:styleId="883">
    <w:name w:val="样式 首行缩进:  2 字符 Char"/>
    <w:link w:val="311"/>
    <w:autoRedefine/>
    <w:uiPriority w:val="0"/>
    <w:rPr>
      <w:rFonts w:cs="宋体"/>
      <w:kern w:val="2"/>
      <w:sz w:val="24"/>
    </w:rPr>
  </w:style>
  <w:style w:type="character" w:customStyle="1" w:styleId="884">
    <w:name w:val="正文(首行缩进) Char Char Char Char"/>
    <w:link w:val="875"/>
    <w:qFormat/>
    <w:uiPriority w:val="0"/>
    <w:rPr>
      <w:snapToGrid w:val="0"/>
      <w:kern w:val="2"/>
      <w:sz w:val="24"/>
      <w:szCs w:val="24"/>
    </w:rPr>
  </w:style>
  <w:style w:type="paragraph" w:customStyle="1" w:styleId="885">
    <w:name w:val="样式 正文首行缩进 2 + (符号) 宋体"/>
    <w:basedOn w:val="87"/>
    <w:link w:val="886"/>
    <w:autoRedefine/>
    <w:uiPriority w:val="0"/>
    <w:pPr>
      <w:spacing w:after="0" w:line="360" w:lineRule="auto"/>
      <w:ind w:firstLine="200" w:firstLineChars="200"/>
    </w:pPr>
    <w:rPr>
      <w:rFonts w:ascii="宋体" w:hAnsi="Times New Roman" w:eastAsia="宋体"/>
    </w:rPr>
  </w:style>
  <w:style w:type="character" w:customStyle="1" w:styleId="886">
    <w:name w:val="样式 正文首行缩进 2 + (符号) 宋体 Char"/>
    <w:link w:val="885"/>
    <w:uiPriority w:val="0"/>
    <w:rPr>
      <w:rFonts w:ascii="宋体"/>
      <w:kern w:val="2"/>
      <w:sz w:val="24"/>
      <w:szCs w:val="24"/>
    </w:rPr>
  </w:style>
  <w:style w:type="paragraph" w:customStyle="1" w:styleId="887">
    <w:name w:val="正文标准样式"/>
    <w:basedOn w:val="1"/>
    <w:uiPriority w:val="0"/>
    <w:pPr>
      <w:adjustRightInd w:val="0"/>
      <w:snapToGrid/>
      <w:spacing w:line="300" w:lineRule="auto"/>
      <w:ind w:firstLine="482" w:firstLineChars="0"/>
      <w:jc w:val="both"/>
      <w:textAlignment w:val="baseline"/>
    </w:pPr>
    <w:rPr>
      <w:kern w:val="0"/>
      <w:szCs w:val="20"/>
    </w:rPr>
  </w:style>
  <w:style w:type="paragraph" w:customStyle="1" w:styleId="888">
    <w:name w:val="正文格式"/>
    <w:basedOn w:val="86"/>
    <w:link w:val="890"/>
    <w:uiPriority w:val="0"/>
    <w:pPr>
      <w:spacing w:after="0" w:line="360" w:lineRule="auto"/>
      <w:ind w:firstLine="200" w:firstLineChars="200"/>
    </w:pPr>
    <w:rPr>
      <w:rFonts w:ascii="宋体"/>
      <w:color w:val="auto"/>
    </w:rPr>
  </w:style>
  <w:style w:type="paragraph" w:customStyle="1" w:styleId="889">
    <w:name w:val="表后空行格式"/>
    <w:basedOn w:val="888"/>
    <w:qFormat/>
    <w:uiPriority w:val="0"/>
    <w:pPr>
      <w:spacing w:line="240" w:lineRule="exact"/>
      <w:ind w:firstLine="0" w:firstLineChars="0"/>
    </w:pPr>
    <w:rPr>
      <w:sz w:val="18"/>
    </w:rPr>
  </w:style>
  <w:style w:type="character" w:customStyle="1" w:styleId="890">
    <w:name w:val="正文格式 Char"/>
    <w:link w:val="888"/>
    <w:autoRedefine/>
    <w:uiPriority w:val="0"/>
    <w:rPr>
      <w:rFonts w:ascii="宋体"/>
      <w:kern w:val="2"/>
      <w:sz w:val="24"/>
      <w:szCs w:val="24"/>
    </w:rPr>
  </w:style>
  <w:style w:type="character" w:customStyle="1" w:styleId="891">
    <w:name w:val="表头标题格式 Char"/>
    <w:link w:val="882"/>
    <w:autoRedefine/>
    <w:qFormat/>
    <w:uiPriority w:val="0"/>
    <w:rPr>
      <w:rFonts w:ascii="黑体" w:hAnsi="宋体" w:eastAsia="黑体" w:cs="宋体"/>
      <w:b/>
      <w:bCs/>
      <w:kern w:val="2"/>
      <w:sz w:val="24"/>
    </w:rPr>
  </w:style>
  <w:style w:type="paragraph" w:customStyle="1" w:styleId="892">
    <w:name w:val="正文 楷体"/>
    <w:basedOn w:val="1"/>
    <w:uiPriority w:val="0"/>
    <w:pPr>
      <w:snapToGrid/>
      <w:spacing w:line="500" w:lineRule="exact"/>
      <w:ind w:firstLine="200"/>
      <w:jc w:val="both"/>
    </w:pPr>
    <w:rPr>
      <w:rFonts w:ascii="楷体_GB2312" w:hAnsi="楷体_GB2312" w:eastAsia="楷体_GB2312" w:cs="宋体"/>
    </w:rPr>
  </w:style>
  <w:style w:type="paragraph" w:customStyle="1" w:styleId="893">
    <w:name w:val="正文（首行缩进两字） Char Char Char Char1 Char11"/>
    <w:basedOn w:val="1"/>
    <w:next w:val="21"/>
    <w:autoRedefine/>
    <w:semiHidden/>
    <w:uiPriority w:val="0"/>
    <w:pPr>
      <w:snapToGrid/>
      <w:spacing w:line="440" w:lineRule="exact"/>
      <w:ind w:firstLine="200"/>
      <w:jc w:val="both"/>
    </w:pPr>
    <w:rPr>
      <w:rFonts w:ascii="Arial" w:hAnsi="Arial"/>
    </w:rPr>
  </w:style>
  <w:style w:type="paragraph" w:customStyle="1" w:styleId="894">
    <w:name w:val="Char Char Char Char Char2 Char Char Char Char1"/>
    <w:basedOn w:val="1"/>
    <w:semiHidden/>
    <w:qFormat/>
    <w:uiPriority w:val="0"/>
    <w:pPr>
      <w:adjustRightInd w:val="0"/>
      <w:ind w:firstLine="200"/>
      <w:jc w:val="both"/>
    </w:pPr>
    <w:rPr>
      <w:rFonts w:ascii="宋体" w:hAnsi="宋体" w:cs="宋体"/>
      <w:szCs w:val="26"/>
    </w:rPr>
  </w:style>
  <w:style w:type="paragraph" w:customStyle="1" w:styleId="895">
    <w:name w:val="12 Char Char Char Char"/>
    <w:basedOn w:val="1"/>
    <w:autoRedefine/>
    <w:qFormat/>
    <w:uiPriority w:val="0"/>
    <w:pPr>
      <w:snapToGrid/>
      <w:ind w:firstLine="200"/>
    </w:pPr>
    <w:rPr>
      <w:rFonts w:ascii="宋体" w:hAnsi="宋体"/>
      <w:position w:val="-6"/>
      <w:sz w:val="28"/>
      <w:szCs w:val="20"/>
      <w:u w:val="single"/>
    </w:rPr>
  </w:style>
  <w:style w:type="character" w:customStyle="1" w:styleId="896">
    <w:name w:val="正文（首行缩进两字）2 Char"/>
    <w:uiPriority w:val="0"/>
    <w:rPr>
      <w:rFonts w:ascii="宋体" w:hAnsi="宋体" w:eastAsia="宋体" w:cs="宋体"/>
      <w:snapToGrid w:val="0"/>
      <w:kern w:val="24"/>
      <w:sz w:val="24"/>
      <w:szCs w:val="24"/>
      <w:lang w:val="en-US" w:eastAsia="zh-CN" w:bidi="ar-SA"/>
    </w:rPr>
  </w:style>
  <w:style w:type="paragraph" w:customStyle="1" w:styleId="897">
    <w:name w:val="Char Char Char Char Char Char Char Char Char Char Char"/>
    <w:basedOn w:val="1"/>
    <w:autoRedefine/>
    <w:uiPriority w:val="0"/>
    <w:pPr>
      <w:adjustRightInd w:val="0"/>
      <w:snapToGrid/>
      <w:ind w:firstLine="0" w:firstLineChars="0"/>
      <w:jc w:val="both"/>
    </w:pPr>
    <w:rPr>
      <w:kern w:val="0"/>
      <w:szCs w:val="20"/>
    </w:rPr>
  </w:style>
  <w:style w:type="paragraph" w:customStyle="1" w:styleId="898">
    <w:name w:val="Char Char Char Char Char Char Char Char Char Char Char Char Char Char Char Char1"/>
    <w:basedOn w:val="1"/>
    <w:qFormat/>
    <w:uiPriority w:val="0"/>
    <w:pPr>
      <w:snapToGrid/>
      <w:spacing w:line="240" w:lineRule="auto"/>
      <w:ind w:firstLine="0" w:firstLineChars="0"/>
      <w:jc w:val="both"/>
    </w:pPr>
    <w:rPr>
      <w:sz w:val="21"/>
    </w:rPr>
  </w:style>
  <w:style w:type="character" w:customStyle="1" w:styleId="899">
    <w:name w:val="Char Char71"/>
    <w:uiPriority w:val="0"/>
    <w:rPr>
      <w:rFonts w:ascii="宋体" w:hAnsi="宋体" w:eastAsia="宋体"/>
      <w:b/>
      <w:bCs/>
      <w:kern w:val="36"/>
      <w:sz w:val="48"/>
      <w:szCs w:val="48"/>
      <w:lang w:val="en-US" w:eastAsia="zh-CN" w:bidi="ar-SA"/>
    </w:rPr>
  </w:style>
  <w:style w:type="paragraph" w:customStyle="1" w:styleId="900">
    <w:name w:val="Char Char Char Char11"/>
    <w:basedOn w:val="1"/>
    <w:qFormat/>
    <w:uiPriority w:val="0"/>
    <w:pPr>
      <w:snapToGrid/>
      <w:ind w:firstLine="200"/>
      <w:jc w:val="both"/>
    </w:pPr>
    <w:rPr>
      <w:rFonts w:ascii="宋体" w:hAnsi="宋体" w:cs="宋体"/>
    </w:rPr>
  </w:style>
  <w:style w:type="character" w:customStyle="1" w:styleId="901">
    <w:name w:val="正文1 Char"/>
    <w:link w:val="347"/>
    <w:autoRedefine/>
    <w:uiPriority w:val="0"/>
    <w:rPr>
      <w:rFonts w:ascii="宋体"/>
      <w:color w:val="000000"/>
      <w:sz w:val="24"/>
    </w:rPr>
  </w:style>
  <w:style w:type="paragraph" w:customStyle="1" w:styleId="902">
    <w:name w:val="表内式样"/>
    <w:uiPriority w:val="0"/>
    <w:pPr>
      <w:keepLines/>
      <w:widowControl w:val="0"/>
      <w:kinsoku w:val="0"/>
      <w:overflowPunct w:val="0"/>
      <w:adjustRightInd w:val="0"/>
      <w:jc w:val="center"/>
    </w:pPr>
    <w:rPr>
      <w:rFonts w:ascii="宋体" w:hAnsi="Times New Roman" w:eastAsia="宋体" w:cs="Times New Roman"/>
      <w:sz w:val="21"/>
      <w:szCs w:val="21"/>
      <w:lang w:val="en-US" w:eastAsia="zh-CN" w:bidi="ar-SA"/>
    </w:rPr>
  </w:style>
  <w:style w:type="paragraph" w:customStyle="1" w:styleId="903">
    <w:name w:val="样式 宋体 小四 左 行距: 固定值 22 磅"/>
    <w:basedOn w:val="1"/>
    <w:uiPriority w:val="0"/>
    <w:pPr>
      <w:snapToGrid/>
      <w:spacing w:line="440" w:lineRule="exact"/>
      <w:ind w:firstLine="200"/>
    </w:pPr>
    <w:rPr>
      <w:rFonts w:ascii="宋体" w:hAnsi="宋体" w:cs="宋体"/>
      <w:szCs w:val="20"/>
    </w:rPr>
  </w:style>
  <w:style w:type="paragraph" w:customStyle="1" w:styleId="904">
    <w:name w:val="CM40"/>
    <w:basedOn w:val="180"/>
    <w:next w:val="180"/>
    <w:uiPriority w:val="0"/>
    <w:pPr>
      <w:suppressAutoHyphens w:val="0"/>
      <w:adjustRightInd w:val="0"/>
      <w:spacing w:after="138"/>
      <w:textAlignment w:val="auto"/>
    </w:pPr>
    <w:rPr>
      <w:rFonts w:ascii="隶书" w:hAnsi="Times New Roman" w:eastAsia="隶书" w:cs="Times New Roman"/>
      <w:color w:val="auto"/>
    </w:rPr>
  </w:style>
  <w:style w:type="paragraph" w:customStyle="1" w:styleId="905">
    <w:name w:val="CM101"/>
    <w:basedOn w:val="180"/>
    <w:next w:val="180"/>
    <w:uiPriority w:val="0"/>
    <w:pPr>
      <w:suppressAutoHyphens w:val="0"/>
      <w:adjustRightInd w:val="0"/>
      <w:spacing w:after="325"/>
      <w:textAlignment w:val="auto"/>
    </w:pPr>
    <w:rPr>
      <w:rFonts w:hAnsi="Times New Roman" w:cs="Times New Roman"/>
      <w:color w:val="auto"/>
    </w:rPr>
  </w:style>
  <w:style w:type="paragraph" w:customStyle="1" w:styleId="906">
    <w:name w:val="CM105"/>
    <w:basedOn w:val="180"/>
    <w:next w:val="180"/>
    <w:autoRedefine/>
    <w:uiPriority w:val="0"/>
    <w:pPr>
      <w:suppressAutoHyphens w:val="0"/>
      <w:adjustRightInd w:val="0"/>
      <w:spacing w:after="225"/>
      <w:textAlignment w:val="auto"/>
    </w:pPr>
    <w:rPr>
      <w:rFonts w:hAnsi="Times New Roman" w:cs="Times New Roman"/>
      <w:color w:val="auto"/>
    </w:rPr>
  </w:style>
  <w:style w:type="paragraph" w:customStyle="1" w:styleId="907">
    <w:name w:val="CM18"/>
    <w:basedOn w:val="180"/>
    <w:next w:val="180"/>
    <w:autoRedefine/>
    <w:qFormat/>
    <w:uiPriority w:val="0"/>
    <w:pPr>
      <w:suppressAutoHyphens w:val="0"/>
      <w:adjustRightInd w:val="0"/>
      <w:spacing w:line="468" w:lineRule="atLeast"/>
      <w:textAlignment w:val="auto"/>
    </w:pPr>
    <w:rPr>
      <w:rFonts w:ascii="隶书" w:hAnsi="Times New Roman" w:eastAsia="隶书" w:cs="Times New Roman"/>
      <w:color w:val="auto"/>
    </w:rPr>
  </w:style>
  <w:style w:type="paragraph" w:customStyle="1" w:styleId="908">
    <w:name w:val="图表名称"/>
    <w:next w:val="1"/>
    <w:link w:val="909"/>
    <w:uiPriority w:val="0"/>
    <w:pPr>
      <w:spacing w:before="25" w:after="25" w:line="360" w:lineRule="auto"/>
      <w:jc w:val="center"/>
    </w:pPr>
    <w:rPr>
      <w:rFonts w:ascii="Times New Roman" w:hAnsi="Times New Roman" w:eastAsia="黑体" w:cs="Times New Roman"/>
      <w:b/>
      <w:bCs/>
      <w:kern w:val="2"/>
      <w:sz w:val="24"/>
      <w:szCs w:val="21"/>
      <w:lang w:val="en-US" w:eastAsia="zh-CN" w:bidi="ar-SA"/>
    </w:rPr>
  </w:style>
  <w:style w:type="character" w:customStyle="1" w:styleId="909">
    <w:name w:val="图表名称 Char"/>
    <w:link w:val="908"/>
    <w:uiPriority w:val="0"/>
    <w:rPr>
      <w:rFonts w:eastAsia="黑体"/>
      <w:b/>
      <w:bCs/>
      <w:kern w:val="2"/>
      <w:sz w:val="24"/>
      <w:szCs w:val="21"/>
    </w:rPr>
  </w:style>
  <w:style w:type="paragraph" w:customStyle="1" w:styleId="910">
    <w:name w:val="川维5"/>
    <w:basedOn w:val="1"/>
    <w:link w:val="911"/>
    <w:autoRedefine/>
    <w:qFormat/>
    <w:uiPriority w:val="0"/>
    <w:pPr>
      <w:snapToGrid/>
      <w:ind w:firstLine="200"/>
      <w:jc w:val="both"/>
    </w:pPr>
    <w:rPr>
      <w:kern w:val="24"/>
    </w:rPr>
  </w:style>
  <w:style w:type="character" w:customStyle="1" w:styleId="911">
    <w:name w:val="川维5 Char"/>
    <w:link w:val="910"/>
    <w:uiPriority w:val="0"/>
    <w:rPr>
      <w:kern w:val="24"/>
      <w:sz w:val="24"/>
      <w:szCs w:val="24"/>
    </w:rPr>
  </w:style>
  <w:style w:type="character" w:customStyle="1" w:styleId="912">
    <w:name w:val="1正文段落 Char"/>
    <w:link w:val="805"/>
    <w:autoRedefine/>
    <w:qFormat/>
    <w:uiPriority w:val="0"/>
    <w:rPr>
      <w:snapToGrid w:val="0"/>
      <w:sz w:val="24"/>
      <w:szCs w:val="24"/>
    </w:rPr>
  </w:style>
  <w:style w:type="paragraph" w:customStyle="1" w:styleId="913">
    <w:name w:val="标注"/>
    <w:basedOn w:val="52"/>
    <w:next w:val="1"/>
    <w:link w:val="914"/>
    <w:uiPriority w:val="0"/>
    <w:pPr>
      <w:spacing w:beforeLines="0" w:afterLines="0" w:line="200" w:lineRule="exact"/>
      <w:ind w:firstLine="0" w:firstLineChars="0"/>
    </w:pPr>
    <w:rPr>
      <w:color w:val="FF00FF"/>
      <w:sz w:val="18"/>
    </w:rPr>
  </w:style>
  <w:style w:type="character" w:customStyle="1" w:styleId="914">
    <w:name w:val="标注 Char"/>
    <w:link w:val="913"/>
    <w:autoRedefine/>
    <w:qFormat/>
    <w:uiPriority w:val="0"/>
    <w:rPr>
      <w:color w:val="FF00FF"/>
      <w:kern w:val="2"/>
      <w:sz w:val="18"/>
      <w:szCs w:val="24"/>
    </w:rPr>
  </w:style>
  <w:style w:type="paragraph" w:customStyle="1" w:styleId="915">
    <w:name w:val="楷体加粗"/>
    <w:basedOn w:val="1"/>
    <w:link w:val="916"/>
    <w:qFormat/>
    <w:uiPriority w:val="0"/>
    <w:pPr>
      <w:snapToGrid/>
      <w:spacing w:line="440" w:lineRule="exact"/>
      <w:ind w:firstLine="472" w:firstLineChars="196"/>
    </w:pPr>
    <w:rPr>
      <w:rFonts w:ascii="宋体" w:hAnsi="宋体"/>
      <w:b/>
    </w:rPr>
  </w:style>
  <w:style w:type="character" w:customStyle="1" w:styleId="916">
    <w:name w:val="楷体加粗 Char"/>
    <w:link w:val="915"/>
    <w:qFormat/>
    <w:uiPriority w:val="0"/>
    <w:rPr>
      <w:rFonts w:ascii="宋体" w:hAnsi="宋体"/>
      <w:b/>
      <w:kern w:val="2"/>
      <w:sz w:val="24"/>
      <w:szCs w:val="24"/>
    </w:rPr>
  </w:style>
  <w:style w:type="paragraph" w:customStyle="1" w:styleId="917">
    <w:name w:val="单位"/>
    <w:basedOn w:val="913"/>
    <w:uiPriority w:val="0"/>
  </w:style>
  <w:style w:type="character" w:customStyle="1" w:styleId="918">
    <w:name w:val="二级条标题 Char"/>
    <w:link w:val="371"/>
    <w:qFormat/>
    <w:uiPriority w:val="0"/>
    <w:rPr>
      <w:rFonts w:ascii="黑体" w:eastAsia="黑体"/>
      <w:sz w:val="21"/>
    </w:rPr>
  </w:style>
  <w:style w:type="paragraph" w:customStyle="1" w:styleId="919">
    <w:name w:val="样式"/>
    <w:basedOn w:val="1"/>
    <w:next w:val="70"/>
    <w:autoRedefine/>
    <w:uiPriority w:val="0"/>
    <w:pPr>
      <w:tabs>
        <w:tab w:val="left" w:pos="6720"/>
      </w:tabs>
      <w:snapToGrid/>
      <w:jc w:val="both"/>
    </w:pPr>
    <w:rPr>
      <w:rFonts w:ascii="楷体_GB2312" w:eastAsia="楷体_GB2312"/>
    </w:rPr>
  </w:style>
  <w:style w:type="character" w:customStyle="1" w:styleId="920">
    <w:name w:val="zhenwen14"/>
    <w:uiPriority w:val="0"/>
  </w:style>
  <w:style w:type="paragraph" w:customStyle="1" w:styleId="921">
    <w:name w:val="附录表标题"/>
    <w:next w:val="5"/>
    <w:autoRedefine/>
    <w:uiPriority w:val="0"/>
    <w:pPr>
      <w:tabs>
        <w:tab w:val="left" w:pos="360"/>
      </w:tabs>
      <w:jc w:val="center"/>
      <w:textAlignment w:val="baseline"/>
    </w:pPr>
    <w:rPr>
      <w:rFonts w:ascii="黑体" w:hAnsi="Times New Roman" w:eastAsia="黑体" w:cs="Times New Roman"/>
      <w:kern w:val="21"/>
      <w:sz w:val="21"/>
      <w:lang w:val="en-US" w:eastAsia="zh-CN" w:bidi="ar-SA"/>
    </w:rPr>
  </w:style>
  <w:style w:type="character" w:customStyle="1" w:styleId="922">
    <w:name w:val="样式 四号"/>
    <w:uiPriority w:val="0"/>
    <w:rPr>
      <w:sz w:val="28"/>
    </w:rPr>
  </w:style>
  <w:style w:type="character" w:customStyle="1" w:styleId="923">
    <w:name w:val="title162"/>
    <w:uiPriority w:val="0"/>
    <w:rPr>
      <w:b/>
      <w:bCs/>
      <w:color w:val="900000"/>
      <w:sz w:val="23"/>
      <w:szCs w:val="23"/>
    </w:rPr>
  </w:style>
  <w:style w:type="paragraph" w:customStyle="1" w:styleId="924">
    <w:name w:val="hcr3"/>
    <w:autoRedefine/>
    <w:uiPriority w:val="0"/>
    <w:pPr>
      <w:ind w:firstLine="200" w:firstLineChars="200"/>
    </w:pPr>
    <w:rPr>
      <w:rFonts w:ascii="仿宋_GB2312" w:hAnsi="Times New Roman" w:eastAsia="仿宋_GB2312" w:cs="Times New Roman"/>
      <w:bCs/>
      <w:sz w:val="28"/>
      <w:lang w:val="en-US" w:eastAsia="zh-CN" w:bidi="ar-SA"/>
    </w:rPr>
  </w:style>
  <w:style w:type="paragraph" w:customStyle="1" w:styleId="925">
    <w:name w:val="表格内文字"/>
    <w:basedOn w:val="1"/>
    <w:autoRedefine/>
    <w:qFormat/>
    <w:uiPriority w:val="0"/>
    <w:pPr>
      <w:adjustRightInd w:val="0"/>
      <w:spacing w:line="240" w:lineRule="exact"/>
      <w:ind w:firstLine="0" w:firstLineChars="0"/>
      <w:jc w:val="center"/>
    </w:pPr>
    <w:rPr>
      <w:snapToGrid w:val="0"/>
      <w:spacing w:val="6"/>
      <w:kern w:val="0"/>
      <w:szCs w:val="20"/>
    </w:rPr>
  </w:style>
  <w:style w:type="character" w:customStyle="1" w:styleId="926">
    <w:name w:val="样式1 Char1"/>
    <w:autoRedefine/>
    <w:uiPriority w:val="0"/>
    <w:rPr>
      <w:rFonts w:eastAsia="宋体"/>
      <w:kern w:val="2"/>
      <w:sz w:val="24"/>
      <w:szCs w:val="24"/>
      <w:lang w:val="en-US" w:eastAsia="zh-CN" w:bidi="ar-SA"/>
    </w:rPr>
  </w:style>
  <w:style w:type="paragraph" w:customStyle="1" w:styleId="927">
    <w:name w:val="Date2"/>
    <w:basedOn w:val="1"/>
    <w:next w:val="1"/>
    <w:autoRedefine/>
    <w:qFormat/>
    <w:uiPriority w:val="0"/>
    <w:pPr>
      <w:adjustRightInd w:val="0"/>
      <w:snapToGrid/>
      <w:spacing w:line="240" w:lineRule="auto"/>
      <w:ind w:firstLine="0" w:firstLineChars="0"/>
      <w:textAlignment w:val="baseline"/>
    </w:pPr>
    <w:rPr>
      <w:rFonts w:ascii="宋体"/>
      <w:spacing w:val="24"/>
      <w:kern w:val="24"/>
      <w:szCs w:val="20"/>
    </w:rPr>
  </w:style>
  <w:style w:type="character" w:customStyle="1" w:styleId="928">
    <w:name w:val="Char Char5"/>
    <w:semiHidden/>
    <w:uiPriority w:val="0"/>
    <w:rPr>
      <w:rFonts w:eastAsia="宋体"/>
      <w:kern w:val="2"/>
      <w:sz w:val="18"/>
      <w:szCs w:val="18"/>
      <w:lang w:val="en-US" w:eastAsia="zh-CN" w:bidi="ar-SA"/>
    </w:rPr>
  </w:style>
  <w:style w:type="paragraph" w:customStyle="1" w:styleId="929">
    <w:name w:val="Char Char Char Char Char Char Char1"/>
    <w:basedOn w:val="1"/>
    <w:qFormat/>
    <w:uiPriority w:val="0"/>
    <w:pPr>
      <w:adjustRightInd w:val="0"/>
      <w:snapToGrid/>
      <w:ind w:firstLine="0" w:firstLineChars="0"/>
      <w:jc w:val="both"/>
    </w:pPr>
    <w:rPr>
      <w:kern w:val="0"/>
      <w:szCs w:val="20"/>
    </w:rPr>
  </w:style>
  <w:style w:type="paragraph" w:customStyle="1" w:styleId="930">
    <w:name w:val="节以下序号1"/>
    <w:basedOn w:val="1"/>
    <w:next w:val="1"/>
    <w:link w:val="931"/>
    <w:autoRedefine/>
    <w:uiPriority w:val="0"/>
    <w:pPr>
      <w:tabs>
        <w:tab w:val="right" w:pos="18"/>
        <w:tab w:val="left" w:pos="3615"/>
        <w:tab w:val="right" w:pos="4804"/>
      </w:tabs>
      <w:adjustRightInd w:val="0"/>
      <w:spacing w:line="440" w:lineRule="exact"/>
      <w:jc w:val="both"/>
    </w:pPr>
    <w:rPr>
      <w:rFonts w:hAnsi="宋体"/>
      <w:szCs w:val="28"/>
    </w:rPr>
  </w:style>
  <w:style w:type="character" w:customStyle="1" w:styleId="931">
    <w:name w:val="节以下序号1 Char"/>
    <w:link w:val="930"/>
    <w:qFormat/>
    <w:uiPriority w:val="0"/>
    <w:rPr>
      <w:rFonts w:hAnsi="宋体"/>
      <w:kern w:val="2"/>
      <w:sz w:val="24"/>
      <w:szCs w:val="28"/>
    </w:rPr>
  </w:style>
  <w:style w:type="paragraph" w:customStyle="1" w:styleId="932">
    <w:name w:val="pvc1.1"/>
    <w:basedOn w:val="4"/>
    <w:next w:val="4"/>
    <w:semiHidden/>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933">
    <w:name w:val="TOC 标题1"/>
    <w:basedOn w:val="3"/>
    <w:next w:val="1"/>
    <w:uiPriority w:val="39"/>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character" w:customStyle="1" w:styleId="934">
    <w:name w:val="标题1.1.1.1.1 Char Char1"/>
    <w:autoRedefine/>
    <w:uiPriority w:val="0"/>
    <w:rPr>
      <w:rFonts w:ascii="宋体" w:eastAsia="宋体"/>
      <w:b/>
      <w:spacing w:val="6"/>
      <w:kern w:val="2"/>
      <w:sz w:val="26"/>
      <w:szCs w:val="26"/>
      <w:lang w:val="en-US" w:eastAsia="zh-CN" w:bidi="ar-SA"/>
    </w:rPr>
  </w:style>
  <w:style w:type="character" w:customStyle="1" w:styleId="935">
    <w:name w:val="标题 6 Char1"/>
    <w:autoRedefine/>
    <w:qFormat/>
    <w:uiPriority w:val="0"/>
    <w:rPr>
      <w:rFonts w:ascii="Arial" w:hAnsi="Arial" w:eastAsia="黑体"/>
      <w:b/>
      <w:spacing w:val="6"/>
      <w:kern w:val="2"/>
      <w:sz w:val="24"/>
      <w:szCs w:val="26"/>
    </w:rPr>
  </w:style>
  <w:style w:type="character" w:customStyle="1" w:styleId="936">
    <w:name w:val="项标题(1) Char Char1"/>
    <w:uiPriority w:val="0"/>
    <w:rPr>
      <w:rFonts w:ascii="宋体" w:eastAsia="宋体"/>
      <w:b/>
      <w:spacing w:val="6"/>
      <w:kern w:val="2"/>
      <w:sz w:val="24"/>
      <w:szCs w:val="26"/>
      <w:lang w:val="en-US" w:eastAsia="zh-CN" w:bidi="ar-SA"/>
    </w:rPr>
  </w:style>
  <w:style w:type="character" w:customStyle="1" w:styleId="937">
    <w:name w:val="目标题 1) Char Char1"/>
    <w:uiPriority w:val="0"/>
    <w:rPr>
      <w:rFonts w:ascii="Arial" w:hAnsi="Arial" w:eastAsia="黑体"/>
      <w:spacing w:val="6"/>
      <w:kern w:val="2"/>
      <w:sz w:val="24"/>
      <w:szCs w:val="26"/>
      <w:lang w:val="en-US" w:eastAsia="zh-CN" w:bidi="ar-SA"/>
    </w:rPr>
  </w:style>
  <w:style w:type="character" w:customStyle="1" w:styleId="938">
    <w:name w:val="干标题(a) Char Char1"/>
    <w:autoRedefine/>
    <w:qFormat/>
    <w:uiPriority w:val="0"/>
    <w:rPr>
      <w:rFonts w:ascii="Arial" w:hAnsi="Arial" w:eastAsia="黑体"/>
      <w:spacing w:val="6"/>
      <w:kern w:val="2"/>
      <w:sz w:val="21"/>
      <w:szCs w:val="26"/>
      <w:lang w:val="en-US" w:eastAsia="zh-CN" w:bidi="ar-SA"/>
    </w:rPr>
  </w:style>
  <w:style w:type="character" w:customStyle="1" w:styleId="939">
    <w:name w:val="环评正文 Char"/>
    <w:link w:val="224"/>
    <w:uiPriority w:val="0"/>
    <w:rPr>
      <w:rFonts w:eastAsia="仿宋_GB2312"/>
      <w:kern w:val="2"/>
      <w:sz w:val="24"/>
      <w:szCs w:val="24"/>
    </w:rPr>
  </w:style>
  <w:style w:type="character" w:customStyle="1" w:styleId="940">
    <w:name w:val="Char Char Char Char Char Char Char Char"/>
    <w:link w:val="221"/>
    <w:uiPriority w:val="0"/>
    <w:rPr>
      <w:rFonts w:ascii="Verdana" w:hAnsi="Verdana" w:eastAsia="仿宋_GB2312"/>
      <w:sz w:val="24"/>
      <w:lang w:eastAsia="en-US"/>
    </w:rPr>
  </w:style>
  <w:style w:type="character" w:customStyle="1" w:styleId="941">
    <w:name w:val="样式4 Char"/>
    <w:link w:val="323"/>
    <w:autoRedefine/>
    <w:qFormat/>
    <w:uiPriority w:val="0"/>
    <w:rPr>
      <w:rFonts w:cs="宋体"/>
      <w:kern w:val="2"/>
      <w:sz w:val="21"/>
    </w:rPr>
  </w:style>
  <w:style w:type="paragraph" w:customStyle="1" w:styleId="942">
    <w:name w:val="【图片】"/>
    <w:next w:val="86"/>
    <w:link w:val="943"/>
    <w:autoRedefine/>
    <w:uiPriority w:val="0"/>
    <w:pPr>
      <w:jc w:val="center"/>
    </w:pPr>
    <w:rPr>
      <w:rFonts w:ascii="宋体" w:hAnsi="宋体" w:eastAsia="宋体" w:cs="Times New Roman"/>
      <w:sz w:val="24"/>
      <w:szCs w:val="22"/>
      <w:lang w:val="en-US" w:eastAsia="zh-CN" w:bidi="ar-SA"/>
    </w:rPr>
  </w:style>
  <w:style w:type="character" w:customStyle="1" w:styleId="943">
    <w:name w:val="【图片】 Char"/>
    <w:link w:val="942"/>
    <w:autoRedefine/>
    <w:qFormat/>
    <w:uiPriority w:val="0"/>
    <w:rPr>
      <w:rFonts w:ascii="宋体" w:hAnsi="宋体"/>
      <w:sz w:val="24"/>
      <w:szCs w:val="22"/>
    </w:rPr>
  </w:style>
  <w:style w:type="paragraph" w:customStyle="1" w:styleId="944">
    <w:name w:val="Char Char Char Char Char2 Char"/>
    <w:basedOn w:val="1"/>
    <w:qFormat/>
    <w:uiPriority w:val="0"/>
    <w:pPr>
      <w:adjustRightInd w:val="0"/>
      <w:ind w:firstLine="200"/>
      <w:jc w:val="both"/>
    </w:pPr>
    <w:rPr>
      <w:sz w:val="21"/>
      <w:szCs w:val="20"/>
    </w:rPr>
  </w:style>
  <w:style w:type="paragraph" w:customStyle="1" w:styleId="945">
    <w:name w:val="样式 报告正文 + 首行缩进:  2 字符"/>
    <w:basedOn w:val="1"/>
    <w:link w:val="946"/>
    <w:semiHidden/>
    <w:qFormat/>
    <w:uiPriority w:val="0"/>
    <w:pPr>
      <w:autoSpaceDE w:val="0"/>
      <w:autoSpaceDN w:val="0"/>
      <w:snapToGrid/>
      <w:ind w:firstLine="200"/>
      <w:jc w:val="both"/>
    </w:pPr>
    <w:rPr>
      <w:rFonts w:cs="宋体"/>
      <w:szCs w:val="20"/>
    </w:rPr>
  </w:style>
  <w:style w:type="character" w:customStyle="1" w:styleId="946">
    <w:name w:val="样式 报告正文 + 首行缩进:  2 字符 Char"/>
    <w:link w:val="945"/>
    <w:semiHidden/>
    <w:qFormat/>
    <w:uiPriority w:val="0"/>
    <w:rPr>
      <w:rFonts w:cs="宋体"/>
      <w:kern w:val="2"/>
      <w:sz w:val="24"/>
    </w:rPr>
  </w:style>
  <w:style w:type="character" w:customStyle="1" w:styleId="947">
    <w:name w:val="题注 Char Char Char Char2"/>
    <w:uiPriority w:val="0"/>
    <w:rPr>
      <w:rFonts w:ascii="Arial" w:hAnsi="Arial" w:eastAsia="黑体" w:cs="Arial"/>
      <w:kern w:val="2"/>
      <w:sz w:val="21"/>
      <w:lang w:val="en-US" w:eastAsia="zh-CN" w:bidi="ar-SA"/>
    </w:rPr>
  </w:style>
  <w:style w:type="paragraph" w:customStyle="1" w:styleId="948">
    <w:name w:val="标题22"/>
    <w:basedOn w:val="4"/>
    <w:next w:val="4"/>
    <w:link w:val="2319"/>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949">
    <w:name w:val="文本条款 Char5"/>
    <w:qFormat/>
    <w:uiPriority w:val="0"/>
    <w:rPr>
      <w:rFonts w:eastAsia="宋体"/>
      <w:kern w:val="2"/>
      <w:sz w:val="21"/>
      <w:lang w:val="en-US" w:eastAsia="zh-CN"/>
    </w:rPr>
  </w:style>
  <w:style w:type="character" w:customStyle="1" w:styleId="950">
    <w:name w:val="content1"/>
    <w:uiPriority w:val="0"/>
    <w:rPr>
      <w:sz w:val="22"/>
      <w:szCs w:val="22"/>
    </w:rPr>
  </w:style>
  <w:style w:type="character" w:customStyle="1" w:styleId="951">
    <w:name w:val="Char Char17"/>
    <w:autoRedefine/>
    <w:uiPriority w:val="0"/>
    <w:rPr>
      <w:rFonts w:eastAsia="宋体"/>
      <w:color w:val="000000"/>
      <w:kern w:val="2"/>
      <w:sz w:val="18"/>
      <w:szCs w:val="18"/>
      <w:lang w:val="en-US" w:eastAsia="zh-CN" w:bidi="ar-SA"/>
    </w:rPr>
  </w:style>
  <w:style w:type="character" w:customStyle="1" w:styleId="952">
    <w:name w:val="todaynews_14pxtitlered1"/>
    <w:autoRedefine/>
    <w:uiPriority w:val="0"/>
    <w:rPr>
      <w:color w:val="D56453"/>
      <w:sz w:val="21"/>
      <w:szCs w:val="21"/>
      <w:u w:val="none"/>
    </w:rPr>
  </w:style>
  <w:style w:type="paragraph" w:customStyle="1" w:styleId="953">
    <w:name w:val="直接正文"/>
    <w:qFormat/>
    <w:uiPriority w:val="0"/>
    <w:pPr>
      <w:spacing w:afterLines="50" w:line="480" w:lineRule="exact"/>
      <w:ind w:firstLine="459"/>
    </w:pPr>
    <w:rPr>
      <w:rFonts w:ascii="宋体" w:hAnsi="宋体" w:eastAsia="宋体" w:cs="Times New Roman"/>
      <w:bCs/>
      <w:spacing w:val="-5"/>
      <w:kern w:val="10"/>
      <w:sz w:val="24"/>
      <w:lang w:val="en-US" w:eastAsia="zh-CN" w:bidi="he-IL"/>
    </w:rPr>
  </w:style>
  <w:style w:type="character" w:customStyle="1" w:styleId="954">
    <w:name w:val="large"/>
    <w:autoRedefine/>
    <w:qFormat/>
    <w:uiPriority w:val="0"/>
  </w:style>
  <w:style w:type="paragraph" w:customStyle="1" w:styleId="955">
    <w:name w:val="hcr4"/>
    <w:uiPriority w:val="0"/>
    <w:pPr>
      <w:ind w:firstLine="200" w:firstLineChars="200"/>
    </w:pPr>
    <w:rPr>
      <w:rFonts w:ascii="仿宋_GB2312" w:hAnsi="Times New Roman" w:eastAsia="仿宋_GB2312" w:cs="Times New Roman"/>
      <w:bCs/>
      <w:sz w:val="28"/>
      <w:lang w:val="en-US" w:eastAsia="zh-CN" w:bidi="ar-SA"/>
    </w:rPr>
  </w:style>
  <w:style w:type="character" w:customStyle="1" w:styleId="956">
    <w:name w:val="f14b1"/>
    <w:autoRedefine/>
    <w:qFormat/>
    <w:uiPriority w:val="0"/>
    <w:rPr>
      <w:b/>
      <w:bCs/>
      <w:sz w:val="21"/>
      <w:szCs w:val="21"/>
    </w:rPr>
  </w:style>
  <w:style w:type="paragraph" w:customStyle="1" w:styleId="957">
    <w:name w:val="正文前面有点"/>
    <w:basedOn w:val="31"/>
    <w:autoRedefine/>
    <w:qFormat/>
    <w:uiPriority w:val="0"/>
    <w:pPr>
      <w:widowControl/>
      <w:tabs>
        <w:tab w:val="left" w:pos="3409"/>
      </w:tabs>
      <w:adjustRightInd w:val="0"/>
      <w:snapToGrid w:val="0"/>
      <w:spacing w:beforeLines="0" w:afterLines="0"/>
      <w:ind w:left="3409" w:hanging="420" w:firstLineChars="0"/>
      <w:jc w:val="left"/>
    </w:pPr>
    <w:rPr>
      <w:rFonts w:ascii="宋体" w:hAnsi="Arial"/>
      <w:snapToGrid w:val="0"/>
      <w:kern w:val="10"/>
      <w:sz w:val="24"/>
      <w:szCs w:val="20"/>
      <w:lang w:bidi="he-IL"/>
    </w:rPr>
  </w:style>
  <w:style w:type="paragraph" w:customStyle="1" w:styleId="958">
    <w:name w:val="条条"/>
    <w:basedOn w:val="21"/>
    <w:autoRedefine/>
    <w:qFormat/>
    <w:uiPriority w:val="0"/>
    <w:pPr>
      <w:tabs>
        <w:tab w:val="left" w:pos="620"/>
      </w:tabs>
      <w:spacing w:beforeLines="30" w:afterLines="30"/>
      <w:ind w:left="620" w:hanging="420" w:firstLineChars="0"/>
    </w:pPr>
    <w:rPr>
      <w:rFonts w:ascii="新宋体" w:eastAsia="新宋体"/>
      <w:w w:val="90"/>
      <w:sz w:val="22"/>
    </w:rPr>
  </w:style>
  <w:style w:type="paragraph" w:customStyle="1" w:styleId="959">
    <w:name w:val="样式 标题 3 + 黑色"/>
    <w:basedOn w:val="5"/>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960">
    <w:name w:val="ygs正文"/>
    <w:basedOn w:val="1"/>
    <w:qFormat/>
    <w:uiPriority w:val="0"/>
    <w:pPr>
      <w:snapToGrid/>
      <w:spacing w:line="440" w:lineRule="exact"/>
      <w:jc w:val="both"/>
    </w:pPr>
    <w:rPr>
      <w:rFonts w:ascii="宋体" w:hAnsi="宋体"/>
      <w:bCs/>
    </w:rPr>
  </w:style>
  <w:style w:type="paragraph" w:customStyle="1" w:styleId="961">
    <w:name w:val="文本框"/>
    <w:basedOn w:val="1"/>
    <w:autoRedefine/>
    <w:qFormat/>
    <w:uiPriority w:val="0"/>
    <w:pPr>
      <w:adjustRightInd w:val="0"/>
      <w:spacing w:line="240" w:lineRule="auto"/>
      <w:ind w:firstLine="0" w:firstLineChars="0"/>
      <w:jc w:val="center"/>
    </w:pPr>
    <w:rPr>
      <w:rFonts w:eastAsia="仿宋_GB2312"/>
      <w:sz w:val="21"/>
    </w:rPr>
  </w:style>
  <w:style w:type="paragraph" w:customStyle="1" w:styleId="962">
    <w:name w:val="正文样式 Char"/>
    <w:basedOn w:val="1"/>
    <w:qFormat/>
    <w:uiPriority w:val="0"/>
    <w:pPr>
      <w:adjustRightInd w:val="0"/>
      <w:spacing w:line="460" w:lineRule="exact"/>
      <w:ind w:firstLine="200"/>
      <w:jc w:val="both"/>
    </w:pPr>
    <w:rPr>
      <w:color w:val="000000"/>
      <w:sz w:val="26"/>
      <w:szCs w:val="26"/>
    </w:rPr>
  </w:style>
  <w:style w:type="paragraph" w:customStyle="1" w:styleId="963">
    <w:name w:val="样式 标题 3 + 加粗"/>
    <w:basedOn w:val="5"/>
    <w:autoRedefine/>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964">
    <w:name w:val="6表格"/>
    <w:basedOn w:val="1"/>
    <w:uiPriority w:val="0"/>
    <w:pPr>
      <w:adjustRightInd w:val="0"/>
      <w:spacing w:line="240" w:lineRule="atLeast"/>
      <w:ind w:firstLine="0" w:firstLineChars="0"/>
      <w:jc w:val="center"/>
    </w:pPr>
    <w:rPr>
      <w:snapToGrid w:val="0"/>
      <w:kern w:val="0"/>
      <w:sz w:val="21"/>
      <w:szCs w:val="20"/>
    </w:rPr>
  </w:style>
  <w:style w:type="paragraph" w:customStyle="1" w:styleId="965">
    <w:name w:val="大纲正文"/>
    <w:basedOn w:val="1"/>
    <w:link w:val="966"/>
    <w:uiPriority w:val="0"/>
    <w:pPr>
      <w:widowControl/>
      <w:adjustRightInd w:val="0"/>
      <w:spacing w:afterLines="50" w:line="300" w:lineRule="auto"/>
      <w:jc w:val="both"/>
    </w:pPr>
    <w:rPr>
      <w:rFonts w:cs="宋体"/>
      <w:szCs w:val="20"/>
    </w:rPr>
  </w:style>
  <w:style w:type="character" w:customStyle="1" w:styleId="966">
    <w:name w:val="大纲正文 Char1"/>
    <w:link w:val="965"/>
    <w:uiPriority w:val="0"/>
    <w:rPr>
      <w:rFonts w:cs="宋体"/>
      <w:kern w:val="2"/>
      <w:sz w:val="24"/>
    </w:rPr>
  </w:style>
  <w:style w:type="character" w:customStyle="1" w:styleId="967">
    <w:name w:val="ht1"/>
    <w:autoRedefine/>
    <w:uiPriority w:val="0"/>
    <w:rPr>
      <w:rFonts w:ascii="黑体" w:eastAsia="黑体"/>
      <w:b/>
      <w:bCs/>
    </w:rPr>
  </w:style>
  <w:style w:type="character" w:customStyle="1" w:styleId="968">
    <w:name w:val="9points1"/>
    <w:uiPriority w:val="0"/>
    <w:rPr>
      <w:rFonts w:hint="default"/>
      <w:color w:val="003366"/>
      <w:sz w:val="18"/>
      <w:szCs w:val="18"/>
      <w:u w:val="none"/>
    </w:rPr>
  </w:style>
  <w:style w:type="character" w:customStyle="1" w:styleId="969">
    <w:name w:val="txt1"/>
    <w:uiPriority w:val="0"/>
    <w:rPr>
      <w:spacing w:val="60"/>
      <w:sz w:val="14"/>
      <w:szCs w:val="14"/>
    </w:rPr>
  </w:style>
  <w:style w:type="character" w:customStyle="1" w:styleId="970">
    <w:name w:val="f91"/>
    <w:autoRedefine/>
    <w:qFormat/>
    <w:uiPriority w:val="0"/>
    <w:rPr>
      <w:rFonts w:hint="default"/>
      <w:sz w:val="18"/>
      <w:szCs w:val="18"/>
    </w:rPr>
  </w:style>
  <w:style w:type="paragraph" w:customStyle="1" w:styleId="971">
    <w:name w:val="标书标题1"/>
    <w:basedOn w:val="3"/>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972">
    <w:name w:val="标书标题2"/>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973">
    <w:name w:val="标书标题3"/>
    <w:basedOn w:val="5"/>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974">
    <w:name w:val="标书标题4"/>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975">
    <w:name w:val="标题03"/>
    <w:basedOn w:val="1"/>
    <w:next w:val="1"/>
    <w:autoRedefine/>
    <w:uiPriority w:val="0"/>
    <w:pPr>
      <w:snapToGrid/>
      <w:spacing w:line="480" w:lineRule="atLeast"/>
      <w:ind w:firstLine="0" w:firstLineChars="0"/>
      <w:jc w:val="both"/>
    </w:pPr>
    <w:rPr>
      <w:b/>
      <w:szCs w:val="20"/>
    </w:rPr>
  </w:style>
  <w:style w:type="paragraph" w:customStyle="1" w:styleId="976">
    <w:name w:val="样式 正文（首行缩进两字） + 宋体"/>
    <w:basedOn w:val="21"/>
    <w:autoRedefine/>
    <w:qFormat/>
    <w:uiPriority w:val="0"/>
    <w:pPr>
      <w:adjustRightInd w:val="0"/>
      <w:ind w:firstLine="0" w:firstLineChars="0"/>
    </w:pPr>
    <w:rPr>
      <w:rFonts w:ascii="宋体" w:hAnsi="宋体"/>
      <w:sz w:val="28"/>
    </w:rPr>
  </w:style>
  <w:style w:type="paragraph" w:customStyle="1" w:styleId="977">
    <w:name w:val="wg"/>
    <w:basedOn w:val="1"/>
    <w:autoRedefine/>
    <w:uiPriority w:val="0"/>
    <w:pPr>
      <w:snapToGrid/>
      <w:spacing w:line="240" w:lineRule="auto"/>
      <w:ind w:firstLine="0" w:firstLineChars="0"/>
      <w:jc w:val="both"/>
    </w:pPr>
    <w:rPr>
      <w:sz w:val="28"/>
      <w:szCs w:val="20"/>
    </w:rPr>
  </w:style>
  <w:style w:type="character" w:customStyle="1" w:styleId="978">
    <w:name w:val="css-text3"/>
    <w:autoRedefine/>
    <w:qFormat/>
    <w:uiPriority w:val="0"/>
  </w:style>
  <w:style w:type="character" w:customStyle="1" w:styleId="979">
    <w:name w:val="fontcsszw"/>
    <w:uiPriority w:val="0"/>
  </w:style>
  <w:style w:type="character" w:customStyle="1" w:styleId="980">
    <w:name w:val="hei121"/>
    <w:qFormat/>
    <w:uiPriority w:val="0"/>
    <w:rPr>
      <w:sz w:val="18"/>
      <w:szCs w:val="18"/>
      <w:u w:val="none"/>
    </w:rPr>
  </w:style>
  <w:style w:type="paragraph" w:customStyle="1" w:styleId="981">
    <w:name w:val="序号（1）"/>
    <w:basedOn w:val="1"/>
    <w:autoRedefine/>
    <w:uiPriority w:val="0"/>
    <w:pPr>
      <w:tabs>
        <w:tab w:val="left" w:pos="0"/>
        <w:tab w:val="left" w:pos="927"/>
      </w:tabs>
      <w:adjustRightInd w:val="0"/>
      <w:ind w:firstLine="567" w:firstLineChars="0"/>
      <w:jc w:val="both"/>
    </w:pPr>
    <w:rPr>
      <w:sz w:val="28"/>
    </w:rPr>
  </w:style>
  <w:style w:type="paragraph" w:customStyle="1" w:styleId="982">
    <w:name w:val="新标题样式"/>
    <w:basedOn w:val="1"/>
    <w:qFormat/>
    <w:uiPriority w:val="0"/>
    <w:pPr>
      <w:tabs>
        <w:tab w:val="left" w:pos="567"/>
      </w:tabs>
      <w:snapToGrid/>
      <w:ind w:firstLine="0" w:firstLineChars="0"/>
      <w:jc w:val="both"/>
    </w:pPr>
    <w:rPr>
      <w:rFonts w:ascii="黑体" w:eastAsia="黑体"/>
      <w:b/>
      <w:spacing w:val="20"/>
      <w:szCs w:val="20"/>
    </w:rPr>
  </w:style>
  <w:style w:type="paragraph" w:customStyle="1" w:styleId="983">
    <w:name w:val="列项——"/>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character" w:customStyle="1" w:styleId="984">
    <w:name w:val="k1"/>
    <w:uiPriority w:val="0"/>
    <w:rPr>
      <w:rFonts w:hint="eastAsia" w:ascii="宋体" w:hAnsi="宋体" w:eastAsia="宋体"/>
      <w:b/>
      <w:bCs/>
      <w:color w:val="FF0000"/>
      <w:sz w:val="30"/>
      <w:szCs w:val="30"/>
      <w:u w:val="none"/>
    </w:rPr>
  </w:style>
  <w:style w:type="paragraph" w:customStyle="1" w:styleId="985">
    <w:name w:val="样式 表 + 加粗"/>
    <w:basedOn w:val="1"/>
    <w:autoRedefine/>
    <w:uiPriority w:val="0"/>
    <w:pPr>
      <w:autoSpaceDE w:val="0"/>
      <w:autoSpaceDN w:val="0"/>
      <w:snapToGrid/>
      <w:spacing w:line="360" w:lineRule="exact"/>
      <w:ind w:firstLine="539" w:firstLineChars="0"/>
      <w:jc w:val="center"/>
      <w:textAlignment w:val="bottom"/>
      <w:outlineLvl w:val="6"/>
    </w:pPr>
    <w:rPr>
      <w:rFonts w:eastAsia="仿宋_GB2312"/>
      <w:b/>
      <w:bCs/>
      <w:szCs w:val="20"/>
    </w:rPr>
  </w:style>
  <w:style w:type="paragraph" w:customStyle="1" w:styleId="986">
    <w:name w:val="样式 正文缩进 + 宋体 小四"/>
    <w:basedOn w:val="21"/>
    <w:autoRedefine/>
    <w:qFormat/>
    <w:uiPriority w:val="0"/>
    <w:pPr>
      <w:spacing w:beforeLines="50" w:afterLines="50" w:line="360" w:lineRule="exact"/>
      <w:ind w:firstLine="200"/>
    </w:pPr>
    <w:rPr>
      <w:rFonts w:eastAsia="仿宋_GB2312"/>
    </w:rPr>
  </w:style>
  <w:style w:type="paragraph" w:customStyle="1" w:styleId="987">
    <w:name w:val="图表名"/>
    <w:basedOn w:val="1"/>
    <w:link w:val="1491"/>
    <w:autoRedefine/>
    <w:uiPriority w:val="0"/>
    <w:pPr>
      <w:snapToGrid/>
      <w:spacing w:line="360" w:lineRule="exact"/>
      <w:ind w:firstLine="482" w:firstLineChars="0"/>
      <w:jc w:val="center"/>
    </w:pPr>
    <w:rPr>
      <w:rFonts w:eastAsia="仿宋_GB2312"/>
      <w:b/>
      <w:szCs w:val="20"/>
    </w:rPr>
  </w:style>
  <w:style w:type="paragraph" w:customStyle="1" w:styleId="988">
    <w:name w:val="样式 标题 4 + 左侧:  1.48 厘米 首行缩进:  0 厘米"/>
    <w:basedOn w:val="6"/>
    <w:autoRedefine/>
    <w:qFormat/>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989">
    <w:name w:val="样式 标题 2 + 首行缩进:  2 字符"/>
    <w:basedOn w:val="4"/>
    <w:link w:val="1530"/>
    <w:autoRedefine/>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990">
    <w:name w:val="标题4 Char Char"/>
    <w:autoRedefine/>
    <w:qFormat/>
    <w:uiPriority w:val="0"/>
    <w:rPr>
      <w:rFonts w:eastAsia="仿宋_GB2312"/>
      <w:b/>
      <w:snapToGrid w:val="0"/>
      <w:kern w:val="2"/>
      <w:sz w:val="24"/>
      <w:szCs w:val="24"/>
      <w:lang w:val="en-US" w:eastAsia="zh-CN" w:bidi="ar-SA"/>
    </w:rPr>
  </w:style>
  <w:style w:type="paragraph" w:customStyle="1" w:styleId="991">
    <w:name w:val="样式 标题 3 +"/>
    <w:basedOn w:val="5"/>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992">
    <w:name w:val="样式 右侧:  0.2 厘米 段前: 2.5 磅"/>
    <w:basedOn w:val="1"/>
    <w:autoRedefine/>
    <w:qFormat/>
    <w:uiPriority w:val="0"/>
    <w:pPr>
      <w:snapToGrid/>
      <w:spacing w:line="360" w:lineRule="exact"/>
      <w:ind w:firstLine="225" w:firstLineChars="0"/>
      <w:jc w:val="both"/>
    </w:pPr>
    <w:rPr>
      <w:rFonts w:eastAsia="仿宋_GB2312" w:cs="宋体"/>
      <w:szCs w:val="20"/>
    </w:rPr>
  </w:style>
  <w:style w:type="character" w:customStyle="1" w:styleId="993">
    <w:name w:val="author"/>
    <w:autoRedefine/>
    <w:qFormat/>
    <w:uiPriority w:val="0"/>
  </w:style>
  <w:style w:type="character" w:customStyle="1" w:styleId="994">
    <w:name w:val="newcontentcss1"/>
    <w:qFormat/>
    <w:uiPriority w:val="0"/>
    <w:rPr>
      <w:sz w:val="18"/>
      <w:szCs w:val="18"/>
    </w:rPr>
  </w:style>
  <w:style w:type="paragraph" w:customStyle="1" w:styleId="995">
    <w:name w:val="样式 表文 + 首行缩进:  2 字符"/>
    <w:basedOn w:val="1"/>
    <w:qFormat/>
    <w:uiPriority w:val="0"/>
    <w:pPr>
      <w:tabs>
        <w:tab w:val="left" w:pos="662"/>
      </w:tabs>
      <w:overflowPunct w:val="0"/>
      <w:snapToGrid/>
      <w:spacing w:line="240" w:lineRule="auto"/>
      <w:ind w:firstLine="0" w:firstLineChars="0"/>
      <w:jc w:val="center"/>
      <w:textAlignment w:val="baseline"/>
    </w:pPr>
    <w:rPr>
      <w:color w:val="000000"/>
      <w:sz w:val="21"/>
      <w:szCs w:val="20"/>
    </w:rPr>
  </w:style>
  <w:style w:type="paragraph" w:customStyle="1" w:styleId="996">
    <w:name w:val="空行"/>
    <w:basedOn w:val="1"/>
    <w:uiPriority w:val="0"/>
    <w:pPr>
      <w:snapToGrid/>
      <w:spacing w:line="300" w:lineRule="exact"/>
      <w:ind w:firstLine="482" w:firstLineChars="0"/>
      <w:jc w:val="both"/>
    </w:pPr>
    <w:rPr>
      <w:rFonts w:eastAsia="仿宋_GB2312"/>
      <w:szCs w:val="20"/>
    </w:rPr>
  </w:style>
  <w:style w:type="character" w:customStyle="1" w:styleId="997">
    <w:name w:val="textblack1"/>
    <w:autoRedefine/>
    <w:uiPriority w:val="0"/>
    <w:rPr>
      <w:color w:val="000000"/>
      <w:sz w:val="15"/>
      <w:szCs w:val="15"/>
      <w:u w:val="none"/>
    </w:rPr>
  </w:style>
  <w:style w:type="paragraph" w:customStyle="1" w:styleId="998">
    <w:name w:val="样式 样式4 + 段前: 0.5 行"/>
    <w:basedOn w:val="323"/>
    <w:autoRedefine/>
    <w:qFormat/>
    <w:uiPriority w:val="0"/>
    <w:pPr>
      <w:snapToGrid w:val="0"/>
      <w:spacing w:before="120" w:afterLines="0" w:line="480" w:lineRule="exact"/>
      <w:ind w:firstLine="0" w:firstLineChars="0"/>
      <w:textAlignment w:val="auto"/>
      <w:outlineLvl w:val="4"/>
    </w:pPr>
    <w:rPr>
      <w:snapToGrid w:val="0"/>
      <w:sz w:val="26"/>
    </w:rPr>
  </w:style>
  <w:style w:type="character" w:customStyle="1" w:styleId="999">
    <w:name w:val="表文字 Char1"/>
    <w:link w:val="764"/>
    <w:autoRedefine/>
    <w:qFormat/>
    <w:uiPriority w:val="0"/>
    <w:rPr>
      <w:rFonts w:eastAsia="汉鼎简书宋"/>
      <w:kern w:val="2"/>
      <w:sz w:val="21"/>
      <w:szCs w:val="21"/>
    </w:rPr>
  </w:style>
  <w:style w:type="paragraph" w:customStyle="1" w:styleId="1000">
    <w:name w:val="样式 左 首行缩进:  1.01 厘米"/>
    <w:basedOn w:val="1"/>
    <w:link w:val="1001"/>
    <w:autoRedefine/>
    <w:qFormat/>
    <w:uiPriority w:val="0"/>
    <w:pPr>
      <w:adjustRightInd w:val="0"/>
      <w:spacing w:line="460" w:lineRule="exact"/>
      <w:ind w:firstLine="200"/>
      <w:jc w:val="both"/>
    </w:pPr>
    <w:rPr>
      <w:rFonts w:cs="宋体"/>
      <w:sz w:val="26"/>
      <w:szCs w:val="26"/>
    </w:rPr>
  </w:style>
  <w:style w:type="character" w:customStyle="1" w:styleId="1001">
    <w:name w:val="样式 左 首行缩进:  1.01 厘米 Char"/>
    <w:link w:val="1000"/>
    <w:autoRedefine/>
    <w:qFormat/>
    <w:uiPriority w:val="0"/>
    <w:rPr>
      <w:rFonts w:cs="宋体"/>
      <w:kern w:val="2"/>
      <w:sz w:val="26"/>
      <w:szCs w:val="26"/>
    </w:rPr>
  </w:style>
  <w:style w:type="paragraph" w:customStyle="1" w:styleId="1002">
    <w:name w:val="样式 宋体 四号 行距: 1.5 倍行距"/>
    <w:basedOn w:val="1"/>
    <w:link w:val="1003"/>
    <w:autoRedefine/>
    <w:qFormat/>
    <w:uiPriority w:val="0"/>
    <w:pPr>
      <w:snapToGrid/>
      <w:spacing w:afterLines="50"/>
      <w:ind w:firstLine="560"/>
      <w:jc w:val="both"/>
    </w:pPr>
    <w:rPr>
      <w:rFonts w:ascii="宋体" w:hAnsi="宋体" w:cs="宋体"/>
      <w:sz w:val="28"/>
    </w:rPr>
  </w:style>
  <w:style w:type="character" w:customStyle="1" w:styleId="1003">
    <w:name w:val="样式 宋体 四号 行距: 1.5 倍行距 Char"/>
    <w:link w:val="1002"/>
    <w:autoRedefine/>
    <w:qFormat/>
    <w:uiPriority w:val="0"/>
    <w:rPr>
      <w:rFonts w:ascii="宋体" w:hAnsi="宋体" w:cs="宋体"/>
      <w:kern w:val="2"/>
      <w:sz w:val="28"/>
      <w:szCs w:val="24"/>
    </w:rPr>
  </w:style>
  <w:style w:type="paragraph" w:customStyle="1" w:styleId="1004">
    <w:name w:val="样式 左"/>
    <w:basedOn w:val="1"/>
    <w:link w:val="1005"/>
    <w:autoRedefine/>
    <w:qFormat/>
    <w:uiPriority w:val="0"/>
    <w:pPr>
      <w:snapToGrid/>
      <w:spacing w:line="240" w:lineRule="auto"/>
      <w:ind w:firstLine="420"/>
    </w:pPr>
    <w:rPr>
      <w:rFonts w:cs="宋体"/>
      <w:sz w:val="21"/>
    </w:rPr>
  </w:style>
  <w:style w:type="character" w:customStyle="1" w:styleId="1005">
    <w:name w:val="样式 左 Char"/>
    <w:link w:val="1004"/>
    <w:autoRedefine/>
    <w:qFormat/>
    <w:uiPriority w:val="0"/>
    <w:rPr>
      <w:rFonts w:cs="宋体"/>
      <w:kern w:val="2"/>
      <w:sz w:val="21"/>
      <w:szCs w:val="24"/>
    </w:rPr>
  </w:style>
  <w:style w:type="paragraph" w:customStyle="1" w:styleId="1006">
    <w:name w:val="表格文字居中"/>
    <w:basedOn w:val="1"/>
    <w:next w:val="1"/>
    <w:autoRedefine/>
    <w:uiPriority w:val="0"/>
    <w:pPr>
      <w:adjustRightInd w:val="0"/>
      <w:spacing w:line="460" w:lineRule="exact"/>
      <w:ind w:firstLine="200"/>
      <w:jc w:val="center"/>
    </w:pPr>
    <w:rPr>
      <w:snapToGrid w:val="0"/>
      <w:color w:val="000000"/>
      <w:sz w:val="22"/>
      <w:szCs w:val="22"/>
    </w:rPr>
  </w:style>
  <w:style w:type="paragraph" w:customStyle="1" w:styleId="1007">
    <w:name w:val="样式 13 磅 行距: 固定值 23 磅 首行缩进:  2 字符"/>
    <w:basedOn w:val="1"/>
    <w:link w:val="1008"/>
    <w:autoRedefine/>
    <w:qFormat/>
    <w:uiPriority w:val="0"/>
    <w:pPr>
      <w:snapToGrid/>
      <w:spacing w:line="460" w:lineRule="exact"/>
      <w:ind w:firstLine="520"/>
      <w:jc w:val="both"/>
    </w:pPr>
    <w:rPr>
      <w:rFonts w:cs="宋体"/>
      <w:sz w:val="26"/>
    </w:rPr>
  </w:style>
  <w:style w:type="character" w:customStyle="1" w:styleId="1008">
    <w:name w:val="样式 13 磅 行距: 固定值 23 磅 首行缩进:  2 字符 Char"/>
    <w:link w:val="1007"/>
    <w:autoRedefine/>
    <w:qFormat/>
    <w:uiPriority w:val="0"/>
    <w:rPr>
      <w:rFonts w:cs="宋体"/>
      <w:kern w:val="2"/>
      <w:sz w:val="26"/>
      <w:szCs w:val="24"/>
    </w:rPr>
  </w:style>
  <w:style w:type="character" w:customStyle="1" w:styleId="1009">
    <w:name w:val="样式6 Char"/>
    <w:link w:val="546"/>
    <w:autoRedefine/>
    <w:qFormat/>
    <w:uiPriority w:val="0"/>
    <w:rPr>
      <w:rFonts w:ascii="Arial Narrow" w:hAnsi="Arial Narrow" w:eastAsia="仿宋_GB2312"/>
      <w:kern w:val="2"/>
      <w:sz w:val="24"/>
      <w:szCs w:val="24"/>
    </w:rPr>
  </w:style>
  <w:style w:type="paragraph" w:customStyle="1" w:styleId="1010">
    <w:name w:val="Char Char Char1"/>
    <w:basedOn w:val="1"/>
    <w:autoRedefine/>
    <w:qFormat/>
    <w:uiPriority w:val="0"/>
    <w:pPr>
      <w:snapToGrid/>
      <w:spacing w:line="240" w:lineRule="auto"/>
      <w:ind w:firstLine="0" w:firstLineChars="0"/>
      <w:jc w:val="both"/>
    </w:pPr>
  </w:style>
  <w:style w:type="paragraph" w:customStyle="1" w:styleId="1011">
    <w:name w:val="缺省文本_宋体"/>
    <w:basedOn w:val="1"/>
    <w:autoRedefine/>
    <w:uiPriority w:val="0"/>
    <w:pPr>
      <w:tabs>
        <w:tab w:val="left" w:pos="525"/>
        <w:tab w:val="center" w:pos="5670"/>
        <w:tab w:val="right" w:pos="7655"/>
      </w:tabs>
      <w:snapToGrid/>
      <w:ind w:firstLine="0" w:firstLineChars="0"/>
      <w:jc w:val="both"/>
      <w:outlineLvl w:val="7"/>
    </w:pPr>
    <w:rPr>
      <w:spacing w:val="16"/>
      <w:kern w:val="28"/>
      <w:szCs w:val="20"/>
    </w:rPr>
  </w:style>
  <w:style w:type="character" w:customStyle="1" w:styleId="1012">
    <w:name w:val="正文样式 Char Char"/>
    <w:autoRedefine/>
    <w:qFormat/>
    <w:uiPriority w:val="0"/>
    <w:rPr>
      <w:rFonts w:eastAsia="宋体"/>
      <w:color w:val="000000"/>
      <w:kern w:val="2"/>
      <w:sz w:val="26"/>
      <w:szCs w:val="26"/>
      <w:lang w:val="en-US" w:eastAsia="zh-CN" w:bidi="ar-SA"/>
    </w:rPr>
  </w:style>
  <w:style w:type="character" w:customStyle="1" w:styleId="1013">
    <w:name w:val="款标题1.1.1.1 Char Char1"/>
    <w:autoRedefine/>
    <w:qFormat/>
    <w:uiPriority w:val="0"/>
    <w:rPr>
      <w:rFonts w:ascii="Cambria" w:hAnsi="Cambria"/>
      <w:iCs/>
      <w:color w:val="000000"/>
      <w:sz w:val="24"/>
      <w:szCs w:val="24"/>
      <w:lang w:eastAsia="en-US" w:bidi="en-US"/>
    </w:rPr>
  </w:style>
  <w:style w:type="paragraph" w:customStyle="1" w:styleId="1014">
    <w:name w:val="Char21"/>
    <w:basedOn w:val="1"/>
    <w:autoRedefine/>
    <w:uiPriority w:val="0"/>
    <w:pPr>
      <w:widowControl/>
      <w:snapToGrid/>
      <w:spacing w:line="240" w:lineRule="exact"/>
      <w:ind w:firstLine="360" w:firstLineChars="0"/>
    </w:pPr>
    <w:rPr>
      <w:rFonts w:ascii="Verdana" w:hAnsi="Verdana" w:eastAsia="仿宋_GB2312"/>
      <w:kern w:val="0"/>
      <w:szCs w:val="30"/>
      <w:lang w:eastAsia="en-US" w:bidi="en-US"/>
    </w:rPr>
  </w:style>
  <w:style w:type="paragraph" w:customStyle="1" w:styleId="1015">
    <w:name w:val="标题11"/>
    <w:basedOn w:val="1"/>
    <w:link w:val="2317"/>
    <w:uiPriority w:val="0"/>
    <w:pPr>
      <w:widowControl/>
      <w:adjustRightInd w:val="0"/>
      <w:spacing w:beforeLines="50" w:afterLines="50"/>
      <w:ind w:firstLine="360" w:firstLineChars="0"/>
      <w:outlineLvl w:val="0"/>
    </w:pPr>
    <w:rPr>
      <w:rFonts w:ascii="Calibri" w:hAnsi="Calibri"/>
      <w:b/>
      <w:kern w:val="0"/>
      <w:sz w:val="36"/>
      <w:szCs w:val="36"/>
      <w:lang w:eastAsia="en-US" w:bidi="en-US"/>
    </w:rPr>
  </w:style>
  <w:style w:type="paragraph" w:customStyle="1" w:styleId="1016">
    <w:name w:val="样式 标题 1 + 段后: 7.8 磅"/>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017">
    <w:name w:val="居中"/>
    <w:basedOn w:val="1"/>
    <w:autoRedefine/>
    <w:qFormat/>
    <w:uiPriority w:val="0"/>
    <w:pPr>
      <w:widowControl/>
      <w:snapToGrid/>
      <w:spacing w:line="240" w:lineRule="auto"/>
      <w:ind w:firstLine="360" w:firstLineChars="0"/>
      <w:jc w:val="center"/>
    </w:pPr>
    <w:rPr>
      <w:rFonts w:ascii="Calibri" w:hAnsi="Calibri"/>
      <w:color w:val="000000"/>
      <w:kern w:val="0"/>
      <w:sz w:val="22"/>
      <w:szCs w:val="20"/>
      <w:lang w:eastAsia="en-US" w:bidi="en-US"/>
    </w:rPr>
  </w:style>
  <w:style w:type="paragraph" w:customStyle="1" w:styleId="1018">
    <w:name w:val="我的正文"/>
    <w:basedOn w:val="1"/>
    <w:link w:val="1019"/>
    <w:autoRedefine/>
    <w:qFormat/>
    <w:uiPriority w:val="0"/>
    <w:pPr>
      <w:widowControl/>
      <w:snapToGrid/>
      <w:spacing w:line="240" w:lineRule="auto"/>
      <w:ind w:firstLine="538" w:firstLineChars="192"/>
    </w:pPr>
    <w:rPr>
      <w:rFonts w:ascii="Calibri" w:hAnsi="Calibri"/>
      <w:color w:val="000000"/>
      <w:sz w:val="28"/>
    </w:rPr>
  </w:style>
  <w:style w:type="character" w:customStyle="1" w:styleId="1019">
    <w:name w:val="我的正文 Char"/>
    <w:link w:val="1018"/>
    <w:autoRedefine/>
    <w:qFormat/>
    <w:uiPriority w:val="0"/>
    <w:rPr>
      <w:rFonts w:ascii="Calibri" w:hAnsi="Calibri"/>
      <w:color w:val="000000"/>
      <w:kern w:val="2"/>
      <w:sz w:val="28"/>
      <w:szCs w:val="24"/>
    </w:rPr>
  </w:style>
  <w:style w:type="paragraph" w:customStyle="1" w:styleId="1020">
    <w:name w:val="样式 标题 3小节名小节小节标题段头SottoparagrafoReh33heading 3- bodyh..."/>
    <w:basedOn w:val="5"/>
    <w:link w:val="1021"/>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1021">
    <w:name w:val="样式 标题 3小节名小节小节标题段头SottoparagrafoReh33heading 3- bodyh... Char"/>
    <w:link w:val="1020"/>
    <w:autoRedefine/>
    <w:qFormat/>
    <w:uiPriority w:val="0"/>
    <w:rPr>
      <w:b/>
      <w:bCs/>
      <w:kern w:val="2"/>
      <w:sz w:val="32"/>
      <w:szCs w:val="32"/>
    </w:rPr>
  </w:style>
  <w:style w:type="paragraph" w:customStyle="1" w:styleId="1022">
    <w:name w:val="样式 样式 标题 4项 + 非加粗 段前: 0.5 行 段后: 0.5 行 + 段前: 0.5 行 段后: 0.5 行"/>
    <w:basedOn w:val="1"/>
    <w:autoRedefine/>
    <w:uiPriority w:val="0"/>
    <w:pPr>
      <w:keepLines/>
      <w:widowControl/>
      <w:adjustRightInd w:val="0"/>
      <w:jc w:val="center"/>
    </w:pPr>
    <w:rPr>
      <w:rFonts w:ascii="Calibri" w:hAnsi="Calibri"/>
      <w:bCs/>
      <w:color w:val="000000"/>
      <w:kern w:val="0"/>
      <w:szCs w:val="22"/>
      <w:lang w:eastAsia="en-US" w:bidi="en-US"/>
    </w:rPr>
  </w:style>
  <w:style w:type="paragraph" w:customStyle="1" w:styleId="1023">
    <w:name w:val="表名 Char Char Char Char"/>
    <w:basedOn w:val="1"/>
    <w:autoRedefine/>
    <w:qFormat/>
    <w:uiPriority w:val="0"/>
    <w:pPr>
      <w:widowControl/>
      <w:autoSpaceDE w:val="0"/>
      <w:autoSpaceDN w:val="0"/>
      <w:adjustRightInd w:val="0"/>
      <w:spacing w:line="240" w:lineRule="auto"/>
      <w:ind w:firstLine="360" w:firstLineChars="0"/>
      <w:jc w:val="center"/>
      <w:textAlignment w:val="baseline"/>
    </w:pPr>
    <w:rPr>
      <w:rFonts w:ascii="Arial" w:hAnsi="Arial" w:eastAsia="黑体"/>
      <w:color w:val="000000"/>
      <w:kern w:val="0"/>
      <w:szCs w:val="21"/>
      <w:lang w:eastAsia="en-US" w:bidi="en-US"/>
    </w:rPr>
  </w:style>
  <w:style w:type="paragraph" w:customStyle="1" w:styleId="1024">
    <w:name w:val="样式 样式 样式 样式 标题 3段 + + 段前: 1.5 行 段后: 1.5 行 + 段前: 1.5 行 段后: 1.5 行 ..."/>
    <w:basedOn w:val="1"/>
    <w:qFormat/>
    <w:uiPriority w:val="0"/>
    <w:pPr>
      <w:keepLines/>
      <w:widowControl/>
      <w:snapToGrid/>
      <w:spacing w:beforeLines="100" w:afterLines="100" w:line="240" w:lineRule="auto"/>
      <w:ind w:firstLine="360" w:firstLineChars="0"/>
      <w:outlineLvl w:val="2"/>
    </w:pPr>
    <w:rPr>
      <w:rFonts w:ascii="Calibri" w:hAnsi="Calibri" w:eastAsia="黑体" w:cs="宋体"/>
      <w:b/>
      <w:bCs/>
      <w:color w:val="000000"/>
      <w:kern w:val="0"/>
      <w:szCs w:val="20"/>
      <w:lang w:eastAsia="en-US" w:bidi="en-US"/>
    </w:rPr>
  </w:style>
  <w:style w:type="paragraph" w:customStyle="1" w:styleId="1025">
    <w:name w:val="样式 标题 1章 + Times New Roman 二号 非加粗"/>
    <w:basedOn w:val="3"/>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026">
    <w:name w:val="样式 标题 2节 + 段前: 0.5 行 段后: 0.5 行"/>
    <w:basedOn w:val="4"/>
    <w:autoRedefine/>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027">
    <w:name w:val="样式 标题 4项 + 非加粗 段前: 0.5 行 段后: 0.5 行"/>
    <w:basedOn w:val="6"/>
    <w:autoRedefine/>
    <w:qFormat/>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1028">
    <w:name w:val="Char Char Char Char Char Char Char Char Char Char Char Char Char Char Char Char Char Char Char Char Char Char Char Char Char Char Char Char Char Char Char"/>
    <w:basedOn w:val="1"/>
    <w:autoRedefine/>
    <w:qFormat/>
    <w:uiPriority w:val="0"/>
    <w:pPr>
      <w:widowControl/>
      <w:snapToGrid/>
      <w:spacing w:line="240" w:lineRule="auto"/>
      <w:ind w:firstLine="360" w:firstLineChars="0"/>
    </w:pPr>
    <w:rPr>
      <w:rFonts w:ascii="Calibri" w:hAnsi="Calibri"/>
      <w:kern w:val="0"/>
      <w:sz w:val="22"/>
      <w:szCs w:val="22"/>
      <w:lang w:eastAsia="en-US" w:bidi="en-US"/>
    </w:rPr>
  </w:style>
  <w:style w:type="paragraph" w:customStyle="1" w:styleId="1029">
    <w:name w:val="样式 样式3 + 黑色"/>
    <w:basedOn w:val="1"/>
    <w:autoRedefine/>
    <w:qFormat/>
    <w:uiPriority w:val="0"/>
    <w:pPr>
      <w:widowControl/>
      <w:snapToGrid/>
      <w:spacing w:line="240" w:lineRule="auto"/>
    </w:pPr>
    <w:rPr>
      <w:rFonts w:ascii="Calibri" w:hAnsi="Calibri" w:eastAsia="华文中宋"/>
      <w:color w:val="000000"/>
      <w:kern w:val="0"/>
      <w:szCs w:val="22"/>
      <w:lang w:eastAsia="en-US" w:bidi="en-US"/>
    </w:rPr>
  </w:style>
  <w:style w:type="paragraph" w:customStyle="1" w:styleId="1030">
    <w:name w:val="表单位"/>
    <w:basedOn w:val="1"/>
    <w:link w:val="1298"/>
    <w:autoRedefine/>
    <w:qFormat/>
    <w:uiPriority w:val="0"/>
    <w:pPr>
      <w:widowControl/>
      <w:snapToGrid/>
      <w:ind w:firstLine="200"/>
      <w:jc w:val="center"/>
    </w:pPr>
    <w:rPr>
      <w:rFonts w:ascii="宋体" w:hAnsi="Calibri"/>
      <w:kern w:val="0"/>
      <w:szCs w:val="22"/>
      <w:lang w:eastAsia="en-US" w:bidi="en-US"/>
    </w:rPr>
  </w:style>
  <w:style w:type="character" w:customStyle="1" w:styleId="1031">
    <w:name w:val="style71"/>
    <w:autoRedefine/>
    <w:qFormat/>
    <w:uiPriority w:val="0"/>
    <w:rPr>
      <w:color w:val="990000"/>
    </w:rPr>
  </w:style>
  <w:style w:type="paragraph" w:customStyle="1" w:styleId="1032">
    <w:name w:val="样式 正文文字 + 首行缩进:  2 字符"/>
    <w:basedOn w:val="1"/>
    <w:qFormat/>
    <w:uiPriority w:val="0"/>
    <w:pPr>
      <w:widowControl/>
      <w:adjustRightInd w:val="0"/>
      <w:ind w:firstLine="0" w:firstLineChars="0"/>
      <w:jc w:val="center"/>
    </w:pPr>
    <w:rPr>
      <w:rFonts w:ascii="Times" w:hAnsi="Times" w:cs="宋体"/>
      <w:b/>
      <w:color w:val="000000"/>
      <w:kern w:val="0"/>
      <w:sz w:val="21"/>
      <w:szCs w:val="21"/>
      <w:lang w:bidi="en-US"/>
    </w:rPr>
  </w:style>
  <w:style w:type="paragraph" w:customStyle="1" w:styleId="1033">
    <w:name w:val="表名"/>
    <w:basedOn w:val="1"/>
    <w:link w:val="1865"/>
    <w:autoRedefine/>
    <w:qFormat/>
    <w:uiPriority w:val="0"/>
    <w:pPr>
      <w:widowControl/>
      <w:wordWrap w:val="0"/>
      <w:adjustRightInd w:val="0"/>
      <w:jc w:val="center"/>
    </w:pPr>
    <w:rPr>
      <w:rFonts w:ascii="Calibri" w:hAnsi="Calibri"/>
      <w:bCs/>
      <w:kern w:val="0"/>
      <w:szCs w:val="22"/>
      <w:lang w:eastAsia="en-US" w:bidi="en-US"/>
    </w:rPr>
  </w:style>
  <w:style w:type="character" w:customStyle="1" w:styleId="1034">
    <w:name w:val="question-title"/>
    <w:qFormat/>
    <w:uiPriority w:val="0"/>
  </w:style>
  <w:style w:type="paragraph" w:customStyle="1" w:styleId="1035">
    <w:name w:val="无间隔1"/>
    <w:basedOn w:val="1"/>
    <w:qFormat/>
    <w:uiPriority w:val="0"/>
    <w:pPr>
      <w:widowControl/>
      <w:snapToGrid/>
      <w:spacing w:line="240" w:lineRule="auto"/>
      <w:ind w:firstLine="0" w:firstLineChars="0"/>
    </w:pPr>
    <w:rPr>
      <w:rFonts w:ascii="Calibri" w:hAnsi="Calibri"/>
      <w:kern w:val="0"/>
      <w:sz w:val="22"/>
      <w:szCs w:val="22"/>
      <w:lang w:eastAsia="en-US" w:bidi="en-US"/>
    </w:rPr>
  </w:style>
  <w:style w:type="paragraph" w:customStyle="1" w:styleId="1036">
    <w:name w:val="引用1"/>
    <w:basedOn w:val="1"/>
    <w:next w:val="1"/>
    <w:link w:val="1037"/>
    <w:uiPriority w:val="0"/>
    <w:pPr>
      <w:widowControl/>
      <w:snapToGrid/>
      <w:spacing w:line="240" w:lineRule="auto"/>
      <w:ind w:firstLine="360" w:firstLineChars="0"/>
    </w:pPr>
    <w:rPr>
      <w:rFonts w:ascii="Cambria" w:hAnsi="Cambria"/>
      <w:i/>
      <w:iCs/>
      <w:color w:val="5A5A5A"/>
      <w:kern w:val="0"/>
      <w:sz w:val="20"/>
      <w:szCs w:val="20"/>
      <w:lang w:val="zh-CN"/>
    </w:rPr>
  </w:style>
  <w:style w:type="character" w:customStyle="1" w:styleId="1037">
    <w:name w:val="引用 Char"/>
    <w:link w:val="1036"/>
    <w:autoRedefine/>
    <w:qFormat/>
    <w:uiPriority w:val="0"/>
    <w:rPr>
      <w:rFonts w:ascii="Cambria" w:hAnsi="Cambria"/>
      <w:i/>
      <w:iCs/>
      <w:color w:val="5A5A5A"/>
      <w:lang w:val="zh-CN"/>
    </w:rPr>
  </w:style>
  <w:style w:type="paragraph" w:customStyle="1" w:styleId="1038">
    <w:name w:val="明显引用1"/>
    <w:basedOn w:val="1"/>
    <w:next w:val="1"/>
    <w:link w:val="1039"/>
    <w:autoRedefine/>
    <w:qFormat/>
    <w:uiPriority w:val="0"/>
    <w:pPr>
      <w:widowControl/>
      <w:pBdr>
        <w:top w:val="single" w:color="B8CCE4" w:sz="12" w:space="10"/>
        <w:left w:val="single" w:color="4F81BD" w:sz="36" w:space="4"/>
        <w:bottom w:val="single" w:color="9BBB59" w:sz="24" w:space="10"/>
        <w:right w:val="single" w:color="4F81BD" w:sz="36" w:space="4"/>
      </w:pBdr>
      <w:shd w:val="clear" w:color="auto" w:fill="4F81BD"/>
      <w:snapToGrid/>
      <w:spacing w:line="300" w:lineRule="auto"/>
      <w:ind w:left="1440" w:right="1440" w:firstLine="360" w:firstLineChars="0"/>
    </w:pPr>
    <w:rPr>
      <w:rFonts w:ascii="Cambria" w:hAnsi="Cambria"/>
      <w:i/>
      <w:iCs/>
      <w:color w:val="FFFFFF"/>
      <w:kern w:val="0"/>
      <w:lang w:val="zh-CN"/>
    </w:rPr>
  </w:style>
  <w:style w:type="character" w:customStyle="1" w:styleId="1039">
    <w:name w:val="明显引用 Char"/>
    <w:link w:val="1038"/>
    <w:autoRedefine/>
    <w:qFormat/>
    <w:uiPriority w:val="0"/>
    <w:rPr>
      <w:rFonts w:ascii="Cambria" w:hAnsi="Cambria"/>
      <w:i/>
      <w:iCs/>
      <w:color w:val="FFFFFF"/>
      <w:sz w:val="24"/>
      <w:szCs w:val="24"/>
      <w:shd w:val="clear" w:color="auto" w:fill="4F81BD"/>
      <w:lang w:val="zh-CN"/>
    </w:rPr>
  </w:style>
  <w:style w:type="character" w:customStyle="1" w:styleId="1040">
    <w:name w:val="不明显强调1"/>
    <w:autoRedefine/>
    <w:qFormat/>
    <w:uiPriority w:val="0"/>
    <w:rPr>
      <w:i/>
      <w:iCs/>
      <w:color w:val="5A5A5A"/>
    </w:rPr>
  </w:style>
  <w:style w:type="character" w:customStyle="1" w:styleId="1041">
    <w:name w:val="明显强调1"/>
    <w:autoRedefine/>
    <w:qFormat/>
    <w:uiPriority w:val="0"/>
    <w:rPr>
      <w:b/>
      <w:bCs/>
      <w:i/>
      <w:iCs/>
      <w:color w:val="4F81BD"/>
      <w:sz w:val="22"/>
      <w:szCs w:val="22"/>
    </w:rPr>
  </w:style>
  <w:style w:type="character" w:customStyle="1" w:styleId="1042">
    <w:name w:val="不明显参考1"/>
    <w:qFormat/>
    <w:uiPriority w:val="0"/>
    <w:rPr>
      <w:color w:val="auto"/>
      <w:u w:val="single" w:color="9BBB59"/>
    </w:rPr>
  </w:style>
  <w:style w:type="character" w:customStyle="1" w:styleId="1043">
    <w:name w:val="明显参考1"/>
    <w:autoRedefine/>
    <w:qFormat/>
    <w:uiPriority w:val="0"/>
    <w:rPr>
      <w:b/>
      <w:bCs/>
      <w:color w:val="76923C"/>
      <w:u w:val="single" w:color="9BBB59"/>
    </w:rPr>
  </w:style>
  <w:style w:type="character" w:customStyle="1" w:styleId="1044">
    <w:name w:val="书籍标题1"/>
    <w:autoRedefine/>
    <w:uiPriority w:val="0"/>
    <w:rPr>
      <w:rFonts w:ascii="Cambria" w:hAnsi="Cambria" w:eastAsia="宋体" w:cs="Times New Roman"/>
      <w:b/>
      <w:bCs/>
      <w:i/>
      <w:iCs/>
      <w:color w:val="auto"/>
    </w:rPr>
  </w:style>
  <w:style w:type="character" w:customStyle="1" w:styleId="1045">
    <w:name w:val="正文粗 Char"/>
    <w:autoRedefine/>
    <w:uiPriority w:val="0"/>
    <w:rPr>
      <w:rFonts w:eastAsia="宋体"/>
      <w:b/>
      <w:sz w:val="24"/>
      <w:lang w:val="en-US" w:eastAsia="zh-CN"/>
    </w:rPr>
  </w:style>
  <w:style w:type="character" w:customStyle="1" w:styleId="1046">
    <w:name w:val="Char Char22"/>
    <w:autoRedefine/>
    <w:uiPriority w:val="0"/>
    <w:rPr>
      <w:sz w:val="18"/>
      <w:lang w:eastAsia="en-US" w:bidi="en-US"/>
    </w:rPr>
  </w:style>
  <w:style w:type="character" w:customStyle="1" w:styleId="1047">
    <w:name w:val="C样式 Char"/>
    <w:link w:val="1048"/>
    <w:autoRedefine/>
    <w:qFormat/>
    <w:uiPriority w:val="0"/>
    <w:rPr>
      <w:rFonts w:ascii="宋体" w:hAnsi="宋体"/>
      <w:snapToGrid w:val="0"/>
      <w:kern w:val="24"/>
      <w:sz w:val="24"/>
    </w:rPr>
  </w:style>
  <w:style w:type="paragraph" w:customStyle="1" w:styleId="1048">
    <w:name w:val="C样式"/>
    <w:basedOn w:val="21"/>
    <w:link w:val="1047"/>
    <w:autoRedefine/>
    <w:qFormat/>
    <w:uiPriority w:val="0"/>
    <w:pPr>
      <w:spacing w:line="440" w:lineRule="exact"/>
      <w:ind w:firstLine="424"/>
    </w:pPr>
    <w:rPr>
      <w:rFonts w:ascii="宋体" w:hAnsi="宋体"/>
      <w:snapToGrid w:val="0"/>
      <w:kern w:val="24"/>
    </w:rPr>
  </w:style>
  <w:style w:type="paragraph" w:customStyle="1" w:styleId="1049">
    <w:name w:val="报告正文"/>
    <w:autoRedefine/>
    <w:qFormat/>
    <w:uiPriority w:val="0"/>
    <w:pPr>
      <w:spacing w:line="500" w:lineRule="atLeast"/>
      <w:ind w:firstLine="200" w:firstLineChars="200"/>
      <w:jc w:val="both"/>
    </w:pPr>
    <w:rPr>
      <w:rFonts w:ascii="Times New Roman" w:hAnsi="Times New Roman" w:eastAsia="Times New Roman" w:cs="Times New Roman"/>
      <w:kern w:val="2"/>
      <w:sz w:val="28"/>
      <w:lang w:val="en-US" w:eastAsia="zh-CN" w:bidi="ar-SA"/>
    </w:rPr>
  </w:style>
  <w:style w:type="paragraph" w:customStyle="1" w:styleId="1050">
    <w:name w:val="标准正文格式"/>
    <w:basedOn w:val="1"/>
    <w:autoRedefine/>
    <w:qFormat/>
    <w:uiPriority w:val="0"/>
    <w:pPr>
      <w:snapToGrid/>
    </w:pPr>
    <w:rPr>
      <w:rFonts w:ascii="宋体" w:hAnsi="宋体"/>
      <w:color w:val="000000"/>
      <w:kern w:val="0"/>
      <w:szCs w:val="20"/>
    </w:rPr>
  </w:style>
  <w:style w:type="paragraph" w:customStyle="1" w:styleId="1051">
    <w:name w:val="样式 样式 样式 样式 样式4 + 首行缩进:  0.75 字符 + 首行缩进:  2 字符 + 首行缩进:  2 字符 + 首..."/>
    <w:basedOn w:val="1"/>
    <w:autoRedefine/>
    <w:qFormat/>
    <w:uiPriority w:val="0"/>
    <w:pPr>
      <w:adjustRightInd w:val="0"/>
      <w:spacing w:line="480" w:lineRule="exact"/>
      <w:ind w:firstLine="560"/>
      <w:jc w:val="both"/>
    </w:pPr>
    <w:rPr>
      <w:rFonts w:ascii="仿宋_GB2312" w:hAnsi="宋体" w:eastAsia="仿宋_GB2312"/>
      <w:kern w:val="0"/>
      <w:sz w:val="28"/>
      <w:szCs w:val="20"/>
    </w:rPr>
  </w:style>
  <w:style w:type="paragraph" w:customStyle="1" w:styleId="1052">
    <w:name w:val="地告正文"/>
    <w:basedOn w:val="1"/>
    <w:autoRedefine/>
    <w:uiPriority w:val="0"/>
    <w:pPr>
      <w:adjustRightInd w:val="0"/>
      <w:spacing w:line="620" w:lineRule="atLeast"/>
      <w:ind w:firstLine="200"/>
      <w:jc w:val="both"/>
    </w:pPr>
    <w:rPr>
      <w:sz w:val="28"/>
    </w:rPr>
  </w:style>
  <w:style w:type="paragraph" w:customStyle="1" w:styleId="1053">
    <w:name w:val="CM2"/>
    <w:basedOn w:val="1"/>
    <w:next w:val="1"/>
    <w:autoRedefine/>
    <w:qFormat/>
    <w:uiPriority w:val="0"/>
    <w:pPr>
      <w:autoSpaceDE w:val="0"/>
      <w:autoSpaceDN w:val="0"/>
      <w:adjustRightInd w:val="0"/>
      <w:snapToGrid/>
      <w:spacing w:line="468" w:lineRule="atLeast"/>
      <w:ind w:firstLine="0" w:firstLineChars="0"/>
    </w:pPr>
    <w:rPr>
      <w:kern w:val="0"/>
    </w:rPr>
  </w:style>
  <w:style w:type="paragraph" w:customStyle="1" w:styleId="1054">
    <w:name w:val="CM3"/>
    <w:basedOn w:val="1"/>
    <w:next w:val="1"/>
    <w:autoRedefine/>
    <w:uiPriority w:val="0"/>
    <w:pPr>
      <w:autoSpaceDE w:val="0"/>
      <w:autoSpaceDN w:val="0"/>
      <w:adjustRightInd w:val="0"/>
      <w:snapToGrid/>
      <w:spacing w:line="468" w:lineRule="atLeast"/>
      <w:ind w:firstLine="0" w:firstLineChars="0"/>
    </w:pPr>
    <w:rPr>
      <w:kern w:val="0"/>
    </w:rPr>
  </w:style>
  <w:style w:type="paragraph" w:customStyle="1" w:styleId="1055">
    <w:name w:val="CM82"/>
    <w:basedOn w:val="1"/>
    <w:next w:val="1"/>
    <w:autoRedefine/>
    <w:uiPriority w:val="0"/>
    <w:pPr>
      <w:autoSpaceDE w:val="0"/>
      <w:autoSpaceDN w:val="0"/>
      <w:adjustRightInd w:val="0"/>
      <w:snapToGrid/>
      <w:spacing w:line="240" w:lineRule="auto"/>
      <w:ind w:firstLine="0" w:firstLineChars="0"/>
    </w:pPr>
    <w:rPr>
      <w:kern w:val="0"/>
    </w:rPr>
  </w:style>
  <w:style w:type="paragraph" w:customStyle="1" w:styleId="1056">
    <w:name w:val="CM11"/>
    <w:basedOn w:val="180"/>
    <w:next w:val="180"/>
    <w:autoRedefine/>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1057">
    <w:name w:val="CM81"/>
    <w:basedOn w:val="180"/>
    <w:next w:val="180"/>
    <w:autoRedefine/>
    <w:qFormat/>
    <w:uiPriority w:val="0"/>
    <w:pPr>
      <w:suppressAutoHyphens w:val="0"/>
      <w:adjustRightInd w:val="0"/>
      <w:spacing w:after="290"/>
      <w:textAlignment w:val="auto"/>
    </w:pPr>
    <w:rPr>
      <w:rFonts w:ascii="Times New Roman" w:hAnsi="Times New Roman" w:cs="Times New Roman"/>
      <w:color w:val="auto"/>
    </w:rPr>
  </w:style>
  <w:style w:type="paragraph" w:customStyle="1" w:styleId="1058">
    <w:name w:val="CM28"/>
    <w:basedOn w:val="180"/>
    <w:next w:val="180"/>
    <w:qFormat/>
    <w:uiPriority w:val="0"/>
    <w:pPr>
      <w:suppressAutoHyphens w:val="0"/>
      <w:adjustRightInd w:val="0"/>
      <w:textAlignment w:val="auto"/>
    </w:pPr>
    <w:rPr>
      <w:rFonts w:ascii="Times New Roman" w:hAnsi="Times New Roman" w:cs="Times New Roman"/>
      <w:color w:val="auto"/>
    </w:rPr>
  </w:style>
  <w:style w:type="paragraph" w:customStyle="1" w:styleId="1059">
    <w:name w:val="CM14"/>
    <w:basedOn w:val="180"/>
    <w:next w:val="180"/>
    <w:autoRedefine/>
    <w:qFormat/>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1060">
    <w:name w:val="CM85"/>
    <w:basedOn w:val="180"/>
    <w:next w:val="180"/>
    <w:autoRedefine/>
    <w:qFormat/>
    <w:uiPriority w:val="0"/>
    <w:pPr>
      <w:suppressAutoHyphens w:val="0"/>
      <w:adjustRightInd w:val="0"/>
      <w:spacing w:after="165"/>
      <w:textAlignment w:val="auto"/>
    </w:pPr>
    <w:rPr>
      <w:rFonts w:ascii="Times New Roman" w:hAnsi="Times New Roman" w:cs="Times New Roman"/>
      <w:color w:val="auto"/>
    </w:rPr>
  </w:style>
  <w:style w:type="paragraph" w:customStyle="1" w:styleId="1061">
    <w:name w:val="CM86"/>
    <w:basedOn w:val="180"/>
    <w:next w:val="180"/>
    <w:autoRedefine/>
    <w:qFormat/>
    <w:uiPriority w:val="0"/>
    <w:pPr>
      <w:suppressAutoHyphens w:val="0"/>
      <w:adjustRightInd w:val="0"/>
      <w:spacing w:after="403"/>
      <w:textAlignment w:val="auto"/>
    </w:pPr>
    <w:rPr>
      <w:rFonts w:ascii="Times New Roman" w:hAnsi="Times New Roman" w:cs="Times New Roman"/>
      <w:color w:val="auto"/>
    </w:rPr>
  </w:style>
  <w:style w:type="paragraph" w:customStyle="1" w:styleId="1062">
    <w:name w:val="CM12"/>
    <w:basedOn w:val="180"/>
    <w:next w:val="180"/>
    <w:autoRedefine/>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1063">
    <w:name w:val="CM29"/>
    <w:basedOn w:val="180"/>
    <w:next w:val="180"/>
    <w:autoRedefine/>
    <w:qFormat/>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1064">
    <w:name w:val="CM4"/>
    <w:basedOn w:val="180"/>
    <w:next w:val="180"/>
    <w:qFormat/>
    <w:uiPriority w:val="0"/>
    <w:pPr>
      <w:suppressAutoHyphens w:val="0"/>
      <w:adjustRightInd w:val="0"/>
      <w:spacing w:line="468" w:lineRule="atLeast"/>
      <w:textAlignment w:val="auto"/>
    </w:pPr>
    <w:rPr>
      <w:rFonts w:ascii="Times New Roman" w:hAnsi="Times New Roman" w:cs="Times New Roman"/>
      <w:color w:val="auto"/>
    </w:rPr>
  </w:style>
  <w:style w:type="paragraph" w:customStyle="1" w:styleId="1065">
    <w:name w:val="CM93"/>
    <w:basedOn w:val="180"/>
    <w:next w:val="180"/>
    <w:qFormat/>
    <w:uiPriority w:val="0"/>
    <w:pPr>
      <w:suppressAutoHyphens w:val="0"/>
      <w:adjustRightInd w:val="0"/>
      <w:spacing w:after="238"/>
      <w:textAlignment w:val="auto"/>
    </w:pPr>
    <w:rPr>
      <w:rFonts w:ascii="Times New Roman" w:hAnsi="Times New Roman" w:cs="Times New Roman"/>
      <w:color w:val="auto"/>
    </w:rPr>
  </w:style>
  <w:style w:type="paragraph" w:customStyle="1" w:styleId="1066">
    <w:name w:val="CM95"/>
    <w:basedOn w:val="180"/>
    <w:next w:val="180"/>
    <w:qFormat/>
    <w:uiPriority w:val="0"/>
    <w:pPr>
      <w:suppressAutoHyphens w:val="0"/>
      <w:adjustRightInd w:val="0"/>
      <w:spacing w:after="528"/>
      <w:textAlignment w:val="auto"/>
    </w:pPr>
    <w:rPr>
      <w:rFonts w:ascii="Times New Roman" w:hAnsi="Times New Roman" w:cs="Times New Roman"/>
      <w:color w:val="auto"/>
    </w:rPr>
  </w:style>
  <w:style w:type="paragraph" w:customStyle="1" w:styleId="1067">
    <w:name w:val="CM45"/>
    <w:basedOn w:val="180"/>
    <w:next w:val="180"/>
    <w:autoRedefine/>
    <w:qFormat/>
    <w:uiPriority w:val="0"/>
    <w:pPr>
      <w:suppressAutoHyphens w:val="0"/>
      <w:adjustRightInd w:val="0"/>
      <w:spacing w:line="428" w:lineRule="atLeast"/>
      <w:textAlignment w:val="auto"/>
    </w:pPr>
    <w:rPr>
      <w:rFonts w:ascii="Times New Roman" w:hAnsi="Times New Roman" w:cs="Times New Roman"/>
      <w:color w:val="auto"/>
    </w:rPr>
  </w:style>
  <w:style w:type="paragraph" w:customStyle="1" w:styleId="1068">
    <w:name w:val="CM67"/>
    <w:basedOn w:val="180"/>
    <w:next w:val="180"/>
    <w:autoRedefine/>
    <w:qFormat/>
    <w:uiPriority w:val="0"/>
    <w:pPr>
      <w:suppressAutoHyphens w:val="0"/>
      <w:adjustRightInd w:val="0"/>
      <w:spacing w:line="531" w:lineRule="atLeast"/>
      <w:textAlignment w:val="auto"/>
    </w:pPr>
    <w:rPr>
      <w:rFonts w:ascii="Times New Roman" w:hAnsi="Times New Roman" w:cs="Times New Roman"/>
      <w:color w:val="auto"/>
    </w:rPr>
  </w:style>
  <w:style w:type="paragraph" w:customStyle="1" w:styleId="1069">
    <w:name w:val="CM68"/>
    <w:basedOn w:val="180"/>
    <w:next w:val="180"/>
    <w:autoRedefine/>
    <w:qFormat/>
    <w:uiPriority w:val="0"/>
    <w:pPr>
      <w:suppressAutoHyphens w:val="0"/>
      <w:adjustRightInd w:val="0"/>
      <w:spacing w:line="533" w:lineRule="atLeast"/>
      <w:textAlignment w:val="auto"/>
    </w:pPr>
    <w:rPr>
      <w:rFonts w:ascii="Times New Roman" w:hAnsi="Times New Roman" w:cs="Times New Roman"/>
      <w:color w:val="auto"/>
    </w:rPr>
  </w:style>
  <w:style w:type="paragraph" w:customStyle="1" w:styleId="1070">
    <w:name w:val="CM69"/>
    <w:basedOn w:val="180"/>
    <w:next w:val="180"/>
    <w:autoRedefine/>
    <w:qFormat/>
    <w:uiPriority w:val="0"/>
    <w:pPr>
      <w:suppressAutoHyphens w:val="0"/>
      <w:adjustRightInd w:val="0"/>
      <w:spacing w:line="538" w:lineRule="atLeast"/>
      <w:textAlignment w:val="auto"/>
    </w:pPr>
    <w:rPr>
      <w:rFonts w:ascii="Times New Roman" w:hAnsi="Times New Roman" w:cs="Times New Roman"/>
      <w:color w:val="auto"/>
    </w:rPr>
  </w:style>
  <w:style w:type="paragraph" w:customStyle="1" w:styleId="1071">
    <w:name w:val="CM15"/>
    <w:basedOn w:val="180"/>
    <w:next w:val="180"/>
    <w:autoRedefine/>
    <w:qFormat/>
    <w:uiPriority w:val="0"/>
    <w:pPr>
      <w:suppressAutoHyphens w:val="0"/>
      <w:adjustRightInd w:val="0"/>
      <w:spacing w:line="468" w:lineRule="atLeast"/>
      <w:textAlignment w:val="auto"/>
    </w:pPr>
    <w:rPr>
      <w:rFonts w:ascii="Times New Roman" w:hAnsi="Times New Roman" w:cs="Times New Roman"/>
      <w:color w:val="auto"/>
    </w:rPr>
  </w:style>
  <w:style w:type="character" w:customStyle="1" w:styleId="1072">
    <w:name w:val="款标题1.1.1.1 Char Char"/>
    <w:autoRedefine/>
    <w:qFormat/>
    <w:uiPriority w:val="0"/>
    <w:rPr>
      <w:rFonts w:ascii="仿宋_GB2312" w:eastAsia="仿宋_GB2312"/>
      <w:kern w:val="2"/>
      <w:sz w:val="28"/>
      <w:lang w:val="en-US" w:eastAsia="zh-CN" w:bidi="ar-SA"/>
    </w:rPr>
  </w:style>
  <w:style w:type="character" w:customStyle="1" w:styleId="1073">
    <w:name w:val="标题1.1.1.1.1 Char Char"/>
    <w:autoRedefine/>
    <w:qFormat/>
    <w:uiPriority w:val="0"/>
    <w:rPr>
      <w:rFonts w:ascii="仿宋_GB2312" w:eastAsia="仿宋_GB2312"/>
      <w:b/>
      <w:kern w:val="2"/>
      <w:sz w:val="28"/>
      <w:lang w:val="en-US" w:eastAsia="zh-CN" w:bidi="ar-SA"/>
    </w:rPr>
  </w:style>
  <w:style w:type="character" w:customStyle="1" w:styleId="1074">
    <w:name w:val="项标题(1) Char Char"/>
    <w:autoRedefine/>
    <w:qFormat/>
    <w:uiPriority w:val="0"/>
    <w:rPr>
      <w:rFonts w:ascii="仿宋_GB2312" w:eastAsia="仿宋_GB2312"/>
      <w:b/>
      <w:kern w:val="2"/>
      <w:sz w:val="24"/>
      <w:lang w:val="en-US" w:eastAsia="zh-CN" w:bidi="ar-SA"/>
    </w:rPr>
  </w:style>
  <w:style w:type="character" w:customStyle="1" w:styleId="1075">
    <w:name w:val="目标题 1) Char Char"/>
    <w:autoRedefine/>
    <w:qFormat/>
    <w:uiPriority w:val="0"/>
    <w:rPr>
      <w:rFonts w:ascii="Arial" w:hAnsi="Arial" w:eastAsia="黑体"/>
      <w:kern w:val="2"/>
      <w:sz w:val="24"/>
      <w:lang w:val="en-US" w:eastAsia="zh-CN" w:bidi="ar-SA"/>
    </w:rPr>
  </w:style>
  <w:style w:type="character" w:customStyle="1" w:styleId="1076">
    <w:name w:val="干标题(a) Char Char"/>
    <w:autoRedefine/>
    <w:qFormat/>
    <w:uiPriority w:val="0"/>
    <w:rPr>
      <w:rFonts w:ascii="Arial" w:hAnsi="Arial" w:eastAsia="黑体"/>
      <w:kern w:val="2"/>
      <w:sz w:val="28"/>
      <w:lang w:val="en-US" w:eastAsia="zh-CN" w:bidi="ar-SA"/>
    </w:rPr>
  </w:style>
  <w:style w:type="character" w:customStyle="1" w:styleId="1077">
    <w:name w:val="仿宋体正文 Char Char"/>
    <w:autoRedefine/>
    <w:qFormat/>
    <w:uiPriority w:val="0"/>
    <w:rPr>
      <w:rFonts w:eastAsia="宋体"/>
      <w:kern w:val="2"/>
      <w:sz w:val="28"/>
      <w:lang w:val="en-US" w:eastAsia="zh-CN" w:bidi="ar-SA"/>
    </w:rPr>
  </w:style>
  <w:style w:type="paragraph" w:customStyle="1" w:styleId="1078">
    <w:name w:val="样式 普通(网站) + 段前: 自动 段后: 自动 行距: 最小值 24 磅"/>
    <w:basedOn w:val="81"/>
    <w:autoRedefine/>
    <w:uiPriority w:val="0"/>
    <w:pPr>
      <w:snapToGrid/>
      <w:spacing w:beforeAutospacing="0" w:afterAutospacing="0" w:line="480" w:lineRule="exact"/>
      <w:ind w:firstLine="200"/>
    </w:pPr>
    <w:rPr>
      <w:rFonts w:ascii="Times New Roman" w:hAnsi="Times New Roman"/>
      <w:sz w:val="28"/>
    </w:rPr>
  </w:style>
  <w:style w:type="paragraph" w:customStyle="1" w:styleId="1079">
    <w:name w:val="公司名"/>
    <w:basedOn w:val="1"/>
    <w:autoRedefine/>
    <w:qFormat/>
    <w:uiPriority w:val="0"/>
    <w:pPr>
      <w:framePr w:w="3840" w:h="1366" w:wrap="notBeside" w:vAnchor="page" w:hAnchor="margin" w:y="889" w:anchorLock="1"/>
      <w:widowControl/>
      <w:tabs>
        <w:tab w:val="left" w:pos="-145"/>
        <w:tab w:val="left" w:pos="0"/>
        <w:tab w:val="left" w:pos="37"/>
        <w:tab w:val="left" w:pos="580"/>
        <w:tab w:val="left" w:pos="4500"/>
        <w:tab w:val="left" w:pos="5160"/>
      </w:tabs>
      <w:snapToGrid/>
      <w:spacing w:line="280" w:lineRule="atLeast"/>
      <w:ind w:firstLine="0" w:firstLineChars="0"/>
    </w:pPr>
    <w:rPr>
      <w:rFonts w:ascii="宋体" w:hAnsi="宋体"/>
      <w:spacing w:val="-25"/>
      <w:kern w:val="0"/>
      <w:sz w:val="18"/>
      <w:szCs w:val="18"/>
    </w:rPr>
  </w:style>
  <w:style w:type="paragraph" w:customStyle="1" w:styleId="1080">
    <w:name w:val="主题行"/>
    <w:basedOn w:val="1"/>
    <w:next w:val="34"/>
    <w:autoRedefine/>
    <w:qFormat/>
    <w:uiPriority w:val="0"/>
    <w:pPr>
      <w:widowControl/>
      <w:tabs>
        <w:tab w:val="left" w:pos="-145"/>
        <w:tab w:val="left" w:pos="0"/>
        <w:tab w:val="left" w:pos="37"/>
        <w:tab w:val="left" w:pos="580"/>
        <w:tab w:val="left" w:pos="4500"/>
        <w:tab w:val="left" w:pos="5160"/>
      </w:tabs>
      <w:snapToGrid/>
      <w:spacing w:line="220" w:lineRule="atLeast"/>
      <w:ind w:firstLine="0" w:firstLineChars="0"/>
    </w:pPr>
    <w:rPr>
      <w:rFonts w:ascii="Arial Black" w:hAnsi="Arial Black"/>
      <w:spacing w:val="-10"/>
      <w:kern w:val="0"/>
      <w:sz w:val="20"/>
      <w:szCs w:val="20"/>
    </w:rPr>
  </w:style>
  <w:style w:type="paragraph" w:customStyle="1" w:styleId="1081">
    <w:name w:val="默认段落字体 Para Char Char Char Char Char Char Char Char Char Char"/>
    <w:basedOn w:val="1"/>
    <w:autoRedefine/>
    <w:qFormat/>
    <w:uiPriority w:val="0"/>
    <w:pPr>
      <w:snapToGrid/>
      <w:spacing w:line="240" w:lineRule="auto"/>
      <w:ind w:firstLine="0" w:firstLineChars="0"/>
      <w:jc w:val="both"/>
    </w:pPr>
    <w:rPr>
      <w:rFonts w:ascii="Arial" w:hAnsi="Arial" w:cs="Arial"/>
      <w:sz w:val="20"/>
      <w:szCs w:val="20"/>
    </w:rPr>
  </w:style>
  <w:style w:type="paragraph" w:customStyle="1" w:styleId="1082">
    <w:name w:val="样式 样式 (西文) ˎ̥ 四号 左 行距: 最小值 16.75 磅 首行缩进:  2 字符 + 首行缩进:  2 字符1"/>
    <w:basedOn w:val="1"/>
    <w:autoRedefine/>
    <w:qFormat/>
    <w:uiPriority w:val="0"/>
    <w:pPr>
      <w:snapToGrid/>
    </w:pPr>
    <w:rPr>
      <w:rFonts w:ascii="ˎ̥" w:hAnsi="ˎ̥" w:cs="宋体"/>
      <w:kern w:val="0"/>
      <w:szCs w:val="20"/>
    </w:rPr>
  </w:style>
  <w:style w:type="paragraph" w:customStyle="1" w:styleId="1083">
    <w:name w:val="Paragraphy"/>
    <w:basedOn w:val="1"/>
    <w:qFormat/>
    <w:uiPriority w:val="0"/>
    <w:pPr>
      <w:snapToGrid/>
      <w:spacing w:beforeLines="50" w:line="312" w:lineRule="auto"/>
      <w:ind w:firstLine="250" w:firstLineChars="250"/>
      <w:jc w:val="both"/>
    </w:pPr>
    <w:rPr>
      <w:spacing w:val="6"/>
      <w:sz w:val="28"/>
    </w:rPr>
  </w:style>
  <w:style w:type="character" w:customStyle="1" w:styleId="1084">
    <w:name w:val="文本条款 Char2"/>
    <w:autoRedefine/>
    <w:uiPriority w:val="0"/>
    <w:rPr>
      <w:rFonts w:eastAsia="宋体"/>
      <w:kern w:val="2"/>
      <w:sz w:val="21"/>
      <w:lang w:val="en-US" w:eastAsia="zh-CN"/>
    </w:rPr>
  </w:style>
  <w:style w:type="character" w:customStyle="1" w:styleId="1085">
    <w:name w:val="普通文字 Char Char3"/>
    <w:autoRedefine/>
    <w:uiPriority w:val="0"/>
    <w:rPr>
      <w:rFonts w:ascii="宋体" w:hAnsi="Courier New" w:eastAsia="宋体"/>
      <w:kern w:val="28"/>
      <w:sz w:val="28"/>
      <w:lang w:val="en-US" w:eastAsia="zh-CN"/>
    </w:rPr>
  </w:style>
  <w:style w:type="character" w:customStyle="1" w:styleId="1086">
    <w:name w:val="文本条款 Char3"/>
    <w:autoRedefine/>
    <w:uiPriority w:val="0"/>
    <w:rPr>
      <w:rFonts w:eastAsia="宋体"/>
      <w:kern w:val="2"/>
      <w:sz w:val="21"/>
      <w:lang w:val="en-US" w:eastAsia="zh-CN"/>
    </w:rPr>
  </w:style>
  <w:style w:type="character" w:customStyle="1" w:styleId="1087">
    <w:name w:val="普通文字 Char Char5"/>
    <w:autoRedefine/>
    <w:qFormat/>
    <w:uiPriority w:val="0"/>
    <w:rPr>
      <w:rFonts w:ascii="宋体" w:hAnsi="Courier New" w:eastAsia="宋体"/>
      <w:kern w:val="28"/>
      <w:sz w:val="28"/>
      <w:lang w:val="en-US" w:eastAsia="zh-CN"/>
    </w:rPr>
  </w:style>
  <w:style w:type="paragraph" w:customStyle="1" w:styleId="1088">
    <w:name w:val="样式 正文缩进 + 首行缩进:  2 字符"/>
    <w:basedOn w:val="21"/>
    <w:link w:val="1089"/>
    <w:qFormat/>
    <w:uiPriority w:val="0"/>
    <w:pPr>
      <w:tabs>
        <w:tab w:val="left" w:pos="2820"/>
      </w:tabs>
      <w:snapToGrid w:val="0"/>
      <w:spacing w:line="480" w:lineRule="exact"/>
      <w:ind w:firstLine="560"/>
    </w:pPr>
    <w:rPr>
      <w:color w:val="FF0000"/>
      <w:kern w:val="0"/>
      <w:sz w:val="28"/>
      <w:szCs w:val="28"/>
      <w:lang w:val="zh-CN"/>
    </w:rPr>
  </w:style>
  <w:style w:type="character" w:customStyle="1" w:styleId="1089">
    <w:name w:val="样式 正文缩进 + 首行缩进:  2 字符 Char"/>
    <w:link w:val="1088"/>
    <w:autoRedefine/>
    <w:qFormat/>
    <w:uiPriority w:val="0"/>
    <w:rPr>
      <w:color w:val="FF0000"/>
      <w:sz w:val="28"/>
      <w:szCs w:val="28"/>
      <w:lang w:val="zh-CN"/>
    </w:rPr>
  </w:style>
  <w:style w:type="character" w:customStyle="1" w:styleId="1090">
    <w:name w:val="文本条款 Char4"/>
    <w:autoRedefine/>
    <w:qFormat/>
    <w:uiPriority w:val="0"/>
    <w:rPr>
      <w:rFonts w:ascii="Times New Roman" w:hAnsi="Times New Roman" w:eastAsia="宋体" w:cs="Times New Roman"/>
      <w:szCs w:val="20"/>
    </w:rPr>
  </w:style>
  <w:style w:type="character" w:customStyle="1" w:styleId="1091">
    <w:name w:val="Char Char21"/>
    <w:autoRedefine/>
    <w:qFormat/>
    <w:uiPriority w:val="0"/>
    <w:rPr>
      <w:rFonts w:eastAsia="宋体"/>
      <w:sz w:val="18"/>
    </w:rPr>
  </w:style>
  <w:style w:type="character" w:customStyle="1" w:styleId="1092">
    <w:name w:val="Char Char20"/>
    <w:autoRedefine/>
    <w:qFormat/>
    <w:uiPriority w:val="0"/>
    <w:rPr>
      <w:rFonts w:eastAsia="宋体"/>
      <w:sz w:val="18"/>
    </w:rPr>
  </w:style>
  <w:style w:type="character" w:customStyle="1" w:styleId="1093">
    <w:name w:val="普通文字 Char Char7"/>
    <w:qFormat/>
    <w:uiPriority w:val="0"/>
    <w:rPr>
      <w:rFonts w:ascii="宋体" w:hAnsi="Courier New" w:eastAsia="宋体"/>
      <w:kern w:val="28"/>
      <w:sz w:val="28"/>
    </w:rPr>
  </w:style>
  <w:style w:type="character" w:customStyle="1" w:styleId="1094">
    <w:name w:val="Char Char19"/>
    <w:autoRedefine/>
    <w:qFormat/>
    <w:uiPriority w:val="0"/>
    <w:rPr>
      <w:rFonts w:ascii="Cambria" w:hAnsi="Cambria" w:eastAsia="宋体"/>
      <w:b/>
      <w:kern w:val="28"/>
      <w:sz w:val="32"/>
    </w:rPr>
  </w:style>
  <w:style w:type="character" w:customStyle="1" w:styleId="1095">
    <w:name w:val="副标题 Char1"/>
    <w:qFormat/>
    <w:uiPriority w:val="0"/>
    <w:rPr>
      <w:rFonts w:ascii="Cambria" w:hAnsi="Cambria" w:eastAsia="宋体" w:cs="Times New Roman"/>
      <w:b/>
      <w:bCs/>
      <w:kern w:val="28"/>
      <w:sz w:val="32"/>
      <w:szCs w:val="32"/>
    </w:rPr>
  </w:style>
  <w:style w:type="character" w:customStyle="1" w:styleId="1096">
    <w:name w:val="Char Char18"/>
    <w:qFormat/>
    <w:uiPriority w:val="0"/>
    <w:rPr>
      <w:rFonts w:eastAsia="宋体"/>
    </w:rPr>
  </w:style>
  <w:style w:type="character" w:customStyle="1" w:styleId="1097">
    <w:name w:val="textcontents"/>
    <w:qFormat/>
    <w:uiPriority w:val="0"/>
  </w:style>
  <w:style w:type="paragraph" w:customStyle="1" w:styleId="1098">
    <w:name w:val="Char Char Char1 Char Char Char Char Char Char Char"/>
    <w:basedOn w:val="1"/>
    <w:autoRedefine/>
    <w:qFormat/>
    <w:uiPriority w:val="0"/>
    <w:pPr>
      <w:snapToGrid/>
      <w:spacing w:line="240" w:lineRule="auto"/>
      <w:ind w:firstLine="0" w:firstLineChars="0"/>
      <w:jc w:val="both"/>
    </w:pPr>
    <w:rPr>
      <w:rFonts w:eastAsia="仿宋_GB2312"/>
      <w:sz w:val="32"/>
    </w:rPr>
  </w:style>
  <w:style w:type="paragraph" w:customStyle="1" w:styleId="1099">
    <w:name w:val="样式11"/>
    <w:basedOn w:val="1"/>
    <w:link w:val="1100"/>
    <w:autoRedefine/>
    <w:qFormat/>
    <w:uiPriority w:val="0"/>
    <w:pPr>
      <w:tabs>
        <w:tab w:val="left" w:pos="616"/>
      </w:tabs>
      <w:adjustRightInd w:val="0"/>
      <w:spacing w:line="480" w:lineRule="exact"/>
      <w:ind w:firstLine="0" w:firstLineChars="0"/>
      <w:outlineLvl w:val="2"/>
    </w:pPr>
    <w:rPr>
      <w:b/>
      <w:sz w:val="26"/>
      <w:szCs w:val="26"/>
    </w:rPr>
  </w:style>
  <w:style w:type="character" w:customStyle="1" w:styleId="1100">
    <w:name w:val="样式11 Char"/>
    <w:link w:val="1099"/>
    <w:autoRedefine/>
    <w:qFormat/>
    <w:uiPriority w:val="0"/>
    <w:rPr>
      <w:b/>
      <w:kern w:val="2"/>
      <w:sz w:val="26"/>
      <w:szCs w:val="26"/>
    </w:rPr>
  </w:style>
  <w:style w:type="paragraph" w:customStyle="1" w:styleId="1101">
    <w:name w:val="样式15"/>
    <w:basedOn w:val="1"/>
    <w:link w:val="1102"/>
    <w:autoRedefine/>
    <w:qFormat/>
    <w:uiPriority w:val="0"/>
    <w:pPr>
      <w:autoSpaceDE w:val="0"/>
      <w:autoSpaceDN w:val="0"/>
      <w:adjustRightInd w:val="0"/>
      <w:spacing w:beforeLines="50" w:afterLines="50"/>
      <w:ind w:firstLine="1300" w:firstLineChars="500"/>
    </w:pPr>
    <w:rPr>
      <w:kern w:val="0"/>
      <w:sz w:val="26"/>
      <w:szCs w:val="26"/>
    </w:rPr>
  </w:style>
  <w:style w:type="character" w:customStyle="1" w:styleId="1102">
    <w:name w:val="样式15 Char"/>
    <w:link w:val="1101"/>
    <w:uiPriority w:val="0"/>
    <w:rPr>
      <w:sz w:val="26"/>
      <w:szCs w:val="26"/>
    </w:rPr>
  </w:style>
  <w:style w:type="paragraph" w:customStyle="1" w:styleId="1103">
    <w:name w:val="样式17"/>
    <w:basedOn w:val="1101"/>
    <w:link w:val="1104"/>
    <w:autoRedefine/>
    <w:uiPriority w:val="0"/>
    <w:pPr>
      <w:spacing w:beforeLines="0" w:afterLines="0" w:line="480" w:lineRule="atLeast"/>
      <w:ind w:firstLine="500"/>
    </w:pPr>
  </w:style>
  <w:style w:type="character" w:customStyle="1" w:styleId="1104">
    <w:name w:val="样式17 Char"/>
    <w:link w:val="1103"/>
    <w:qFormat/>
    <w:uiPriority w:val="0"/>
    <w:rPr>
      <w:sz w:val="26"/>
      <w:szCs w:val="26"/>
    </w:rPr>
  </w:style>
  <w:style w:type="paragraph" w:customStyle="1" w:styleId="1105">
    <w:name w:val="样式 标题 2标题 2 Char Char + 小三"/>
    <w:basedOn w:val="4"/>
    <w:link w:val="1106"/>
    <w:autoRedefine/>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106">
    <w:name w:val="样式 标题 2标题 2 Char Char + 小三 Char"/>
    <w:link w:val="1105"/>
    <w:autoRedefine/>
    <w:qFormat/>
    <w:uiPriority w:val="0"/>
    <w:rPr>
      <w:rFonts w:ascii="Cambria" w:hAnsi="Cambria"/>
      <w:b/>
      <w:bCs/>
      <w:kern w:val="2"/>
      <w:sz w:val="32"/>
      <w:szCs w:val="32"/>
    </w:rPr>
  </w:style>
  <w:style w:type="paragraph" w:customStyle="1" w:styleId="1107">
    <w:name w:val="默认段落字体 Para Char Char Char Char Char Char Char Char Char Char Char Char Char Char Char Char Char"/>
    <w:basedOn w:val="1"/>
    <w:autoRedefine/>
    <w:qFormat/>
    <w:uiPriority w:val="0"/>
    <w:pPr>
      <w:snapToGrid/>
      <w:spacing w:line="240" w:lineRule="auto"/>
      <w:ind w:firstLine="0" w:firstLineChars="0"/>
      <w:jc w:val="both"/>
    </w:pPr>
    <w:rPr>
      <w:rFonts w:ascii="Tahoma" w:hAnsi="Tahoma"/>
      <w:szCs w:val="20"/>
    </w:rPr>
  </w:style>
  <w:style w:type="paragraph" w:customStyle="1" w:styleId="1108">
    <w:name w:val="Char Char Char Char Char Char Char Char Char Char Char Char Char Char Char Char Char Char Char Char Char Char Char Char Char Char Char Char Char Char Char Char Char"/>
    <w:basedOn w:val="1"/>
    <w:autoRedefine/>
    <w:qFormat/>
    <w:uiPriority w:val="0"/>
    <w:pPr>
      <w:widowControl/>
      <w:snapToGrid/>
      <w:spacing w:line="240" w:lineRule="exact"/>
      <w:ind w:firstLine="0" w:firstLineChars="0"/>
    </w:pPr>
    <w:rPr>
      <w:rFonts w:ascii="Verdana" w:hAnsi="Verdana" w:eastAsia="仿宋_GB2312" w:cs="Verdana"/>
      <w:color w:val="000000"/>
      <w:kern w:val="0"/>
      <w:szCs w:val="21"/>
      <w:lang w:eastAsia="en-US"/>
    </w:rPr>
  </w:style>
  <w:style w:type="character" w:customStyle="1" w:styleId="1109">
    <w:name w:val="表 Char"/>
    <w:autoRedefine/>
    <w:qFormat/>
    <w:uiPriority w:val="0"/>
    <w:rPr>
      <w:rFonts w:ascii="Arial" w:hAnsi="Arial" w:eastAsia="黑体" w:cs="Arial"/>
      <w:kern w:val="2"/>
      <w:lang w:val="en-US" w:eastAsia="zh-CN" w:bidi="ar-SA"/>
    </w:rPr>
  </w:style>
  <w:style w:type="paragraph" w:customStyle="1" w:styleId="1110">
    <w:name w:val="报告书表头"/>
    <w:basedOn w:val="287"/>
    <w:link w:val="1111"/>
    <w:autoRedefine/>
    <w:qFormat/>
    <w:uiPriority w:val="0"/>
    <w:pPr>
      <w:tabs>
        <w:tab w:val="clear" w:pos="4060"/>
        <w:tab w:val="clear" w:pos="8261"/>
      </w:tabs>
      <w:suppressAutoHyphens w:val="0"/>
      <w:snapToGrid w:val="0"/>
      <w:ind w:firstLine="0" w:firstLineChars="0"/>
      <w:jc w:val="center"/>
    </w:pPr>
    <w:rPr>
      <w:rFonts w:ascii="Arial" w:hAnsi="Arial" w:cs="Arial"/>
      <w:b/>
      <w:color w:val="000000"/>
      <w:spacing w:val="2"/>
      <w:kern w:val="28"/>
      <w:sz w:val="24"/>
      <w:szCs w:val="24"/>
    </w:rPr>
  </w:style>
  <w:style w:type="character" w:customStyle="1" w:styleId="1111">
    <w:name w:val="报告书表头 Char"/>
    <w:link w:val="1110"/>
    <w:autoRedefine/>
    <w:qFormat/>
    <w:uiPriority w:val="0"/>
    <w:rPr>
      <w:rFonts w:ascii="Arial" w:hAnsi="Arial" w:eastAsia="黑体" w:cs="Arial"/>
      <w:b/>
      <w:color w:val="000000"/>
      <w:spacing w:val="2"/>
      <w:kern w:val="28"/>
      <w:sz w:val="24"/>
      <w:szCs w:val="24"/>
    </w:rPr>
  </w:style>
  <w:style w:type="character" w:customStyle="1" w:styleId="1112">
    <w:name w:val="报告书正文 Char"/>
    <w:qFormat/>
    <w:uiPriority w:val="0"/>
    <w:rPr>
      <w:rFonts w:ascii="Arial" w:hAnsi="Arial" w:eastAsia="宋体" w:cs="Arial"/>
      <w:snapToGrid w:val="0"/>
      <w:color w:val="000000"/>
      <w:kern w:val="0"/>
      <w:sz w:val="24"/>
      <w:szCs w:val="24"/>
    </w:rPr>
  </w:style>
  <w:style w:type="paragraph" w:customStyle="1" w:styleId="1113">
    <w:name w:val="报告表正文"/>
    <w:basedOn w:val="1"/>
    <w:link w:val="1114"/>
    <w:autoRedefine/>
    <w:qFormat/>
    <w:uiPriority w:val="0"/>
    <w:pPr>
      <w:adjustRightInd w:val="0"/>
      <w:spacing w:line="240" w:lineRule="auto"/>
      <w:ind w:firstLine="0" w:firstLineChars="0"/>
      <w:jc w:val="center"/>
    </w:pPr>
    <w:rPr>
      <w:rFonts w:ascii="Arial" w:hAnsi="Arial" w:cs="Arial"/>
      <w:snapToGrid w:val="0"/>
      <w:color w:val="000000"/>
      <w:kern w:val="0"/>
      <w:sz w:val="21"/>
      <w:szCs w:val="21"/>
    </w:rPr>
  </w:style>
  <w:style w:type="character" w:customStyle="1" w:styleId="1114">
    <w:name w:val="报告表正文 Char"/>
    <w:link w:val="1113"/>
    <w:autoRedefine/>
    <w:qFormat/>
    <w:uiPriority w:val="0"/>
    <w:rPr>
      <w:rFonts w:ascii="Arial" w:hAnsi="Arial" w:cs="Arial"/>
      <w:snapToGrid w:val="0"/>
      <w:color w:val="000000"/>
      <w:sz w:val="21"/>
      <w:szCs w:val="21"/>
    </w:rPr>
  </w:style>
  <w:style w:type="paragraph" w:customStyle="1" w:styleId="1115">
    <w:name w:val="正文 小四 行距: 1.5 倍行距"/>
    <w:basedOn w:val="1"/>
    <w:qFormat/>
    <w:uiPriority w:val="0"/>
    <w:pPr>
      <w:snapToGrid/>
      <w:jc w:val="both"/>
    </w:pPr>
    <w:rPr>
      <w:rFonts w:cs="宋体"/>
      <w:szCs w:val="20"/>
    </w:rPr>
  </w:style>
  <w:style w:type="paragraph" w:customStyle="1" w:styleId="1116">
    <w:name w:val="标题001"/>
    <w:basedOn w:val="1"/>
    <w:link w:val="1117"/>
    <w:autoRedefine/>
    <w:uiPriority w:val="0"/>
    <w:pPr>
      <w:snapToGrid/>
      <w:spacing w:line="480" w:lineRule="exact"/>
      <w:ind w:firstLine="0" w:firstLineChars="0"/>
      <w:jc w:val="both"/>
      <w:outlineLvl w:val="0"/>
    </w:pPr>
    <w:rPr>
      <w:b/>
      <w:sz w:val="32"/>
      <w:szCs w:val="20"/>
      <w:lang w:val="zh-CN"/>
    </w:rPr>
  </w:style>
  <w:style w:type="character" w:customStyle="1" w:styleId="1117">
    <w:name w:val="标题001 Char"/>
    <w:link w:val="1116"/>
    <w:autoRedefine/>
    <w:qFormat/>
    <w:uiPriority w:val="0"/>
    <w:rPr>
      <w:b/>
      <w:kern w:val="2"/>
      <w:sz w:val="32"/>
      <w:lang w:val="zh-CN"/>
    </w:rPr>
  </w:style>
  <w:style w:type="paragraph" w:customStyle="1" w:styleId="1118">
    <w:name w:val="样式222"/>
    <w:basedOn w:val="288"/>
    <w:qFormat/>
    <w:uiPriority w:val="0"/>
    <w:pPr>
      <w:keepNext/>
      <w:keepLines/>
      <w:widowControl/>
      <w:spacing w:before="340" w:after="330" w:line="360" w:lineRule="auto"/>
      <w:outlineLvl w:val="1"/>
    </w:pPr>
    <w:rPr>
      <w:kern w:val="0"/>
      <w:sz w:val="30"/>
      <w:szCs w:val="30"/>
    </w:rPr>
  </w:style>
  <w:style w:type="paragraph" w:customStyle="1" w:styleId="1119">
    <w:name w:val="标题02"/>
    <w:basedOn w:val="4"/>
    <w:next w:val="676"/>
    <w:link w:val="1120"/>
    <w:autoRedefine/>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120">
    <w:name w:val="标题02 Char"/>
    <w:link w:val="1119"/>
    <w:autoRedefine/>
    <w:qFormat/>
    <w:uiPriority w:val="0"/>
    <w:rPr>
      <w:rFonts w:ascii="Cambria" w:hAnsi="Cambria"/>
      <w:b/>
      <w:bCs/>
      <w:kern w:val="2"/>
      <w:sz w:val="32"/>
      <w:szCs w:val="32"/>
    </w:rPr>
  </w:style>
  <w:style w:type="paragraph" w:customStyle="1" w:styleId="1121">
    <w:name w:val="新正文"/>
    <w:basedOn w:val="1"/>
    <w:link w:val="1122"/>
    <w:qFormat/>
    <w:uiPriority w:val="0"/>
    <w:pPr>
      <w:snapToGrid/>
      <w:spacing w:line="460" w:lineRule="exact"/>
      <w:ind w:firstLine="200"/>
      <w:jc w:val="both"/>
    </w:pPr>
    <w:rPr>
      <w:szCs w:val="20"/>
    </w:rPr>
  </w:style>
  <w:style w:type="character" w:customStyle="1" w:styleId="1122">
    <w:name w:val="新正文 Char"/>
    <w:link w:val="1121"/>
    <w:autoRedefine/>
    <w:uiPriority w:val="0"/>
    <w:rPr>
      <w:kern w:val="2"/>
      <w:sz w:val="24"/>
    </w:rPr>
  </w:style>
  <w:style w:type="character" w:customStyle="1" w:styleId="1123">
    <w:name w:val="djen2"/>
    <w:autoRedefine/>
    <w:qFormat/>
    <w:uiPriority w:val="0"/>
    <w:rPr>
      <w:color w:val="3476CD"/>
    </w:rPr>
  </w:style>
  <w:style w:type="paragraph" w:customStyle="1" w:styleId="1124">
    <w:name w:val="一一一"/>
    <w:basedOn w:val="344"/>
    <w:qFormat/>
    <w:uiPriority w:val="0"/>
    <w:pPr>
      <w:keepNext/>
      <w:widowControl w:val="0"/>
      <w:tabs>
        <w:tab w:val="clear" w:pos="425"/>
        <w:tab w:val="clear" w:pos="9720"/>
      </w:tabs>
      <w:ind w:left="0" w:firstLine="643"/>
      <w:jc w:val="both"/>
      <w:outlineLvl w:val="0"/>
    </w:pPr>
    <w:rPr>
      <w:rFonts w:ascii="宋体" w:hAnsi="宋体"/>
      <w:kern w:val="2"/>
      <w:sz w:val="32"/>
      <w:szCs w:val="24"/>
    </w:rPr>
  </w:style>
  <w:style w:type="paragraph" w:customStyle="1" w:styleId="1125">
    <w:name w:val="二二二"/>
    <w:basedOn w:val="345"/>
    <w:autoRedefine/>
    <w:uiPriority w:val="0"/>
    <w:pPr>
      <w:keepNext/>
      <w:keepLines/>
      <w:widowControl w:val="0"/>
      <w:autoSpaceDE w:val="0"/>
      <w:autoSpaceDN w:val="0"/>
      <w:adjustRightInd w:val="0"/>
      <w:spacing w:before="260" w:after="260" w:line="416" w:lineRule="auto"/>
      <w:jc w:val="both"/>
      <w:textAlignment w:val="baseline"/>
      <w:outlineLvl w:val="1"/>
    </w:pPr>
    <w:rPr>
      <w:rFonts w:ascii="Arial" w:hAnsi="Arial" w:eastAsia="黑体"/>
      <w:bCs/>
      <w:color w:val="000000"/>
      <w:kern w:val="2"/>
      <w:sz w:val="24"/>
      <w:szCs w:val="32"/>
    </w:rPr>
  </w:style>
  <w:style w:type="paragraph" w:customStyle="1" w:styleId="1126">
    <w:name w:val="2.1"/>
    <w:basedOn w:val="1125"/>
    <w:autoRedefine/>
    <w:qFormat/>
    <w:uiPriority w:val="0"/>
    <w:pPr>
      <w:ind w:left="1320" w:hanging="420"/>
    </w:pPr>
  </w:style>
  <w:style w:type="paragraph" w:customStyle="1" w:styleId="1127">
    <w:name w:val="cucd-TB"/>
    <w:link w:val="2016"/>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1128">
    <w:name w:val="样式 表格文字 Char + 段前: 0.5 行"/>
    <w:basedOn w:val="1"/>
    <w:autoRedefine/>
    <w:uiPriority w:val="0"/>
    <w:pPr>
      <w:snapToGrid/>
      <w:spacing w:beforeLines="50" w:line="240" w:lineRule="auto"/>
      <w:ind w:firstLine="0" w:firstLineChars="0"/>
      <w:jc w:val="center"/>
    </w:pPr>
    <w:rPr>
      <w:szCs w:val="20"/>
    </w:rPr>
  </w:style>
  <w:style w:type="paragraph" w:customStyle="1" w:styleId="1129">
    <w:name w:val="一级"/>
    <w:basedOn w:val="322"/>
    <w:link w:val="1773"/>
    <w:autoRedefine/>
    <w:qFormat/>
    <w:uiPriority w:val="0"/>
    <w:pPr>
      <w:tabs>
        <w:tab w:val="left" w:pos="720"/>
      </w:tabs>
      <w:adjustRightInd/>
      <w:spacing w:beforeLines="0" w:afterLines="0" w:line="360" w:lineRule="auto"/>
      <w:ind w:left="720" w:hanging="720" w:firstLineChars="0"/>
      <w:jc w:val="both"/>
      <w:textAlignment w:val="auto"/>
    </w:pPr>
    <w:rPr>
      <w:rFonts w:ascii="楷体_GB2312" w:hAnsi="宋体" w:eastAsia="楷体_GB2312"/>
      <w:b/>
      <w:color w:val="000000"/>
      <w:sz w:val="28"/>
      <w:szCs w:val="28"/>
    </w:rPr>
  </w:style>
  <w:style w:type="paragraph" w:customStyle="1" w:styleId="1130">
    <w:name w:val="正文+8"/>
    <w:basedOn w:val="1"/>
    <w:next w:val="1"/>
    <w:qFormat/>
    <w:uiPriority w:val="0"/>
    <w:pPr>
      <w:autoSpaceDE w:val="0"/>
      <w:autoSpaceDN w:val="0"/>
      <w:adjustRightInd w:val="0"/>
      <w:snapToGrid/>
      <w:spacing w:line="240" w:lineRule="auto"/>
      <w:ind w:firstLine="0" w:firstLineChars="0"/>
    </w:pPr>
    <w:rPr>
      <w:rFonts w:ascii="宋体"/>
      <w:kern w:val="0"/>
    </w:rPr>
  </w:style>
  <w:style w:type="paragraph" w:customStyle="1" w:styleId="1131">
    <w:name w:val="一级级"/>
    <w:basedOn w:val="1"/>
    <w:autoRedefine/>
    <w:uiPriority w:val="0"/>
    <w:pPr>
      <w:tabs>
        <w:tab w:val="left" w:pos="210"/>
      </w:tabs>
      <w:snapToGrid/>
      <w:spacing w:line="480" w:lineRule="auto"/>
      <w:ind w:firstLine="0" w:firstLineChars="0"/>
      <w:jc w:val="center"/>
    </w:pPr>
    <w:rPr>
      <w:rFonts w:ascii="楷体_GB2312" w:hAnsi="宋体" w:eastAsia="楷体_GB2312"/>
      <w:b/>
      <w:sz w:val="44"/>
      <w:szCs w:val="44"/>
    </w:rPr>
  </w:style>
  <w:style w:type="paragraph" w:customStyle="1" w:styleId="1132">
    <w:name w:val="二鸡鸡"/>
    <w:basedOn w:val="3"/>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133">
    <w:name w:val="三鸡鸡"/>
    <w:basedOn w:val="4"/>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134">
    <w:name w:val="一二鸡鸡"/>
    <w:basedOn w:val="1126"/>
    <w:autoRedefine/>
    <w:uiPriority w:val="0"/>
  </w:style>
  <w:style w:type="paragraph" w:customStyle="1" w:styleId="1135">
    <w:name w:val="二二鸡鸡"/>
    <w:basedOn w:val="3"/>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136">
    <w:name w:val="二三鸡鸡"/>
    <w:basedOn w:val="345"/>
    <w:qFormat/>
    <w:uiPriority w:val="0"/>
    <w:pPr>
      <w:keepNext/>
      <w:keepLines/>
      <w:widowControl w:val="0"/>
      <w:autoSpaceDE w:val="0"/>
      <w:autoSpaceDN w:val="0"/>
      <w:adjustRightInd w:val="0"/>
      <w:spacing w:before="260" w:after="260" w:line="416" w:lineRule="auto"/>
      <w:jc w:val="both"/>
      <w:textAlignment w:val="baseline"/>
      <w:outlineLvl w:val="1"/>
    </w:pPr>
    <w:rPr>
      <w:rFonts w:ascii="楷体_GB2312" w:hAnsi="Arial" w:eastAsia="楷体_GB2312"/>
      <w:bCs/>
      <w:color w:val="000000"/>
      <w:kern w:val="2"/>
      <w:sz w:val="24"/>
      <w:szCs w:val="32"/>
    </w:rPr>
  </w:style>
  <w:style w:type="paragraph" w:customStyle="1" w:styleId="1137">
    <w:name w:val="二二二鸡鸡"/>
    <w:basedOn w:val="288"/>
    <w:autoRedefine/>
    <w:uiPriority w:val="0"/>
    <w:pPr>
      <w:keepNext/>
      <w:keepLines/>
      <w:tabs>
        <w:tab w:val="left" w:pos="425"/>
      </w:tabs>
      <w:autoSpaceDE w:val="0"/>
      <w:autoSpaceDN w:val="0"/>
      <w:adjustRightInd w:val="0"/>
      <w:spacing w:before="260" w:after="260" w:line="415" w:lineRule="auto"/>
      <w:ind w:left="425" w:hanging="425"/>
      <w:outlineLvl w:val="1"/>
    </w:pPr>
    <w:rPr>
      <w:rFonts w:ascii="Arial" w:hAnsi="Arial" w:eastAsia="黑体"/>
      <w:b/>
      <w:bCs/>
      <w:color w:val="000000"/>
      <w:szCs w:val="32"/>
    </w:rPr>
  </w:style>
  <w:style w:type="paragraph" w:customStyle="1" w:styleId="1138">
    <w:name w:val="Char5"/>
    <w:basedOn w:val="1"/>
    <w:autoRedefine/>
    <w:qFormat/>
    <w:uiPriority w:val="0"/>
    <w:pPr>
      <w:widowControl/>
      <w:numPr>
        <w:ilvl w:val="0"/>
        <w:numId w:val="8"/>
      </w:numPr>
      <w:tabs>
        <w:tab w:val="clear" w:pos="420"/>
      </w:tabs>
      <w:snapToGrid/>
      <w:spacing w:line="240" w:lineRule="exact"/>
      <w:ind w:left="0" w:firstLine="0" w:firstLineChars="0"/>
    </w:pPr>
    <w:rPr>
      <w:rFonts w:ascii="Verdana" w:hAnsi="Verdana" w:eastAsia="仿宋_GB2312"/>
      <w:kern w:val="0"/>
      <w:szCs w:val="20"/>
      <w:lang w:eastAsia="en-US"/>
    </w:rPr>
  </w:style>
  <w:style w:type="paragraph" w:customStyle="1" w:styleId="1139">
    <w:name w:val="tgt2"/>
    <w:basedOn w:val="1"/>
    <w:qFormat/>
    <w:uiPriority w:val="0"/>
    <w:pPr>
      <w:widowControl/>
      <w:snapToGrid/>
      <w:ind w:firstLine="0" w:firstLineChars="0"/>
    </w:pPr>
    <w:rPr>
      <w:rFonts w:ascii="宋体" w:hAnsi="宋体" w:cs="宋体"/>
      <w:b/>
      <w:bCs/>
      <w:kern w:val="0"/>
      <w:sz w:val="36"/>
      <w:szCs w:val="36"/>
    </w:rPr>
  </w:style>
  <w:style w:type="paragraph" w:customStyle="1" w:styleId="1140">
    <w:name w:val="Char Char Char Char Char Char Char Char Char1 Char Char Char Char Char Char Char"/>
    <w:basedOn w:val="26"/>
    <w:autoRedefine/>
    <w:uiPriority w:val="0"/>
    <w:pPr>
      <w:shd w:val="clear" w:color="auto" w:fill="000080"/>
      <w:spacing w:beforeLines="0" w:afterLines="0" w:line="240" w:lineRule="auto"/>
      <w:ind w:firstLine="0" w:firstLineChars="0"/>
    </w:pPr>
    <w:rPr>
      <w:kern w:val="0"/>
      <w:sz w:val="21"/>
      <w:szCs w:val="20"/>
    </w:rPr>
  </w:style>
  <w:style w:type="paragraph" w:customStyle="1" w:styleId="1141">
    <w:name w:val="Char Char1 Char Char"/>
    <w:basedOn w:val="1"/>
    <w:autoRedefine/>
    <w:qFormat/>
    <w:uiPriority w:val="0"/>
    <w:pPr>
      <w:snapToGrid/>
      <w:spacing w:line="240" w:lineRule="auto"/>
      <w:ind w:firstLine="0" w:firstLineChars="0"/>
      <w:jc w:val="both"/>
    </w:pPr>
    <w:rPr>
      <w:sz w:val="21"/>
    </w:rPr>
  </w:style>
  <w:style w:type="paragraph" w:customStyle="1" w:styleId="1142">
    <w:name w:val="第二节"/>
    <w:basedOn w:val="1"/>
    <w:qFormat/>
    <w:uiPriority w:val="0"/>
    <w:pPr>
      <w:numPr>
        <w:ilvl w:val="0"/>
        <w:numId w:val="9"/>
      </w:numPr>
      <w:autoSpaceDE w:val="0"/>
      <w:autoSpaceDN w:val="0"/>
      <w:adjustRightInd w:val="0"/>
      <w:snapToGrid/>
      <w:ind w:firstLine="0" w:firstLineChars="0"/>
      <w:textAlignment w:val="baseline"/>
    </w:pPr>
    <w:rPr>
      <w:rFonts w:ascii="宋体" w:hAnsi="宋体"/>
      <w:color w:val="FF0000"/>
      <w:kern w:val="0"/>
      <w:sz w:val="28"/>
      <w:szCs w:val="28"/>
    </w:rPr>
  </w:style>
  <w:style w:type="character" w:customStyle="1" w:styleId="1143">
    <w:name w:val="t_tag"/>
    <w:autoRedefine/>
    <w:uiPriority w:val="0"/>
  </w:style>
  <w:style w:type="character" w:customStyle="1" w:styleId="1144">
    <w:name w:val="st1"/>
    <w:autoRedefine/>
    <w:qFormat/>
    <w:uiPriority w:val="0"/>
  </w:style>
  <w:style w:type="paragraph" w:customStyle="1" w:styleId="1145">
    <w:name w:val="三级D六"/>
    <w:basedOn w:val="1136"/>
    <w:qFormat/>
    <w:uiPriority w:val="0"/>
    <w:pPr>
      <w:tabs>
        <w:tab w:val="left" w:pos="600"/>
      </w:tabs>
      <w:ind w:left="600" w:hanging="600"/>
    </w:pPr>
  </w:style>
  <w:style w:type="paragraph" w:customStyle="1" w:styleId="1146">
    <w:name w:val="三级D七"/>
    <w:basedOn w:val="1136"/>
    <w:uiPriority w:val="0"/>
    <w:pPr>
      <w:tabs>
        <w:tab w:val="left" w:pos="600"/>
      </w:tabs>
      <w:spacing w:line="360" w:lineRule="auto"/>
      <w:ind w:left="600" w:hanging="600"/>
    </w:pPr>
  </w:style>
  <w:style w:type="character" w:customStyle="1" w:styleId="1147">
    <w:name w:val="fontstyle01"/>
    <w:autoRedefine/>
    <w:qFormat/>
    <w:uiPriority w:val="0"/>
    <w:rPr>
      <w:rFonts w:hint="eastAsia" w:ascii="宋体" w:hAnsi="宋体" w:eastAsia="宋体"/>
      <w:color w:val="000000"/>
      <w:sz w:val="24"/>
      <w:szCs w:val="24"/>
    </w:rPr>
  </w:style>
  <w:style w:type="paragraph" w:customStyle="1" w:styleId="1148">
    <w:name w:val="样式23"/>
    <w:basedOn w:val="1"/>
    <w:link w:val="1149"/>
    <w:autoRedefine/>
    <w:uiPriority w:val="0"/>
    <w:pPr>
      <w:snapToGrid/>
    </w:pPr>
    <w:rPr>
      <w:rFonts w:ascii="宋体" w:hAnsi="宋体"/>
      <w:color w:val="000000"/>
      <w:lang w:val="zh-CN"/>
    </w:rPr>
  </w:style>
  <w:style w:type="character" w:customStyle="1" w:styleId="1149">
    <w:name w:val="样式23 Char"/>
    <w:link w:val="1148"/>
    <w:qFormat/>
    <w:uiPriority w:val="0"/>
    <w:rPr>
      <w:rFonts w:ascii="宋体" w:hAnsi="宋体"/>
      <w:color w:val="000000"/>
      <w:kern w:val="2"/>
      <w:sz w:val="24"/>
      <w:szCs w:val="24"/>
      <w:lang w:val="zh-CN"/>
    </w:rPr>
  </w:style>
  <w:style w:type="paragraph" w:customStyle="1" w:styleId="1150">
    <w:name w:val="小四表文居中"/>
    <w:autoRedefine/>
    <w:qFormat/>
    <w:uiPriority w:val="0"/>
    <w:pPr>
      <w:widowControl w:val="0"/>
      <w:jc w:val="center"/>
    </w:pPr>
    <w:rPr>
      <w:rFonts w:ascii="仿宋_GB2312" w:hAnsi="Times New Roman" w:eastAsia="仿宋_GB2312" w:cs="Times New Roman"/>
      <w:kern w:val="2"/>
      <w:sz w:val="24"/>
      <w:szCs w:val="24"/>
      <w:lang w:val="en-US" w:eastAsia="zh-CN" w:bidi="ar-SA"/>
    </w:rPr>
  </w:style>
  <w:style w:type="character" w:customStyle="1" w:styleId="1151">
    <w:name w:val="表格 Char Char"/>
    <w:qFormat/>
    <w:uiPriority w:val="0"/>
    <w:rPr>
      <w:rFonts w:ascii="宋体" w:eastAsia="宋体"/>
      <w:color w:val="000000"/>
      <w:kern w:val="2"/>
      <w:sz w:val="21"/>
      <w:lang w:val="en-US" w:eastAsia="zh-CN" w:bidi="ar-SA"/>
    </w:rPr>
  </w:style>
  <w:style w:type="paragraph" w:customStyle="1" w:styleId="1152">
    <w:name w:val="标题002"/>
    <w:basedOn w:val="1"/>
    <w:autoRedefine/>
    <w:qFormat/>
    <w:uiPriority w:val="0"/>
    <w:pPr>
      <w:snapToGrid/>
      <w:spacing w:line="480" w:lineRule="exact"/>
      <w:ind w:firstLine="0" w:firstLineChars="0"/>
      <w:jc w:val="both"/>
      <w:outlineLvl w:val="1"/>
    </w:pPr>
    <w:rPr>
      <w:b/>
      <w:sz w:val="28"/>
      <w:szCs w:val="20"/>
    </w:rPr>
  </w:style>
  <w:style w:type="character" w:customStyle="1" w:styleId="1153">
    <w:name w:val="正文01 Char"/>
    <w:link w:val="676"/>
    <w:autoRedefine/>
    <w:qFormat/>
    <w:uiPriority w:val="0"/>
    <w:rPr>
      <w:rFonts w:ascii="Arial" w:hAnsi="Arial"/>
      <w:kern w:val="2"/>
      <w:sz w:val="24"/>
    </w:rPr>
  </w:style>
  <w:style w:type="paragraph" w:customStyle="1" w:styleId="1154">
    <w:name w:val="样式111"/>
    <w:basedOn w:val="1116"/>
    <w:autoRedefine/>
    <w:qFormat/>
    <w:uiPriority w:val="0"/>
    <w:pPr>
      <w:spacing w:beforeLines="100" w:afterLines="100" w:line="360" w:lineRule="auto"/>
      <w:jc w:val="center"/>
    </w:pPr>
    <w:rPr>
      <w:sz w:val="44"/>
      <w:szCs w:val="44"/>
    </w:rPr>
  </w:style>
  <w:style w:type="paragraph" w:customStyle="1" w:styleId="1155">
    <w:name w:val="正文001"/>
    <w:basedOn w:val="1"/>
    <w:link w:val="1157"/>
    <w:autoRedefine/>
    <w:qFormat/>
    <w:uiPriority w:val="0"/>
    <w:pPr>
      <w:snapToGrid/>
      <w:spacing w:line="420" w:lineRule="exact"/>
      <w:ind w:firstLine="482" w:firstLineChars="0"/>
      <w:jc w:val="both"/>
    </w:pPr>
    <w:rPr>
      <w:szCs w:val="20"/>
    </w:rPr>
  </w:style>
  <w:style w:type="character" w:customStyle="1" w:styleId="1156">
    <w:name w:val="正文小四 Char"/>
    <w:link w:val="683"/>
    <w:qFormat/>
    <w:locked/>
    <w:uiPriority w:val="0"/>
    <w:rPr>
      <w:kern w:val="2"/>
      <w:sz w:val="24"/>
    </w:rPr>
  </w:style>
  <w:style w:type="character" w:customStyle="1" w:styleId="1157">
    <w:name w:val="正文001 Char"/>
    <w:link w:val="1155"/>
    <w:uiPriority w:val="0"/>
    <w:rPr>
      <w:kern w:val="2"/>
      <w:sz w:val="24"/>
    </w:rPr>
  </w:style>
  <w:style w:type="paragraph" w:customStyle="1" w:styleId="1158">
    <w:name w:val="11"/>
    <w:autoRedefine/>
    <w:uiPriority w:val="0"/>
    <w:rPr>
      <w:rFonts w:ascii="Calibri" w:hAnsi="Calibri" w:eastAsia="宋体" w:cs="Times New Roman"/>
      <w:kern w:val="2"/>
      <w:sz w:val="21"/>
      <w:szCs w:val="22"/>
      <w:lang w:val="en-US" w:eastAsia="zh-CN" w:bidi="ar-SA"/>
    </w:rPr>
  </w:style>
  <w:style w:type="paragraph" w:customStyle="1" w:styleId="1159">
    <w:name w:val="zhang正文"/>
    <w:basedOn w:val="35"/>
    <w:autoRedefine/>
    <w:qFormat/>
    <w:uiPriority w:val="0"/>
    <w:pPr>
      <w:autoSpaceDE w:val="0"/>
      <w:autoSpaceDN w:val="0"/>
      <w:adjustRightInd w:val="0"/>
      <w:spacing w:line="500" w:lineRule="exact"/>
      <w:ind w:left="0" w:leftChars="0" w:firstLine="539" w:firstLineChars="0"/>
      <w:jc w:val="both"/>
      <w:textAlignment w:val="baseline"/>
    </w:pPr>
    <w:rPr>
      <w:rFonts w:eastAsia="楷体_GB2312"/>
      <w:sz w:val="28"/>
    </w:rPr>
  </w:style>
  <w:style w:type="paragraph" w:customStyle="1" w:styleId="1160">
    <w:name w:val="标1"/>
    <w:basedOn w:val="1"/>
    <w:link w:val="1327"/>
    <w:uiPriority w:val="0"/>
    <w:pPr>
      <w:snapToGrid/>
      <w:spacing w:line="460" w:lineRule="exact"/>
      <w:ind w:firstLine="0" w:firstLineChars="0"/>
      <w:jc w:val="both"/>
      <w:outlineLvl w:val="0"/>
    </w:pPr>
    <w:rPr>
      <w:b/>
      <w:sz w:val="32"/>
      <w:szCs w:val="20"/>
    </w:rPr>
  </w:style>
  <w:style w:type="paragraph" w:customStyle="1" w:styleId="1161">
    <w:name w:val="p15"/>
    <w:basedOn w:val="1"/>
    <w:autoRedefine/>
    <w:uiPriority w:val="0"/>
    <w:pPr>
      <w:snapToGrid/>
      <w:ind w:firstLine="420" w:firstLineChars="0"/>
      <w:jc w:val="both"/>
    </w:pPr>
    <w:rPr>
      <w:sz w:val="21"/>
      <w:szCs w:val="21"/>
    </w:rPr>
  </w:style>
  <w:style w:type="paragraph" w:customStyle="1" w:styleId="1162">
    <w:name w:val="表内5"/>
    <w:basedOn w:val="1"/>
    <w:autoRedefine/>
    <w:qFormat/>
    <w:uiPriority w:val="0"/>
    <w:pPr>
      <w:tabs>
        <w:tab w:val="left" w:pos="4680"/>
      </w:tabs>
      <w:adjustRightInd w:val="0"/>
      <w:spacing w:line="400" w:lineRule="exact"/>
      <w:ind w:firstLine="0" w:firstLineChars="0"/>
      <w:jc w:val="center"/>
    </w:pPr>
    <w:rPr>
      <w:color w:val="FF0000"/>
      <w:sz w:val="21"/>
      <w:szCs w:val="21"/>
    </w:rPr>
  </w:style>
  <w:style w:type="paragraph" w:customStyle="1" w:styleId="1163">
    <w:name w:val="样式 (符号) 宋体 小四 首行缩进:  0.85 厘米 行距: 1.5 倍行距"/>
    <w:basedOn w:val="1"/>
    <w:uiPriority w:val="0"/>
    <w:pPr>
      <w:snapToGrid/>
      <w:ind w:firstLine="0" w:firstLineChars="0"/>
      <w:jc w:val="both"/>
    </w:pPr>
    <w:rPr>
      <w:rFonts w:cs="宋体"/>
      <w:kern w:val="0"/>
      <w:szCs w:val="20"/>
    </w:rPr>
  </w:style>
  <w:style w:type="paragraph" w:customStyle="1" w:styleId="1164">
    <w:name w:val="封面标准文稿编辑信息"/>
    <w:autoRedefine/>
    <w:uiPriority w:val="0"/>
    <w:pPr>
      <w:tabs>
        <w:tab w:val="left" w:pos="360"/>
      </w:tabs>
      <w:spacing w:before="180" w:line="180" w:lineRule="exact"/>
      <w:jc w:val="center"/>
    </w:pPr>
    <w:rPr>
      <w:rFonts w:ascii="宋体" w:hAnsi="Times New Roman" w:eastAsia="宋体" w:cs="Times New Roman"/>
      <w:sz w:val="21"/>
      <w:lang w:val="en-US" w:eastAsia="zh-CN" w:bidi="ar-SA"/>
    </w:rPr>
  </w:style>
  <w:style w:type="paragraph" w:customStyle="1" w:styleId="1165">
    <w:name w:val="样式 首行缩进:  0.77 厘米 段前: 7.8 磅 段后: 0.5 行"/>
    <w:basedOn w:val="1"/>
    <w:autoRedefine/>
    <w:qFormat/>
    <w:uiPriority w:val="0"/>
    <w:pPr>
      <w:spacing w:line="480" w:lineRule="exact"/>
      <w:ind w:firstLine="437" w:firstLineChars="0"/>
      <w:jc w:val="both"/>
    </w:pPr>
    <w:rPr>
      <w:rFonts w:eastAsia="仿宋_GB2312"/>
      <w:sz w:val="28"/>
      <w:szCs w:val="20"/>
    </w:rPr>
  </w:style>
  <w:style w:type="paragraph" w:customStyle="1" w:styleId="1166">
    <w:name w:val="标题04"/>
    <w:basedOn w:val="6"/>
    <w:next w:val="1"/>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1167">
    <w:name w:val="标准-条文1.1.1.1"/>
    <w:basedOn w:val="1168"/>
    <w:autoRedefine/>
    <w:uiPriority w:val="0"/>
    <w:pPr>
      <w:tabs>
        <w:tab w:val="left" w:pos="4581"/>
      </w:tabs>
      <w:ind w:left="0"/>
      <w:jc w:val="both"/>
      <w:outlineLvl w:val="4"/>
    </w:pPr>
    <w:rPr>
      <w:kern w:val="2"/>
    </w:rPr>
  </w:style>
  <w:style w:type="paragraph" w:customStyle="1" w:styleId="1168">
    <w:name w:val="标准-条文1.1.1"/>
    <w:basedOn w:val="1169"/>
    <w:autoRedefine/>
    <w:qFormat/>
    <w:uiPriority w:val="0"/>
    <w:pPr>
      <w:ind w:left="360"/>
      <w:outlineLvl w:val="3"/>
    </w:pPr>
  </w:style>
  <w:style w:type="paragraph" w:customStyle="1" w:styleId="1169">
    <w:name w:val="标准-条文1.1"/>
    <w:next w:val="1"/>
    <w:autoRedefine/>
    <w:uiPriority w:val="0"/>
    <w:pPr>
      <w:widowControl w:val="0"/>
      <w:adjustRightInd w:val="0"/>
      <w:snapToGrid w:val="0"/>
      <w:spacing w:line="360" w:lineRule="auto"/>
      <w:outlineLvl w:val="2"/>
    </w:pPr>
    <w:rPr>
      <w:rFonts w:ascii="宋体" w:hAnsi="Times New Roman" w:eastAsia="宋体" w:cs="Times New Roman"/>
      <w:sz w:val="24"/>
      <w:lang w:val="en-US" w:eastAsia="zh-CN" w:bidi="ar-SA"/>
    </w:rPr>
  </w:style>
  <w:style w:type="paragraph" w:customStyle="1" w:styleId="1170">
    <w:name w:val="图表标题"/>
    <w:basedOn w:val="1"/>
    <w:link w:val="1329"/>
    <w:uiPriority w:val="0"/>
    <w:pPr>
      <w:snapToGrid/>
      <w:spacing w:beforeLines="25" w:afterLines="25"/>
      <w:ind w:firstLine="0" w:firstLineChars="0"/>
      <w:jc w:val="center"/>
      <w:outlineLvl w:val="4"/>
    </w:pPr>
    <w:rPr>
      <w:rFonts w:ascii="宋体" w:hAnsi="宋体"/>
      <w:b/>
      <w:sz w:val="21"/>
      <w:lang w:val="zh-CN"/>
    </w:rPr>
  </w:style>
  <w:style w:type="paragraph" w:customStyle="1" w:styleId="1171">
    <w:name w:val="标准-章"/>
    <w:next w:val="1169"/>
    <w:autoRedefine/>
    <w:qFormat/>
    <w:uiPriority w:val="0"/>
    <w:pPr>
      <w:keepNext/>
      <w:adjustRightInd w:val="0"/>
      <w:snapToGrid w:val="0"/>
      <w:spacing w:beforeLines="50" w:afterLines="50"/>
      <w:outlineLvl w:val="1"/>
    </w:pPr>
    <w:rPr>
      <w:rFonts w:ascii="宋体" w:hAnsi="Times New Roman" w:eastAsia="宋体" w:cs="Times New Roman"/>
      <w:b/>
      <w:sz w:val="28"/>
      <w:lang w:val="en-US" w:eastAsia="zh-CN" w:bidi="ar-SA"/>
    </w:rPr>
  </w:style>
  <w:style w:type="paragraph" w:customStyle="1" w:styleId="1172">
    <w:name w:val="Body Text 22"/>
    <w:basedOn w:val="1"/>
    <w:autoRedefine/>
    <w:qFormat/>
    <w:uiPriority w:val="0"/>
    <w:pPr>
      <w:adjustRightInd w:val="0"/>
      <w:snapToGrid/>
      <w:spacing w:line="440" w:lineRule="atLeast"/>
      <w:ind w:firstLine="0" w:firstLineChars="0"/>
      <w:jc w:val="both"/>
      <w:textAlignment w:val="baseline"/>
    </w:pPr>
    <w:rPr>
      <w:szCs w:val="20"/>
    </w:rPr>
  </w:style>
  <w:style w:type="paragraph" w:customStyle="1" w:styleId="1173">
    <w:name w:val="样式 报告 + 首行缩进:  2 字符 段前: 0.3 行 段后: 0.3 行"/>
    <w:basedOn w:val="1"/>
    <w:qFormat/>
    <w:uiPriority w:val="0"/>
    <w:pPr>
      <w:snapToGrid/>
      <w:spacing w:line="400" w:lineRule="atLeast"/>
      <w:jc w:val="both"/>
    </w:pPr>
    <w:rPr>
      <w:szCs w:val="20"/>
    </w:rPr>
  </w:style>
  <w:style w:type="paragraph" w:customStyle="1" w:styleId="1174">
    <w:name w:val="验收报告-条"/>
    <w:qFormat/>
    <w:uiPriority w:val="0"/>
    <w:pPr>
      <w:widowControl w:val="0"/>
      <w:adjustRightInd w:val="0"/>
      <w:snapToGrid w:val="0"/>
      <w:spacing w:line="360" w:lineRule="auto"/>
      <w:ind w:firstLine="227"/>
      <w:outlineLvl w:val="2"/>
    </w:pPr>
    <w:rPr>
      <w:rFonts w:ascii="宋体" w:hAnsi="宋体" w:eastAsia="宋体" w:cs="Times New Roman"/>
      <w:bCs/>
      <w:sz w:val="28"/>
      <w:szCs w:val="32"/>
      <w:lang w:val="en-US" w:eastAsia="zh-CN" w:bidi="ar-SA"/>
    </w:rPr>
  </w:style>
  <w:style w:type="paragraph" w:customStyle="1" w:styleId="1175">
    <w:name w:val="样式 1"/>
    <w:basedOn w:val="1"/>
    <w:link w:val="1303"/>
    <w:autoRedefine/>
    <w:qFormat/>
    <w:uiPriority w:val="0"/>
    <w:pPr>
      <w:snapToGrid/>
      <w:jc w:val="both"/>
    </w:pPr>
    <w:rPr>
      <w:szCs w:val="20"/>
    </w:rPr>
  </w:style>
  <w:style w:type="paragraph" w:customStyle="1" w:styleId="1176">
    <w:name w:val="保留正文"/>
    <w:basedOn w:val="1"/>
    <w:uiPriority w:val="0"/>
    <w:pPr>
      <w:keepNext/>
      <w:adjustRightInd w:val="0"/>
      <w:snapToGrid/>
      <w:spacing w:line="480" w:lineRule="auto"/>
      <w:ind w:firstLine="0" w:firstLineChars="0"/>
      <w:jc w:val="both"/>
      <w:textAlignment w:val="baseline"/>
    </w:pPr>
    <w:rPr>
      <w:rFonts w:ascii="宋体"/>
      <w:kern w:val="0"/>
    </w:rPr>
  </w:style>
  <w:style w:type="paragraph" w:customStyle="1" w:styleId="1177">
    <w:name w:val="论文正文"/>
    <w:basedOn w:val="21"/>
    <w:autoRedefine/>
    <w:qFormat/>
    <w:uiPriority w:val="0"/>
    <w:pPr>
      <w:ind w:firstLine="480"/>
    </w:pPr>
    <w:rPr>
      <w:rFonts w:ascii="宋体" w:hAnsi="宋体"/>
      <w:sz w:val="28"/>
      <w:szCs w:val="24"/>
    </w:rPr>
  </w:style>
  <w:style w:type="paragraph" w:customStyle="1" w:styleId="1178">
    <w:name w:val="(a空格行"/>
    <w:basedOn w:val="45"/>
    <w:autoRedefine/>
    <w:uiPriority w:val="0"/>
    <w:pPr>
      <w:adjustRightInd/>
      <w:spacing w:beforeLines="0" w:afterLines="0" w:line="240" w:lineRule="auto"/>
      <w:ind w:firstLine="480"/>
      <w:jc w:val="both"/>
      <w:textAlignment w:val="auto"/>
    </w:pPr>
    <w:rPr>
      <w:rFonts w:ascii="Times New Roman" w:hAnsi="Times New Roman"/>
      <w:sz w:val="10"/>
      <w:szCs w:val="24"/>
    </w:rPr>
  </w:style>
  <w:style w:type="paragraph" w:customStyle="1" w:styleId="1179">
    <w:name w:val="君邦正文"/>
    <w:link w:val="1291"/>
    <w:qFormat/>
    <w:uiPriority w:val="0"/>
    <w:pPr>
      <w:spacing w:line="360" w:lineRule="auto"/>
      <w:ind w:left="-4" w:leftChars="-2" w:firstLine="480" w:firstLineChars="200"/>
      <w:jc w:val="both"/>
    </w:pPr>
    <w:rPr>
      <w:rFonts w:ascii="宋体" w:hAnsi="宋体" w:eastAsia="宋体" w:cs="Times New Roman"/>
      <w:kern w:val="2"/>
      <w:sz w:val="24"/>
      <w:lang w:val="en-US" w:eastAsia="zh-CN" w:bidi="ar-SA"/>
    </w:rPr>
  </w:style>
  <w:style w:type="paragraph" w:customStyle="1" w:styleId="1180">
    <w:name w:val="reader-word-layer reader-word-s2-4"/>
    <w:basedOn w:val="1"/>
    <w:autoRedefine/>
    <w:uiPriority w:val="0"/>
    <w:pPr>
      <w:widowControl/>
      <w:snapToGrid/>
      <w:spacing w:beforeAutospacing="1" w:afterAutospacing="1" w:line="240" w:lineRule="auto"/>
      <w:ind w:firstLine="0" w:firstLineChars="0"/>
    </w:pPr>
    <w:rPr>
      <w:rFonts w:ascii="宋体" w:hAnsi="宋体" w:cs="宋体"/>
      <w:kern w:val="0"/>
    </w:rPr>
  </w:style>
  <w:style w:type="paragraph" w:customStyle="1" w:styleId="1181">
    <w:name w:val="验收报告-款"/>
    <w:uiPriority w:val="0"/>
    <w:pPr>
      <w:widowControl w:val="0"/>
      <w:tabs>
        <w:tab w:val="left" w:pos="360"/>
      </w:tabs>
      <w:adjustRightInd w:val="0"/>
      <w:snapToGrid w:val="0"/>
      <w:spacing w:line="360" w:lineRule="auto"/>
      <w:ind w:firstLine="100" w:firstLineChars="100"/>
      <w:outlineLvl w:val="3"/>
    </w:pPr>
    <w:rPr>
      <w:rFonts w:ascii="宋体" w:hAnsi="宋体" w:eastAsia="宋体" w:cs="Times New Roman"/>
      <w:sz w:val="28"/>
      <w:lang w:val="en-US" w:eastAsia="zh-CN" w:bidi="ar-SA"/>
    </w:rPr>
  </w:style>
  <w:style w:type="paragraph" w:customStyle="1" w:styleId="1182">
    <w:name w:val="验收报告-章"/>
    <w:next w:val="1"/>
    <w:uiPriority w:val="0"/>
    <w:pPr>
      <w:keepNext/>
      <w:widowControl w:val="0"/>
      <w:adjustRightInd w:val="0"/>
      <w:snapToGrid w:val="0"/>
      <w:spacing w:beforeLines="150" w:afterLines="200"/>
      <w:jc w:val="both"/>
      <w:outlineLvl w:val="0"/>
    </w:pPr>
    <w:rPr>
      <w:rFonts w:ascii="宋体" w:hAnsi="宋体" w:eastAsia="宋体" w:cs="Times New Roman"/>
      <w:b/>
      <w:sz w:val="32"/>
      <w:lang w:val="en-US" w:eastAsia="zh-CN" w:bidi="ar-SA"/>
    </w:rPr>
  </w:style>
  <w:style w:type="paragraph" w:customStyle="1" w:styleId="1183">
    <w:name w:val="Plain Text1"/>
    <w:basedOn w:val="1"/>
    <w:autoRedefine/>
    <w:qFormat/>
    <w:uiPriority w:val="0"/>
    <w:pPr>
      <w:autoSpaceDE w:val="0"/>
      <w:autoSpaceDN w:val="0"/>
      <w:adjustRightInd w:val="0"/>
      <w:snapToGrid/>
      <w:spacing w:line="240" w:lineRule="auto"/>
      <w:ind w:firstLine="0" w:firstLineChars="0"/>
      <w:jc w:val="both"/>
      <w:textAlignment w:val="baseline"/>
    </w:pPr>
    <w:rPr>
      <w:rFonts w:ascii="宋体" w:hAnsi="Tms Rmn"/>
      <w:kern w:val="0"/>
      <w:sz w:val="21"/>
      <w:szCs w:val="20"/>
    </w:rPr>
  </w:style>
  <w:style w:type="paragraph" w:customStyle="1" w:styleId="1184">
    <w:name w:val="样式12"/>
    <w:basedOn w:val="376"/>
    <w:autoRedefine/>
    <w:uiPriority w:val="0"/>
    <w:pPr>
      <w:tabs>
        <w:tab w:val="center" w:pos="4153"/>
        <w:tab w:val="right" w:pos="8306"/>
      </w:tabs>
      <w:adjustRightInd/>
      <w:snapToGrid/>
      <w:spacing w:beforeLines="0" w:line="240" w:lineRule="auto"/>
      <w:outlineLvl w:val="9"/>
    </w:pPr>
    <w:rPr>
      <w:bCs w:val="0"/>
      <w:color w:val="000000"/>
      <w:sz w:val="21"/>
      <w:szCs w:val="24"/>
    </w:rPr>
  </w:style>
  <w:style w:type="paragraph" w:customStyle="1" w:styleId="1185">
    <w:name w:val="验收报告-项"/>
    <w:next w:val="1"/>
    <w:autoRedefine/>
    <w:qFormat/>
    <w:uiPriority w:val="0"/>
    <w:pPr>
      <w:keepNext/>
      <w:widowControl w:val="0"/>
      <w:tabs>
        <w:tab w:val="left" w:pos="720"/>
      </w:tabs>
      <w:adjustRightInd w:val="0"/>
      <w:snapToGrid w:val="0"/>
      <w:spacing w:beforeLines="200" w:afterLines="100"/>
      <w:outlineLvl w:val="1"/>
    </w:pPr>
    <w:rPr>
      <w:rFonts w:ascii="宋体" w:hAnsi="宋体" w:eastAsia="宋体" w:cs="Times New Roman"/>
      <w:b/>
      <w:sz w:val="28"/>
      <w:lang w:val="en-US" w:eastAsia="zh-CN" w:bidi="ar-SA"/>
    </w:rPr>
  </w:style>
  <w:style w:type="paragraph" w:customStyle="1" w:styleId="1186">
    <w:name w:val="1文章"/>
    <w:basedOn w:val="1"/>
    <w:autoRedefine/>
    <w:qFormat/>
    <w:uiPriority w:val="0"/>
    <w:pPr>
      <w:spacing w:line="240" w:lineRule="auto"/>
      <w:ind w:firstLine="0" w:firstLineChars="0"/>
      <w:jc w:val="center"/>
    </w:pPr>
    <w:rPr>
      <w:color w:val="000000"/>
      <w:sz w:val="21"/>
      <w:szCs w:val="20"/>
    </w:rPr>
  </w:style>
  <w:style w:type="paragraph" w:customStyle="1" w:styleId="1187">
    <w:name w:val="样式 样式1 + 宋体 小四1"/>
    <w:basedOn w:val="288"/>
    <w:autoRedefine/>
    <w:uiPriority w:val="0"/>
    <w:pPr>
      <w:keepNext/>
      <w:keepLines/>
      <w:widowControl/>
      <w:spacing w:before="340" w:after="330" w:line="360" w:lineRule="auto"/>
      <w:ind w:firstLine="200" w:firstLineChars="200"/>
      <w:jc w:val="left"/>
      <w:outlineLvl w:val="0"/>
    </w:pPr>
    <w:rPr>
      <w:kern w:val="0"/>
      <w:szCs w:val="30"/>
    </w:rPr>
  </w:style>
  <w:style w:type="paragraph" w:customStyle="1" w:styleId="1188">
    <w:name w:val="正文02"/>
    <w:basedOn w:val="21"/>
    <w:qFormat/>
    <w:uiPriority w:val="0"/>
    <w:pPr>
      <w:spacing w:line="460" w:lineRule="exact"/>
      <w:ind w:firstLine="200"/>
    </w:pPr>
    <w:rPr>
      <w:szCs w:val="24"/>
    </w:rPr>
  </w:style>
  <w:style w:type="paragraph" w:customStyle="1" w:styleId="1189">
    <w:name w:val="unnamed2 style13"/>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1190">
    <w:name w:val="正文首行缩进 2 + Times New Roman"/>
    <w:basedOn w:val="1"/>
    <w:link w:val="1323"/>
    <w:uiPriority w:val="0"/>
    <w:pPr>
      <w:tabs>
        <w:tab w:val="left" w:pos="0"/>
        <w:tab w:val="left" w:pos="870"/>
        <w:tab w:val="left" w:pos="3150"/>
      </w:tabs>
      <w:autoSpaceDE w:val="0"/>
      <w:autoSpaceDN w:val="0"/>
      <w:snapToGrid/>
    </w:pPr>
    <w:rPr>
      <w:kern w:val="0"/>
    </w:rPr>
  </w:style>
  <w:style w:type="paragraph" w:customStyle="1" w:styleId="1191">
    <w:name w:val="样式16"/>
    <w:basedOn w:val="1192"/>
    <w:autoRedefine/>
    <w:qFormat/>
    <w:uiPriority w:val="0"/>
    <w:pPr>
      <w:pBdr>
        <w:top w:val="none" w:color="auto" w:sz="0" w:space="0"/>
      </w:pBdr>
      <w:snapToGrid/>
      <w:spacing w:line="460" w:lineRule="exact"/>
      <w:ind w:right="0" w:firstLine="480" w:firstLineChars="200"/>
      <w:jc w:val="both"/>
    </w:pPr>
    <w:rPr>
      <w:rFonts w:ascii="Times New Roman" w:hAnsi="Times New Roman"/>
      <w:color w:val="000000"/>
      <w:kern w:val="0"/>
      <w:sz w:val="24"/>
      <w:szCs w:val="24"/>
    </w:rPr>
  </w:style>
  <w:style w:type="paragraph" w:customStyle="1" w:styleId="1192">
    <w:name w:val="样式9"/>
    <w:basedOn w:val="242"/>
    <w:link w:val="1312"/>
    <w:qFormat/>
    <w:uiPriority w:val="0"/>
    <w:pPr>
      <w:pBdr>
        <w:top w:val="single" w:color="auto" w:sz="6" w:space="1"/>
      </w:pBdr>
      <w:adjustRightInd/>
      <w:spacing w:beforeLines="0" w:afterLines="0" w:line="240" w:lineRule="auto"/>
      <w:ind w:right="360" w:firstLine="0" w:firstLineChars="0"/>
    </w:pPr>
    <w:rPr>
      <w:rFonts w:ascii="宋体" w:hAnsi="宋体" w:cs="Times New Roman"/>
      <w:sz w:val="18"/>
      <w:szCs w:val="18"/>
    </w:rPr>
  </w:style>
  <w:style w:type="paragraph" w:customStyle="1" w:styleId="1193">
    <w:name w:val="表格001"/>
    <w:basedOn w:val="1"/>
    <w:link w:val="1294"/>
    <w:uiPriority w:val="0"/>
    <w:pPr>
      <w:snapToGrid/>
      <w:spacing w:line="240" w:lineRule="auto"/>
      <w:ind w:firstLine="0" w:firstLineChars="0"/>
      <w:jc w:val="center"/>
    </w:pPr>
    <w:rPr>
      <w:sz w:val="21"/>
      <w:szCs w:val="20"/>
    </w:rPr>
  </w:style>
  <w:style w:type="paragraph" w:customStyle="1" w:styleId="1194">
    <w:name w:val="样式 样式 正文首行缩进 + 首行缩进:  2 字符 + 首行缩进:  2 字符"/>
    <w:basedOn w:val="1"/>
    <w:autoRedefine/>
    <w:qFormat/>
    <w:uiPriority w:val="0"/>
    <w:pPr>
      <w:topLinePunct/>
      <w:adjustRightInd w:val="0"/>
      <w:ind w:firstLine="0" w:firstLineChars="0"/>
      <w:jc w:val="both"/>
      <w:textAlignment w:val="baseline"/>
    </w:pPr>
    <w:rPr>
      <w:rFonts w:hAnsi="宋体" w:eastAsia="Times New Roman"/>
      <w:kern w:val="0"/>
      <w:szCs w:val="20"/>
    </w:rPr>
  </w:style>
  <w:style w:type="paragraph" w:customStyle="1" w:styleId="1195">
    <w:name w:val="td"/>
    <w:basedOn w:val="1"/>
    <w:autoRedefine/>
    <w:qFormat/>
    <w:uiPriority w:val="0"/>
    <w:pPr>
      <w:widowControl/>
      <w:snapToGrid/>
      <w:spacing w:beforeAutospacing="1" w:afterAutospacing="1" w:line="240" w:lineRule="auto"/>
      <w:ind w:firstLine="0" w:firstLineChars="0"/>
    </w:pPr>
    <w:rPr>
      <w:rFonts w:ascii="Arial Unicode MS" w:hAnsi="Arial Unicode MS" w:eastAsia="Arial Unicode MS" w:cs="Arial Unicode MS"/>
      <w:kern w:val="0"/>
    </w:rPr>
  </w:style>
  <w:style w:type="paragraph" w:customStyle="1" w:styleId="1196">
    <w:name w:val="样式 (符号) 宋体 小四 加粗 居中 行距: 1.5 倍行距"/>
    <w:basedOn w:val="1"/>
    <w:autoRedefine/>
    <w:qFormat/>
    <w:uiPriority w:val="0"/>
    <w:pPr>
      <w:snapToGrid/>
      <w:ind w:firstLine="482"/>
      <w:jc w:val="center"/>
    </w:pPr>
    <w:rPr>
      <w:rFonts w:cs="宋体"/>
      <w:bCs/>
      <w:sz w:val="21"/>
      <w:szCs w:val="21"/>
    </w:rPr>
  </w:style>
  <w:style w:type="paragraph" w:customStyle="1" w:styleId="1197">
    <w:name w:val="style6 style23"/>
    <w:basedOn w:val="1"/>
    <w:autoRedefine/>
    <w:qFormat/>
    <w:uiPriority w:val="0"/>
    <w:pPr>
      <w:widowControl/>
      <w:snapToGrid/>
      <w:spacing w:beforeAutospacing="1" w:afterAutospacing="1" w:line="240" w:lineRule="auto"/>
      <w:ind w:firstLine="0" w:firstLineChars="0"/>
    </w:pPr>
    <w:rPr>
      <w:rFonts w:ascii="宋体" w:hAnsi="宋体" w:cs="宋体"/>
      <w:kern w:val="0"/>
    </w:rPr>
  </w:style>
  <w:style w:type="paragraph" w:customStyle="1" w:styleId="1198">
    <w:name w:val="unnamed2"/>
    <w:basedOn w:val="1"/>
    <w:autoRedefine/>
    <w:qFormat/>
    <w:uiPriority w:val="0"/>
    <w:pPr>
      <w:widowControl/>
      <w:snapToGrid/>
      <w:spacing w:beforeAutospacing="1" w:afterAutospacing="1" w:line="300" w:lineRule="atLeast"/>
      <w:ind w:firstLine="0" w:firstLineChars="0"/>
    </w:pPr>
    <w:rPr>
      <w:rFonts w:ascii="宋体" w:hAnsi="宋体" w:cs="宋体"/>
      <w:color w:val="666666"/>
      <w:kern w:val="0"/>
      <w:sz w:val="18"/>
      <w:szCs w:val="18"/>
    </w:rPr>
  </w:style>
  <w:style w:type="paragraph" w:customStyle="1" w:styleId="1199">
    <w:name w:val="1表格"/>
    <w:basedOn w:val="1"/>
    <w:autoRedefine/>
    <w:qFormat/>
    <w:uiPriority w:val="0"/>
    <w:pPr>
      <w:spacing w:line="240" w:lineRule="auto"/>
      <w:ind w:firstLine="0" w:firstLineChars="0"/>
      <w:jc w:val="center"/>
      <w:outlineLvl w:val="4"/>
    </w:pPr>
    <w:rPr>
      <w:spacing w:val="4"/>
      <w:sz w:val="21"/>
    </w:rPr>
  </w:style>
  <w:style w:type="paragraph" w:customStyle="1" w:styleId="1200">
    <w:name w:val="列表1"/>
    <w:basedOn w:val="1"/>
    <w:next w:val="66"/>
    <w:autoRedefine/>
    <w:qFormat/>
    <w:uiPriority w:val="0"/>
    <w:pPr>
      <w:snapToGrid/>
      <w:spacing w:line="240" w:lineRule="exact"/>
      <w:ind w:firstLine="0" w:firstLineChars="0"/>
      <w:jc w:val="center"/>
    </w:pPr>
    <w:rPr>
      <w:rFonts w:ascii="宋体" w:hAnsi="宋体"/>
      <w:szCs w:val="20"/>
    </w:rPr>
  </w:style>
  <w:style w:type="paragraph" w:customStyle="1" w:styleId="1201">
    <w:name w:val="5文章(治)"/>
    <w:basedOn w:val="1"/>
    <w:qFormat/>
    <w:uiPriority w:val="0"/>
    <w:pPr>
      <w:snapToGrid/>
      <w:jc w:val="both"/>
    </w:pPr>
  </w:style>
  <w:style w:type="paragraph" w:customStyle="1" w:styleId="1202">
    <w:name w:val="Char Char1 Char Char Char Char Char Char Char Char Char Char Char Char Char Char Char Char Char Char"/>
    <w:basedOn w:val="1"/>
    <w:autoRedefine/>
    <w:uiPriority w:val="0"/>
    <w:pPr>
      <w:snapToGrid/>
      <w:ind w:firstLine="200"/>
      <w:jc w:val="both"/>
    </w:pPr>
    <w:rPr>
      <w:rFonts w:ascii="宋体" w:hAnsi="宋体" w:cs="宋体"/>
    </w:rPr>
  </w:style>
  <w:style w:type="paragraph" w:customStyle="1" w:styleId="1203">
    <w:name w:val="样式 样式 样式 样式1 + 宋体 小四 + 首行缩进:  2 字符 + 宋体"/>
    <w:basedOn w:val="1204"/>
    <w:autoRedefine/>
    <w:qFormat/>
    <w:uiPriority w:val="0"/>
  </w:style>
  <w:style w:type="paragraph" w:customStyle="1" w:styleId="1204">
    <w:name w:val="样式 样式 样式1 + 宋体 小四 + 首行缩进:  2 字符"/>
    <w:basedOn w:val="1205"/>
    <w:autoRedefine/>
    <w:qFormat/>
    <w:uiPriority w:val="0"/>
    <w:pPr>
      <w:ind w:firstLine="480"/>
    </w:pPr>
    <w:rPr>
      <w:rFonts w:ascii="Times New Roman" w:hAnsi="Times New Roman" w:cs="宋体"/>
      <w:szCs w:val="24"/>
    </w:rPr>
  </w:style>
  <w:style w:type="paragraph" w:customStyle="1" w:styleId="1205">
    <w:name w:val="样式 样式1 + 宋体 小四"/>
    <w:basedOn w:val="288"/>
    <w:autoRedefine/>
    <w:qFormat/>
    <w:uiPriority w:val="0"/>
    <w:pPr>
      <w:keepNext/>
      <w:keepLines/>
      <w:widowControl/>
      <w:spacing w:before="340" w:after="330" w:line="360" w:lineRule="auto"/>
      <w:ind w:firstLine="200" w:firstLineChars="200"/>
      <w:jc w:val="left"/>
      <w:outlineLvl w:val="0"/>
    </w:pPr>
    <w:rPr>
      <w:rFonts w:ascii="宋体" w:hAnsi="宋体"/>
      <w:kern w:val="0"/>
      <w:szCs w:val="30"/>
    </w:rPr>
  </w:style>
  <w:style w:type="paragraph" w:customStyle="1" w:styleId="1206">
    <w:name w:val="BG5"/>
    <w:basedOn w:val="1"/>
    <w:autoRedefine/>
    <w:qFormat/>
    <w:uiPriority w:val="0"/>
    <w:pPr>
      <w:autoSpaceDE w:val="0"/>
      <w:autoSpaceDN w:val="0"/>
      <w:adjustRightInd w:val="0"/>
      <w:snapToGrid/>
      <w:spacing w:line="200" w:lineRule="exact"/>
      <w:ind w:firstLine="0" w:firstLineChars="0"/>
      <w:jc w:val="center"/>
      <w:textAlignment w:val="baseline"/>
    </w:pPr>
    <w:rPr>
      <w:rFonts w:ascii="@宋体"/>
      <w:kern w:val="0"/>
      <w:sz w:val="21"/>
      <w:szCs w:val="20"/>
    </w:rPr>
  </w:style>
  <w:style w:type="paragraph" w:customStyle="1" w:styleId="1207">
    <w:name w:val="样式 样式1 + 宋体 小四2"/>
    <w:basedOn w:val="288"/>
    <w:link w:val="1288"/>
    <w:autoRedefine/>
    <w:qFormat/>
    <w:uiPriority w:val="0"/>
    <w:pPr>
      <w:keepNext/>
      <w:keepLines/>
      <w:widowControl/>
      <w:spacing w:before="340" w:after="330" w:line="360" w:lineRule="auto"/>
      <w:ind w:firstLine="200" w:firstLineChars="200"/>
      <w:jc w:val="left"/>
      <w:outlineLvl w:val="0"/>
    </w:pPr>
    <w:rPr>
      <w:spacing w:val="-2"/>
      <w:kern w:val="0"/>
      <w:szCs w:val="30"/>
    </w:rPr>
  </w:style>
  <w:style w:type="paragraph" w:customStyle="1" w:styleId="1208">
    <w:name w:val="bg"/>
    <w:basedOn w:val="1"/>
    <w:uiPriority w:val="0"/>
    <w:pPr>
      <w:widowControl/>
      <w:snapToGrid/>
      <w:spacing w:line="240" w:lineRule="auto"/>
      <w:ind w:firstLine="0" w:firstLineChars="0"/>
      <w:jc w:val="both"/>
    </w:pPr>
    <w:rPr>
      <w:kern w:val="0"/>
      <w:szCs w:val="20"/>
    </w:rPr>
  </w:style>
  <w:style w:type="paragraph" w:customStyle="1" w:styleId="1209">
    <w:name w:val="a2"/>
    <w:basedOn w:val="1"/>
    <w:autoRedefine/>
    <w:qFormat/>
    <w:uiPriority w:val="0"/>
    <w:pPr>
      <w:snapToGrid/>
      <w:spacing w:beforeLines="50" w:line="240" w:lineRule="auto"/>
      <w:ind w:firstLine="0" w:firstLineChars="0"/>
      <w:outlineLvl w:val="1"/>
    </w:pPr>
    <w:rPr>
      <w:rFonts w:eastAsia="楷体_GB2312"/>
      <w:b/>
      <w:sz w:val="28"/>
      <w:szCs w:val="28"/>
    </w:rPr>
  </w:style>
  <w:style w:type="paragraph" w:customStyle="1" w:styleId="1210">
    <w:name w:val="样式 样式1 + (西文) Times New Roman (中文) 宋体 小四 非加粗"/>
    <w:basedOn w:val="288"/>
    <w:next w:val="288"/>
    <w:link w:val="1335"/>
    <w:autoRedefine/>
    <w:qFormat/>
    <w:uiPriority w:val="0"/>
    <w:pPr>
      <w:keepNext/>
      <w:keepLines/>
      <w:widowControl/>
      <w:spacing w:before="340" w:after="330" w:line="360" w:lineRule="auto"/>
      <w:ind w:firstLine="200" w:firstLineChars="200"/>
      <w:jc w:val="left"/>
      <w:outlineLvl w:val="0"/>
    </w:pPr>
    <w:rPr>
      <w:b/>
    </w:rPr>
  </w:style>
  <w:style w:type="paragraph" w:customStyle="1" w:styleId="1211">
    <w:name w:val="1级标题"/>
    <w:basedOn w:val="1"/>
    <w:autoRedefine/>
    <w:uiPriority w:val="0"/>
    <w:pPr>
      <w:snapToGrid/>
      <w:spacing w:line="460" w:lineRule="exact"/>
      <w:ind w:firstLine="0" w:firstLineChars="0"/>
      <w:jc w:val="both"/>
      <w:outlineLvl w:val="0"/>
    </w:pPr>
    <w:rPr>
      <w:rFonts w:ascii="Arial" w:hAnsi="Arial"/>
      <w:b/>
      <w:color w:val="000000"/>
      <w:sz w:val="36"/>
    </w:rPr>
  </w:style>
  <w:style w:type="paragraph" w:customStyle="1" w:styleId="1212">
    <w:name w:val="正文0001"/>
    <w:basedOn w:val="86"/>
    <w:autoRedefine/>
    <w:qFormat/>
    <w:uiPriority w:val="0"/>
    <w:pPr>
      <w:spacing w:line="360" w:lineRule="auto"/>
    </w:pPr>
    <w:rPr>
      <w:color w:val="auto"/>
      <w:szCs w:val="20"/>
    </w:rPr>
  </w:style>
  <w:style w:type="paragraph" w:customStyle="1" w:styleId="1213">
    <w:name w:val="xz3"/>
    <w:basedOn w:val="1"/>
    <w:uiPriority w:val="0"/>
    <w:pPr>
      <w:snapToGrid/>
      <w:spacing w:beforeLines="50" w:line="240" w:lineRule="auto"/>
      <w:ind w:firstLine="0" w:firstLineChars="0"/>
      <w:outlineLvl w:val="2"/>
    </w:pPr>
    <w:rPr>
      <w:rFonts w:ascii="楷体_GB2312" w:eastAsia="楷体_GB2312"/>
      <w:b/>
      <w:sz w:val="30"/>
      <w:szCs w:val="32"/>
    </w:rPr>
  </w:style>
  <w:style w:type="paragraph" w:customStyle="1" w:styleId="1214">
    <w:name w:val="无缩进正文"/>
    <w:basedOn w:val="1"/>
    <w:autoRedefine/>
    <w:qFormat/>
    <w:uiPriority w:val="0"/>
    <w:pPr>
      <w:adjustRightInd w:val="0"/>
      <w:spacing w:line="288" w:lineRule="auto"/>
      <w:ind w:firstLine="0" w:firstLineChars="0"/>
      <w:jc w:val="center"/>
    </w:pPr>
    <w:rPr>
      <w:kern w:val="0"/>
      <w:sz w:val="21"/>
    </w:rPr>
  </w:style>
  <w:style w:type="paragraph" w:customStyle="1" w:styleId="1215">
    <w:name w:val="样式 小四 加粗 居中 行距: 1.5 倍行距"/>
    <w:basedOn w:val="1"/>
    <w:autoRedefine/>
    <w:qFormat/>
    <w:uiPriority w:val="0"/>
    <w:pPr>
      <w:snapToGrid/>
      <w:ind w:firstLine="0" w:firstLineChars="0"/>
      <w:jc w:val="center"/>
    </w:pPr>
    <w:rPr>
      <w:rFonts w:cs="宋体"/>
      <w:bCs/>
      <w:sz w:val="21"/>
      <w:szCs w:val="21"/>
    </w:rPr>
  </w:style>
  <w:style w:type="paragraph" w:customStyle="1" w:styleId="1216">
    <w:name w:val="a表格"/>
    <w:basedOn w:val="1"/>
    <w:autoRedefine/>
    <w:qFormat/>
    <w:uiPriority w:val="0"/>
    <w:pPr>
      <w:spacing w:line="240" w:lineRule="auto"/>
      <w:ind w:firstLine="0" w:firstLineChars="0"/>
      <w:jc w:val="center"/>
      <w:outlineLvl w:val="2"/>
    </w:pPr>
    <w:rPr>
      <w:sz w:val="21"/>
      <w:szCs w:val="30"/>
    </w:rPr>
  </w:style>
  <w:style w:type="paragraph" w:customStyle="1" w:styleId="1217">
    <w:name w:val="Char Char Char Char Char Char1 Char Char Char Char"/>
    <w:basedOn w:val="1"/>
    <w:autoRedefine/>
    <w:qFormat/>
    <w:uiPriority w:val="0"/>
    <w:pPr>
      <w:snapToGrid/>
      <w:spacing w:line="240" w:lineRule="auto"/>
      <w:ind w:firstLine="0" w:firstLineChars="0"/>
      <w:jc w:val="both"/>
    </w:pPr>
  </w:style>
  <w:style w:type="paragraph" w:customStyle="1" w:styleId="1218">
    <w:name w:val="表内"/>
    <w:basedOn w:val="1"/>
    <w:link w:val="1299"/>
    <w:autoRedefine/>
    <w:uiPriority w:val="0"/>
    <w:pPr>
      <w:snapToGrid/>
      <w:spacing w:line="240" w:lineRule="auto"/>
      <w:ind w:firstLine="0" w:firstLineChars="0"/>
      <w:jc w:val="center"/>
    </w:pPr>
    <w:rPr>
      <w:sz w:val="21"/>
    </w:rPr>
  </w:style>
  <w:style w:type="paragraph" w:customStyle="1" w:styleId="1219">
    <w:name w:val="黄小林图题"/>
    <w:basedOn w:val="1"/>
    <w:qFormat/>
    <w:uiPriority w:val="0"/>
    <w:pPr>
      <w:snapToGrid/>
      <w:spacing w:line="240" w:lineRule="auto"/>
      <w:ind w:firstLine="0" w:firstLineChars="0"/>
      <w:jc w:val="center"/>
      <w:outlineLvl w:val="0"/>
    </w:pPr>
    <w:rPr>
      <w:sz w:val="28"/>
      <w:szCs w:val="20"/>
    </w:rPr>
  </w:style>
  <w:style w:type="paragraph" w:customStyle="1" w:styleId="1220">
    <w:name w:val="编号1"/>
    <w:basedOn w:val="1"/>
    <w:uiPriority w:val="0"/>
    <w:pPr>
      <w:tabs>
        <w:tab w:val="left" w:pos="1230"/>
      </w:tabs>
      <w:snapToGrid/>
      <w:spacing w:line="240" w:lineRule="auto"/>
      <w:ind w:left="1230" w:hanging="600" w:firstLineChars="0"/>
      <w:jc w:val="both"/>
    </w:pPr>
    <w:rPr>
      <w:sz w:val="21"/>
      <w:szCs w:val="20"/>
    </w:rPr>
  </w:style>
  <w:style w:type="paragraph" w:customStyle="1" w:styleId="1221">
    <w:name w:val="样式22"/>
    <w:basedOn w:val="1"/>
    <w:autoRedefine/>
    <w:qFormat/>
    <w:uiPriority w:val="0"/>
    <w:pPr>
      <w:pBdr>
        <w:bottom w:val="thinThickSmallGap" w:color="auto" w:sz="18" w:space="1"/>
      </w:pBdr>
      <w:snapToGrid/>
      <w:spacing w:line="240" w:lineRule="auto"/>
      <w:ind w:firstLine="0" w:firstLineChars="0"/>
      <w:jc w:val="center"/>
    </w:pPr>
    <w:rPr>
      <w:sz w:val="18"/>
      <w:szCs w:val="18"/>
    </w:rPr>
  </w:style>
  <w:style w:type="paragraph" w:customStyle="1" w:styleId="1222">
    <w:name w:val="样式 (中文) 仿宋_GB2312 小四 行距: 1.5 倍行距1"/>
    <w:basedOn w:val="1"/>
    <w:autoRedefine/>
    <w:qFormat/>
    <w:uiPriority w:val="0"/>
    <w:pPr>
      <w:snapToGrid/>
      <w:jc w:val="both"/>
    </w:pPr>
    <w:rPr>
      <w:rFonts w:cs="宋体"/>
      <w:szCs w:val="20"/>
    </w:rPr>
  </w:style>
  <w:style w:type="paragraph" w:customStyle="1" w:styleId="1223">
    <w:name w:val="样式 (中文) 仿宋_GB2312 小四 加粗 行距: 1.5 倍行距"/>
    <w:basedOn w:val="1"/>
    <w:autoRedefine/>
    <w:qFormat/>
    <w:uiPriority w:val="0"/>
    <w:pPr>
      <w:snapToGrid/>
      <w:ind w:firstLine="482"/>
      <w:jc w:val="both"/>
    </w:pPr>
    <w:rPr>
      <w:rFonts w:cs="宋体"/>
      <w:b/>
      <w:bCs/>
      <w:szCs w:val="20"/>
    </w:rPr>
  </w:style>
  <w:style w:type="paragraph" w:customStyle="1" w:styleId="1224">
    <w:name w:val="样式 正文001 + 首行缩进:  2 字符1"/>
    <w:basedOn w:val="1"/>
    <w:autoRedefine/>
    <w:qFormat/>
    <w:uiPriority w:val="0"/>
    <w:pPr>
      <w:snapToGrid/>
      <w:spacing w:line="460" w:lineRule="exact"/>
      <w:jc w:val="both"/>
    </w:pPr>
    <w:rPr>
      <w:szCs w:val="20"/>
    </w:rPr>
  </w:style>
  <w:style w:type="paragraph" w:customStyle="1" w:styleId="1225">
    <w:name w:val="样式20"/>
    <w:basedOn w:val="1099"/>
    <w:uiPriority w:val="0"/>
    <w:pPr>
      <w:widowControl/>
      <w:tabs>
        <w:tab w:val="clear" w:pos="616"/>
      </w:tabs>
      <w:adjustRightInd/>
      <w:snapToGrid/>
      <w:spacing w:line="240" w:lineRule="auto"/>
      <w:jc w:val="center"/>
      <w:outlineLvl w:val="9"/>
    </w:pPr>
    <w:rPr>
      <w:rFonts w:eastAsia="仿宋_GB2312"/>
      <w:b w:val="0"/>
      <w:kern w:val="0"/>
      <w:sz w:val="21"/>
      <w:szCs w:val="24"/>
    </w:rPr>
  </w:style>
  <w:style w:type="paragraph" w:customStyle="1" w:styleId="1226">
    <w:name w:val="(a表格标题"/>
    <w:basedOn w:val="1"/>
    <w:autoRedefine/>
    <w:qFormat/>
    <w:uiPriority w:val="0"/>
    <w:pPr>
      <w:snapToGrid/>
      <w:spacing w:line="240" w:lineRule="auto"/>
      <w:ind w:firstLine="0" w:firstLineChars="0"/>
      <w:jc w:val="center"/>
    </w:pPr>
    <w:rPr>
      <w:rFonts w:eastAsia="黑体"/>
      <w:b/>
      <w:color w:val="000000"/>
      <w:sz w:val="21"/>
      <w:szCs w:val="21"/>
    </w:rPr>
  </w:style>
  <w:style w:type="paragraph" w:customStyle="1" w:styleId="1227">
    <w:name w:val="reader-word-layer reader-word-s2-5"/>
    <w:basedOn w:val="1"/>
    <w:autoRedefine/>
    <w:qFormat/>
    <w:uiPriority w:val="0"/>
    <w:pPr>
      <w:widowControl/>
      <w:snapToGrid/>
      <w:spacing w:beforeAutospacing="1" w:afterAutospacing="1" w:line="240" w:lineRule="auto"/>
      <w:ind w:firstLine="0" w:firstLineChars="0"/>
    </w:pPr>
    <w:rPr>
      <w:rFonts w:ascii="宋体" w:hAnsi="宋体" w:cs="宋体"/>
      <w:kern w:val="0"/>
    </w:rPr>
  </w:style>
  <w:style w:type="paragraph" w:customStyle="1" w:styleId="1228">
    <w:name w:val="注解"/>
    <w:basedOn w:val="21"/>
    <w:autoRedefine/>
    <w:qFormat/>
    <w:uiPriority w:val="0"/>
    <w:pPr>
      <w:spacing w:line="360" w:lineRule="exact"/>
      <w:ind w:firstLine="200"/>
    </w:pPr>
    <w:rPr>
      <w:sz w:val="21"/>
      <w:szCs w:val="24"/>
    </w:rPr>
  </w:style>
  <w:style w:type="paragraph" w:customStyle="1" w:styleId="1229">
    <w:name w:val="内容小标题"/>
    <w:basedOn w:val="1"/>
    <w:link w:val="1307"/>
    <w:uiPriority w:val="0"/>
    <w:pPr>
      <w:snapToGrid/>
      <w:ind w:firstLine="0" w:firstLineChars="0"/>
    </w:pPr>
    <w:rPr>
      <w:b/>
    </w:rPr>
  </w:style>
  <w:style w:type="paragraph" w:customStyle="1" w:styleId="1230">
    <w:name w:val="Char Char Char2 Char"/>
    <w:basedOn w:val="1"/>
    <w:autoRedefine/>
    <w:qFormat/>
    <w:uiPriority w:val="0"/>
    <w:pPr>
      <w:tabs>
        <w:tab w:val="left" w:pos="1230"/>
      </w:tabs>
      <w:snapToGrid/>
      <w:spacing w:line="240" w:lineRule="auto"/>
      <w:ind w:left="1230" w:hanging="600" w:firstLineChars="0"/>
      <w:jc w:val="both"/>
    </w:pPr>
    <w:rPr>
      <w:sz w:val="21"/>
    </w:rPr>
  </w:style>
  <w:style w:type="paragraph" w:customStyle="1" w:styleId="1231">
    <w:name w:val="2级标题"/>
    <w:basedOn w:val="1"/>
    <w:link w:val="1873"/>
    <w:autoRedefine/>
    <w:qFormat/>
    <w:uiPriority w:val="0"/>
    <w:pPr>
      <w:snapToGrid/>
      <w:ind w:firstLine="0" w:firstLineChars="0"/>
      <w:jc w:val="both"/>
      <w:outlineLvl w:val="1"/>
    </w:pPr>
    <w:rPr>
      <w:rFonts w:ascii="Arial" w:hAnsi="Arial"/>
      <w:b/>
      <w:color w:val="000000"/>
      <w:sz w:val="30"/>
    </w:rPr>
  </w:style>
  <w:style w:type="paragraph" w:customStyle="1" w:styleId="1232">
    <w:name w:val="reader-word-layer reader-word-s1-13"/>
    <w:basedOn w:val="1"/>
    <w:autoRedefine/>
    <w:qFormat/>
    <w:uiPriority w:val="0"/>
    <w:pPr>
      <w:widowControl/>
      <w:snapToGrid/>
      <w:spacing w:beforeAutospacing="1" w:afterAutospacing="1" w:line="240" w:lineRule="auto"/>
      <w:ind w:firstLine="0" w:firstLineChars="0"/>
    </w:pPr>
    <w:rPr>
      <w:rFonts w:ascii="宋体" w:hAnsi="宋体" w:cs="宋体"/>
      <w:kern w:val="0"/>
    </w:rPr>
  </w:style>
  <w:style w:type="paragraph" w:customStyle="1" w:styleId="1233">
    <w:name w:val="zzzzzzz"/>
    <w:basedOn w:val="87"/>
    <w:next w:val="87"/>
    <w:link w:val="1300"/>
    <w:qFormat/>
    <w:uiPriority w:val="0"/>
    <w:pPr>
      <w:spacing w:line="360" w:lineRule="auto"/>
      <w:ind w:firstLine="200" w:firstLineChars="200"/>
    </w:pPr>
    <w:rPr>
      <w:rFonts w:ascii="Times New Roman" w:hAnsi="Times New Roman" w:eastAsia="宋体"/>
      <w:szCs w:val="20"/>
    </w:rPr>
  </w:style>
  <w:style w:type="paragraph" w:customStyle="1" w:styleId="1234">
    <w:name w:val="样式 正文缩进 + 仿宋_GB2312 首行缩进:  0.99 厘米 行距: 固定值 25 磅"/>
    <w:basedOn w:val="21"/>
    <w:autoRedefine/>
    <w:qFormat/>
    <w:uiPriority w:val="0"/>
    <w:pPr>
      <w:ind w:firstLine="560"/>
    </w:pPr>
    <w:rPr>
      <w:rFonts w:ascii="仿宋_GB2312" w:eastAsia="仿宋_GB2312"/>
      <w:sz w:val="28"/>
    </w:rPr>
  </w:style>
  <w:style w:type="paragraph" w:customStyle="1" w:styleId="1235">
    <w:name w:val="样式 标题 1 + Times New Roman"/>
    <w:basedOn w:val="3"/>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236">
    <w:name w:val="p0"/>
    <w:basedOn w:val="1"/>
    <w:autoRedefine/>
    <w:qFormat/>
    <w:uiPriority w:val="0"/>
    <w:pPr>
      <w:snapToGrid/>
      <w:spacing w:line="240" w:lineRule="auto"/>
      <w:ind w:firstLine="0" w:firstLineChars="0"/>
      <w:jc w:val="both"/>
    </w:pPr>
    <w:rPr>
      <w:sz w:val="20"/>
      <w:szCs w:val="20"/>
    </w:rPr>
  </w:style>
  <w:style w:type="paragraph" w:customStyle="1" w:styleId="1237">
    <w:name w:val="金光华文本正文"/>
    <w:basedOn w:val="1"/>
    <w:qFormat/>
    <w:uiPriority w:val="0"/>
    <w:pPr>
      <w:widowControl/>
      <w:tabs>
        <w:tab w:val="left" w:pos="6840"/>
      </w:tabs>
      <w:snapToGrid/>
      <w:ind w:firstLine="510" w:firstLineChars="0"/>
    </w:pPr>
    <w:rPr>
      <w:rFonts w:ascii="宋体" w:hAnsi="宋体"/>
    </w:rPr>
  </w:style>
  <w:style w:type="paragraph" w:customStyle="1" w:styleId="1238">
    <w:name w:val="正文文本 21"/>
    <w:basedOn w:val="1"/>
    <w:autoRedefine/>
    <w:qFormat/>
    <w:uiPriority w:val="0"/>
    <w:pPr>
      <w:autoSpaceDE w:val="0"/>
      <w:autoSpaceDN w:val="0"/>
      <w:adjustRightInd w:val="0"/>
      <w:snapToGrid/>
      <w:spacing w:line="360" w:lineRule="atLeast"/>
      <w:ind w:firstLine="425" w:firstLineChars="0"/>
      <w:jc w:val="both"/>
      <w:textAlignment w:val="baseline"/>
    </w:pPr>
    <w:rPr>
      <w:rFonts w:ascii="宋体" w:hAnsi="Tms Rmn"/>
      <w:kern w:val="0"/>
      <w:sz w:val="28"/>
      <w:szCs w:val="20"/>
    </w:rPr>
  </w:style>
  <w:style w:type="paragraph" w:customStyle="1" w:styleId="1239">
    <w:name w:val="标准-(1)"/>
    <w:basedOn w:val="1"/>
    <w:autoRedefine/>
    <w:qFormat/>
    <w:uiPriority w:val="0"/>
    <w:pPr>
      <w:widowControl/>
      <w:tabs>
        <w:tab w:val="left" w:pos="5325"/>
      </w:tabs>
      <w:adjustRightInd w:val="0"/>
      <w:ind w:firstLine="397" w:firstLineChars="0"/>
      <w:outlineLvl w:val="5"/>
    </w:pPr>
    <w:rPr>
      <w:rFonts w:ascii="宋体" w:hAnsi="宋体"/>
      <w:kern w:val="0"/>
      <w:szCs w:val="20"/>
    </w:rPr>
  </w:style>
  <w:style w:type="paragraph" w:customStyle="1" w:styleId="1240">
    <w:name w:val="小四宋居中1.0"/>
    <w:basedOn w:val="1"/>
    <w:next w:val="1"/>
    <w:autoRedefine/>
    <w:qFormat/>
    <w:uiPriority w:val="0"/>
    <w:pPr>
      <w:snapToGrid/>
      <w:spacing w:line="400" w:lineRule="exact"/>
      <w:ind w:firstLine="0" w:firstLineChars="0"/>
      <w:jc w:val="center"/>
    </w:pPr>
    <w:rPr>
      <w:rFonts w:ascii="楷体_GB2312" w:eastAsia="楷体_GB2312"/>
    </w:rPr>
  </w:style>
  <w:style w:type="paragraph" w:customStyle="1" w:styleId="1241">
    <w:name w:val="表格下方正文"/>
    <w:basedOn w:val="21"/>
    <w:uiPriority w:val="0"/>
    <w:pPr>
      <w:spacing w:line="460" w:lineRule="exact"/>
      <w:ind w:firstLine="200"/>
    </w:pPr>
    <w:rPr>
      <w:szCs w:val="24"/>
    </w:rPr>
  </w:style>
  <w:style w:type="paragraph" w:customStyle="1" w:styleId="1242">
    <w:name w:val="默认段落字体 Para Char Char Char Char Char Char Char"/>
    <w:basedOn w:val="1"/>
    <w:uiPriority w:val="0"/>
    <w:pPr>
      <w:adjustRightInd w:val="0"/>
      <w:snapToGrid/>
      <w:ind w:left="200" w:hanging="200" w:hangingChars="200"/>
      <w:jc w:val="both"/>
      <w:textAlignment w:val="baseline"/>
    </w:pPr>
    <w:rPr>
      <w:kern w:val="0"/>
      <w:szCs w:val="20"/>
    </w:rPr>
  </w:style>
  <w:style w:type="paragraph" w:customStyle="1" w:styleId="1243">
    <w:name w:val="3级标题"/>
    <w:basedOn w:val="1"/>
    <w:link w:val="1872"/>
    <w:uiPriority w:val="0"/>
    <w:pPr>
      <w:snapToGrid/>
      <w:ind w:firstLine="0" w:firstLineChars="0"/>
      <w:jc w:val="both"/>
      <w:outlineLvl w:val="2"/>
    </w:pPr>
    <w:rPr>
      <w:rFonts w:ascii="Arial" w:hAnsi="Arial"/>
      <w:b/>
      <w:color w:val="000000"/>
      <w:sz w:val="28"/>
    </w:rPr>
  </w:style>
  <w:style w:type="paragraph" w:customStyle="1" w:styleId="1244">
    <w:name w:val="a2-l style231"/>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1245">
    <w:name w:val="缩絖"/>
    <w:basedOn w:val="34"/>
    <w:autoRedefine/>
    <w:uiPriority w:val="0"/>
    <w:pPr>
      <w:widowControl w:val="0"/>
      <w:adjustRightInd w:val="0"/>
      <w:snapToGrid/>
      <w:spacing w:before="0" w:after="120" w:line="312" w:lineRule="atLeast"/>
      <w:ind w:right="0" w:firstLine="420" w:firstLineChars="0"/>
      <w:jc w:val="both"/>
      <w:textAlignment w:val="baseline"/>
    </w:pPr>
    <w:rPr>
      <w:sz w:val="27"/>
    </w:rPr>
  </w:style>
  <w:style w:type="paragraph" w:customStyle="1" w:styleId="1246">
    <w:name w:val="样式 样式 仿宋_GB2312 四号 黑色 首行缩进:  0.99 厘米 行距: 1.5 倍行距 + 首行缩进:  2 字符 Char"/>
    <w:basedOn w:val="1"/>
    <w:uiPriority w:val="0"/>
    <w:pPr>
      <w:snapToGrid/>
      <w:jc w:val="center"/>
    </w:pPr>
    <w:rPr>
      <w:rFonts w:ascii="宋体" w:hAnsi="宋体"/>
    </w:rPr>
  </w:style>
  <w:style w:type="paragraph" w:customStyle="1" w:styleId="1247">
    <w:name w:val="表图题"/>
    <w:basedOn w:val="1"/>
    <w:uiPriority w:val="0"/>
    <w:pPr>
      <w:snapToGrid/>
      <w:spacing w:line="440" w:lineRule="exact"/>
      <w:ind w:firstLine="0" w:firstLineChars="0"/>
      <w:jc w:val="center"/>
    </w:pPr>
    <w:rPr>
      <w:rFonts w:eastAsia="华文细黑"/>
      <w:b/>
      <w:sz w:val="21"/>
      <w:szCs w:val="28"/>
    </w:rPr>
  </w:style>
  <w:style w:type="paragraph" w:customStyle="1" w:styleId="1248">
    <w:name w:val="标题01"/>
    <w:basedOn w:val="3"/>
    <w:next w:val="1"/>
    <w:uiPriority w:val="0"/>
    <w:pPr>
      <w:keepNext/>
      <w:keepLines/>
      <w:numPr>
        <w:ilvl w:val="0"/>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249">
    <w:name w:val="bt3"/>
    <w:basedOn w:val="5"/>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250">
    <w:name w:val="项目编号"/>
    <w:basedOn w:val="1"/>
    <w:next w:val="1"/>
    <w:uiPriority w:val="0"/>
    <w:pPr>
      <w:snapToGrid/>
      <w:ind w:firstLine="0" w:firstLineChars="0"/>
      <w:jc w:val="both"/>
    </w:pPr>
    <w:rPr>
      <w:szCs w:val="20"/>
    </w:rPr>
  </w:style>
  <w:style w:type="paragraph" w:customStyle="1" w:styleId="1251">
    <w:name w:val="样式18"/>
    <w:basedOn w:val="1103"/>
    <w:uiPriority w:val="0"/>
    <w:pPr>
      <w:autoSpaceDE/>
      <w:autoSpaceDN/>
      <w:adjustRightInd/>
      <w:snapToGrid/>
      <w:spacing w:line="460" w:lineRule="exact"/>
      <w:ind w:firstLine="480" w:firstLineChars="200"/>
      <w:jc w:val="both"/>
    </w:pPr>
    <w:rPr>
      <w:color w:val="000000"/>
      <w:sz w:val="24"/>
      <w:szCs w:val="24"/>
    </w:rPr>
  </w:style>
  <w:style w:type="paragraph" w:customStyle="1" w:styleId="1252">
    <w:name w:val="标题003"/>
    <w:basedOn w:val="1"/>
    <w:autoRedefine/>
    <w:uiPriority w:val="0"/>
    <w:pPr>
      <w:snapToGrid/>
      <w:spacing w:beforeLines="100" w:line="240" w:lineRule="auto"/>
      <w:ind w:firstLine="0" w:firstLineChars="0"/>
      <w:jc w:val="both"/>
      <w:outlineLvl w:val="2"/>
    </w:pPr>
    <w:rPr>
      <w:rFonts w:ascii="宋体" w:hAnsi="宋体"/>
      <w:b/>
      <w:sz w:val="28"/>
      <w:szCs w:val="28"/>
    </w:rPr>
  </w:style>
  <w:style w:type="paragraph" w:customStyle="1" w:styleId="1253">
    <w:name w:val="三级标题"/>
    <w:basedOn w:val="676"/>
    <w:uiPriority w:val="0"/>
    <w:pPr>
      <w:spacing w:before="300"/>
      <w:ind w:firstLine="0" w:firstLineChars="0"/>
      <w:outlineLvl w:val="2"/>
    </w:pPr>
    <w:rPr>
      <w:rFonts w:ascii="Times New Roman" w:hAnsi="Times New Roman"/>
      <w:b/>
      <w:szCs w:val="24"/>
    </w:rPr>
  </w:style>
  <w:style w:type="paragraph" w:customStyle="1" w:styleId="1254">
    <w:name w:val="样式 内容 + 首行缩进:  2 字符"/>
    <w:basedOn w:val="1"/>
    <w:link w:val="1296"/>
    <w:uiPriority w:val="0"/>
    <w:pPr>
      <w:snapToGrid/>
    </w:pPr>
    <w:rPr>
      <w:rFonts w:cs="宋体"/>
      <w:szCs w:val="20"/>
    </w:rPr>
  </w:style>
  <w:style w:type="paragraph" w:customStyle="1" w:styleId="1255">
    <w:name w:val="报告表格"/>
    <w:basedOn w:val="1"/>
    <w:link w:val="1943"/>
    <w:uiPriority w:val="0"/>
    <w:pPr>
      <w:autoSpaceDE w:val="0"/>
      <w:autoSpaceDN w:val="0"/>
      <w:adjustRightInd w:val="0"/>
      <w:snapToGrid/>
      <w:spacing w:line="240" w:lineRule="auto"/>
      <w:ind w:firstLine="0" w:firstLineChars="0"/>
      <w:jc w:val="center"/>
      <w:textAlignment w:val="baseline"/>
    </w:pPr>
    <w:rPr>
      <w:kern w:val="0"/>
      <w:sz w:val="21"/>
      <w:szCs w:val="20"/>
    </w:rPr>
  </w:style>
  <w:style w:type="paragraph" w:customStyle="1" w:styleId="1256">
    <w:name w:val="xz2"/>
    <w:basedOn w:val="1"/>
    <w:autoRedefine/>
    <w:qFormat/>
    <w:uiPriority w:val="0"/>
    <w:pPr>
      <w:snapToGrid/>
      <w:spacing w:beforeLines="50" w:line="240" w:lineRule="auto"/>
      <w:ind w:firstLine="0" w:firstLineChars="0"/>
      <w:outlineLvl w:val="1"/>
    </w:pPr>
    <w:rPr>
      <w:rFonts w:ascii="楷体_GB2312" w:eastAsia="楷体_GB2312"/>
      <w:b/>
      <w:sz w:val="32"/>
      <w:szCs w:val="30"/>
    </w:rPr>
  </w:style>
  <w:style w:type="paragraph" w:customStyle="1" w:styleId="1257">
    <w:name w:val="图文框"/>
    <w:basedOn w:val="1"/>
    <w:uiPriority w:val="0"/>
    <w:pPr>
      <w:autoSpaceDE w:val="0"/>
      <w:autoSpaceDN w:val="0"/>
      <w:adjustRightInd w:val="0"/>
      <w:spacing w:line="320" w:lineRule="exact"/>
      <w:ind w:firstLine="0" w:firstLineChars="0"/>
      <w:jc w:val="center"/>
      <w:textAlignment w:val="baseline"/>
    </w:pPr>
    <w:rPr>
      <w:rFonts w:eastAsia="仿宋_GB2312"/>
      <w:kern w:val="0"/>
      <w:sz w:val="21"/>
      <w:szCs w:val="20"/>
    </w:rPr>
  </w:style>
  <w:style w:type="paragraph" w:customStyle="1" w:styleId="1258">
    <w:name w:val="样式 标题 2标题节标题节 Char标题节 Char Char标题 2 Char Char Char节标题 1.1标..."/>
    <w:basedOn w:val="4"/>
    <w:link w:val="1318"/>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259">
    <w:name w:val="样式 宋体 小四 首行缩进:  0.85 厘米 行距: 1.5 倍行距"/>
    <w:basedOn w:val="1"/>
    <w:uiPriority w:val="0"/>
    <w:pPr>
      <w:snapToGrid/>
      <w:ind w:firstLine="0" w:firstLineChars="0"/>
      <w:jc w:val="both"/>
    </w:pPr>
    <w:rPr>
      <w:rFonts w:cs="宋体"/>
      <w:szCs w:val="20"/>
    </w:rPr>
  </w:style>
  <w:style w:type="paragraph" w:customStyle="1" w:styleId="1260">
    <w:name w:val="自定义正文"/>
    <w:qFormat/>
    <w:uiPriority w:val="0"/>
    <w:pPr>
      <w:widowControl w:val="0"/>
      <w:adjustRightInd w:val="0"/>
      <w:snapToGrid w:val="0"/>
      <w:spacing w:line="360" w:lineRule="auto"/>
      <w:ind w:firstLine="510"/>
      <w:jc w:val="both"/>
    </w:pPr>
    <w:rPr>
      <w:rFonts w:ascii="Times New Roman" w:hAnsi="Times New Roman" w:eastAsia="宋体" w:cs="Times New Roman"/>
      <w:spacing w:val="-2"/>
      <w:kern w:val="2"/>
      <w:sz w:val="28"/>
      <w:szCs w:val="24"/>
      <w:lang w:val="en-US" w:eastAsia="zh-CN" w:bidi="ar-SA"/>
    </w:rPr>
  </w:style>
  <w:style w:type="paragraph" w:customStyle="1" w:styleId="1261">
    <w:name w:val="unnamed2 style11"/>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1262">
    <w:name w:val="Char Char Char Char Char Char1 Char Char Char Char Char Char Char Char Char Char Char Char1 Char Char Char Char Char Char Char Char Char Char Char Char Char"/>
    <w:basedOn w:val="1"/>
    <w:uiPriority w:val="0"/>
    <w:pPr>
      <w:snapToGrid/>
      <w:spacing w:line="240" w:lineRule="auto"/>
      <w:ind w:firstLine="0" w:firstLineChars="0"/>
      <w:jc w:val="both"/>
    </w:pPr>
  </w:style>
  <w:style w:type="paragraph" w:customStyle="1" w:styleId="1263">
    <w:name w:val="块引用"/>
    <w:basedOn w:val="1"/>
    <w:autoRedefine/>
    <w:uiPriority w:val="0"/>
    <w:pPr>
      <w:widowControl/>
      <w:pBdr>
        <w:top w:val="single" w:color="auto" w:sz="6" w:space="14"/>
        <w:left w:val="single" w:color="auto" w:sz="6" w:space="10"/>
        <w:bottom w:val="single" w:color="auto" w:sz="6" w:space="14"/>
        <w:right w:val="single" w:color="auto" w:sz="6" w:space="10"/>
      </w:pBdr>
      <w:snapToGrid/>
      <w:spacing w:beforeAutospacing="1" w:afterAutospacing="1"/>
      <w:ind w:left="210" w:leftChars="100" w:right="210" w:rightChars="100"/>
      <w:jc w:val="both"/>
    </w:pPr>
    <w:rPr>
      <w:rFonts w:ascii="Garamond" w:hAnsi="Garamond"/>
      <w:kern w:val="0"/>
      <w:szCs w:val="20"/>
    </w:rPr>
  </w:style>
  <w:style w:type="paragraph" w:customStyle="1" w:styleId="1264">
    <w:name w:val="样式 纯文本 + (符号) 宋体 13 磅 首行缩进:  0.92 厘米 行距: 固定值 27 磅"/>
    <w:basedOn w:val="1"/>
    <w:link w:val="1314"/>
    <w:uiPriority w:val="0"/>
    <w:pPr>
      <w:topLinePunct/>
      <w:snapToGrid/>
      <w:spacing w:line="540" w:lineRule="exact"/>
      <w:ind w:firstLine="522" w:firstLineChars="0"/>
      <w:jc w:val="both"/>
    </w:pPr>
    <w:rPr>
      <w:rFonts w:ascii="宋体" w:hAnsi="宋体" w:cs="宋体"/>
      <w:sz w:val="26"/>
      <w:szCs w:val="20"/>
    </w:rPr>
  </w:style>
  <w:style w:type="paragraph" w:customStyle="1" w:styleId="1265">
    <w:name w:val="样式 (中文) 仿宋_GB2312 小四 行距: 1.5 倍行距"/>
    <w:basedOn w:val="1"/>
    <w:uiPriority w:val="0"/>
    <w:pPr>
      <w:snapToGrid/>
      <w:ind w:firstLine="200"/>
      <w:jc w:val="both"/>
    </w:pPr>
    <w:rPr>
      <w:rFonts w:cs="宋体"/>
      <w:szCs w:val="20"/>
    </w:rPr>
  </w:style>
  <w:style w:type="paragraph" w:customStyle="1" w:styleId="1266">
    <w:name w:val="(a正文"/>
    <w:basedOn w:val="1"/>
    <w:link w:val="1330"/>
    <w:uiPriority w:val="0"/>
    <w:pPr>
      <w:snapToGrid/>
      <w:spacing w:line="440" w:lineRule="exact"/>
      <w:ind w:firstLine="200"/>
      <w:jc w:val="both"/>
    </w:pPr>
    <w:rPr>
      <w:rFonts w:eastAsia="仿宋_GB2312"/>
      <w:color w:val="000000"/>
    </w:rPr>
  </w:style>
  <w:style w:type="paragraph" w:customStyle="1" w:styleId="1267">
    <w:name w:val="Char Char Char Char Char Char3 Char Char Char Char Char Char Char"/>
    <w:basedOn w:val="1"/>
    <w:next w:val="1"/>
    <w:uiPriority w:val="0"/>
    <w:pPr>
      <w:snapToGrid/>
      <w:spacing w:line="240" w:lineRule="auto"/>
      <w:ind w:firstLine="0" w:firstLineChars="0"/>
      <w:jc w:val="both"/>
    </w:pPr>
    <w:rPr>
      <w:rFonts w:eastAsia="黑体"/>
      <w:sz w:val="28"/>
    </w:rPr>
  </w:style>
  <w:style w:type="paragraph" w:customStyle="1" w:styleId="1268">
    <w:name w:val="T正文"/>
    <w:uiPriority w:val="0"/>
    <w:pPr>
      <w:widowControl w:val="0"/>
      <w:adjustRightInd w:val="0"/>
      <w:snapToGrid w:val="0"/>
      <w:spacing w:line="360" w:lineRule="auto"/>
      <w:ind w:firstLine="200" w:firstLineChars="200"/>
      <w:jc w:val="both"/>
    </w:pPr>
    <w:rPr>
      <w:rFonts w:ascii="Times New Roman" w:hAnsi="Times New Roman" w:eastAsia="楷体_GB2312" w:cs="Times New Roman"/>
      <w:sz w:val="28"/>
      <w:lang w:val="en-US" w:eastAsia="zh-CN" w:bidi="ar-SA"/>
    </w:rPr>
  </w:style>
  <w:style w:type="paragraph" w:customStyle="1" w:styleId="1269">
    <w:name w:val="验收报告-正文列表1."/>
    <w:basedOn w:val="1"/>
    <w:uiPriority w:val="0"/>
    <w:pPr>
      <w:tabs>
        <w:tab w:val="left" w:pos="814"/>
      </w:tabs>
      <w:adjustRightInd w:val="0"/>
      <w:ind w:firstLine="454" w:firstLineChars="0"/>
      <w:outlineLvl w:val="8"/>
    </w:pPr>
    <w:rPr>
      <w:rFonts w:hint="eastAsia" w:ascii="宋体" w:hAnsi="宋体"/>
      <w:kern w:val="0"/>
      <w:sz w:val="28"/>
    </w:rPr>
  </w:style>
  <w:style w:type="paragraph" w:customStyle="1" w:styleId="1270">
    <w:name w:val="表001"/>
    <w:basedOn w:val="288"/>
    <w:qFormat/>
    <w:uiPriority w:val="0"/>
    <w:pPr>
      <w:keepNext/>
      <w:keepLines/>
      <w:spacing w:before="340" w:after="330" w:line="360" w:lineRule="auto"/>
      <w:jc w:val="center"/>
      <w:outlineLvl w:val="0"/>
    </w:pPr>
    <w:rPr>
      <w:szCs w:val="20"/>
    </w:rPr>
  </w:style>
  <w:style w:type="paragraph" w:customStyle="1" w:styleId="1271">
    <w:name w:val="样式 样式 样式 左  0 字符 首行缩进:  2 字符 + 首行缩进:  0 字符 + 首行缩进:  4 字符"/>
    <w:basedOn w:val="1"/>
    <w:uiPriority w:val="0"/>
    <w:pPr>
      <w:snapToGrid/>
      <w:ind w:firstLine="488" w:firstLineChars="0"/>
      <w:jc w:val="both"/>
    </w:pPr>
    <w:rPr>
      <w:color w:val="FF0000"/>
    </w:rPr>
  </w:style>
  <w:style w:type="paragraph" w:customStyle="1" w:styleId="1272">
    <w:name w:val="样式 (符号) 宋体 小四 加粗 居中 行距: 1.5 倍行距1"/>
    <w:basedOn w:val="1"/>
    <w:uiPriority w:val="0"/>
    <w:pPr>
      <w:snapToGrid/>
      <w:ind w:firstLine="0" w:firstLineChars="0"/>
      <w:jc w:val="center"/>
    </w:pPr>
    <w:rPr>
      <w:rFonts w:cs="宋体"/>
      <w:bCs/>
      <w:sz w:val="21"/>
      <w:szCs w:val="21"/>
    </w:rPr>
  </w:style>
  <w:style w:type="paragraph" w:customStyle="1" w:styleId="1273">
    <w:name w:val="reader-word-layer reader-word-s1-12"/>
    <w:basedOn w:val="1"/>
    <w:autoRedefine/>
    <w:uiPriority w:val="0"/>
    <w:pPr>
      <w:widowControl/>
      <w:snapToGrid/>
      <w:spacing w:beforeAutospacing="1" w:afterAutospacing="1" w:line="240" w:lineRule="auto"/>
      <w:ind w:firstLine="0" w:firstLineChars="0"/>
    </w:pPr>
    <w:rPr>
      <w:rFonts w:ascii="宋体" w:hAnsi="宋体" w:cs="宋体"/>
      <w:kern w:val="0"/>
    </w:rPr>
  </w:style>
  <w:style w:type="paragraph" w:customStyle="1" w:styleId="1274">
    <w:name w:val="段落"/>
    <w:basedOn w:val="1"/>
    <w:link w:val="2559"/>
    <w:uiPriority w:val="0"/>
    <w:pPr>
      <w:tabs>
        <w:tab w:val="left" w:pos="1021"/>
      </w:tabs>
      <w:adjustRightInd w:val="0"/>
      <w:snapToGrid/>
      <w:spacing w:line="300" w:lineRule="auto"/>
      <w:jc w:val="both"/>
    </w:pPr>
    <w:rPr>
      <w:kern w:val="24"/>
    </w:rPr>
  </w:style>
  <w:style w:type="paragraph" w:customStyle="1" w:styleId="1275">
    <w:name w:val="xz4"/>
    <w:basedOn w:val="1"/>
    <w:uiPriority w:val="0"/>
    <w:pPr>
      <w:snapToGrid/>
      <w:spacing w:beforeLines="50" w:line="240" w:lineRule="auto"/>
      <w:ind w:firstLine="0" w:firstLineChars="0"/>
      <w:outlineLvl w:val="3"/>
    </w:pPr>
    <w:rPr>
      <w:rFonts w:eastAsia="楷体_GB2312"/>
      <w:b/>
      <w:sz w:val="28"/>
    </w:rPr>
  </w:style>
  <w:style w:type="paragraph" w:customStyle="1" w:styleId="1276">
    <w:name w:val="xzz"/>
    <w:basedOn w:val="1"/>
    <w:uiPriority w:val="0"/>
    <w:pPr>
      <w:snapToGrid/>
      <w:spacing w:line="240" w:lineRule="auto"/>
      <w:jc w:val="both"/>
    </w:pPr>
  </w:style>
  <w:style w:type="paragraph" w:customStyle="1" w:styleId="1277">
    <w:name w:val="az"/>
    <w:basedOn w:val="1"/>
    <w:autoRedefine/>
    <w:qFormat/>
    <w:uiPriority w:val="0"/>
    <w:pPr>
      <w:snapToGrid/>
      <w:spacing w:beforeLines="50"/>
      <w:jc w:val="both"/>
    </w:pPr>
    <w:rPr>
      <w:kern w:val="0"/>
    </w:rPr>
  </w:style>
  <w:style w:type="paragraph" w:customStyle="1" w:styleId="1278">
    <w:name w:val="表格 32"/>
    <w:basedOn w:val="1"/>
    <w:uiPriority w:val="0"/>
    <w:pPr>
      <w:autoSpaceDE w:val="0"/>
      <w:autoSpaceDN w:val="0"/>
      <w:adjustRightInd w:val="0"/>
      <w:snapToGrid/>
      <w:spacing w:line="240" w:lineRule="auto"/>
      <w:ind w:firstLine="0" w:firstLineChars="0"/>
      <w:jc w:val="center"/>
      <w:textAlignment w:val="baseline"/>
    </w:pPr>
    <w:rPr>
      <w:rFonts w:eastAsia="仿宋_GB2312"/>
      <w:kern w:val="0"/>
      <w:szCs w:val="20"/>
    </w:rPr>
  </w:style>
  <w:style w:type="paragraph" w:customStyle="1" w:styleId="1279">
    <w:name w:val="表格（5号）"/>
    <w:basedOn w:val="1"/>
    <w:uiPriority w:val="0"/>
    <w:pPr>
      <w:widowControl/>
      <w:snapToGrid/>
      <w:ind w:firstLine="0" w:firstLineChars="0"/>
      <w:jc w:val="center"/>
    </w:pPr>
    <w:rPr>
      <w:rFonts w:ascii="Calibri" w:hAnsi="Calibri"/>
      <w:color w:val="FF0000"/>
      <w:kern w:val="0"/>
      <w:szCs w:val="21"/>
      <w:lang w:eastAsia="en-US" w:bidi="en-US"/>
    </w:rPr>
  </w:style>
  <w:style w:type="paragraph" w:customStyle="1" w:styleId="1280">
    <w:name w:val="bt4"/>
    <w:basedOn w:val="1"/>
    <w:uiPriority w:val="0"/>
    <w:pPr>
      <w:autoSpaceDE w:val="0"/>
      <w:autoSpaceDN w:val="0"/>
      <w:adjustRightInd w:val="0"/>
      <w:ind w:firstLine="0" w:firstLineChars="0"/>
      <w:jc w:val="both"/>
      <w:textAlignment w:val="baseline"/>
      <w:outlineLvl w:val="3"/>
    </w:pPr>
    <w:rPr>
      <w:rFonts w:ascii="Arial" w:hAnsi="Arial"/>
      <w:kern w:val="0"/>
    </w:rPr>
  </w:style>
  <w:style w:type="paragraph" w:customStyle="1" w:styleId="1281">
    <w:name w:val="a表头"/>
    <w:basedOn w:val="1"/>
    <w:qFormat/>
    <w:uiPriority w:val="0"/>
    <w:pPr>
      <w:snapToGrid/>
      <w:spacing w:line="240" w:lineRule="auto"/>
      <w:ind w:firstLine="0" w:firstLineChars="0"/>
      <w:jc w:val="center"/>
    </w:pPr>
    <w:rPr>
      <w:rFonts w:eastAsia="楷体_GB2312"/>
      <w:b/>
    </w:rPr>
  </w:style>
  <w:style w:type="paragraph" w:customStyle="1" w:styleId="1282">
    <w:name w:val="样式21"/>
    <w:basedOn w:val="1251"/>
    <w:uiPriority w:val="0"/>
  </w:style>
  <w:style w:type="paragraph" w:customStyle="1" w:styleId="1283">
    <w:name w:val="reader-word-layer reader-word-s7-4"/>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1284">
    <w:name w:val="样式 样式1 + (西文) Times New Roman (中文) 宋体 小四 首行缩进:  2 字符"/>
    <w:basedOn w:val="288"/>
    <w:uiPriority w:val="0"/>
    <w:pPr>
      <w:keepNext/>
      <w:keepLines/>
      <w:widowControl/>
      <w:spacing w:before="340" w:after="330" w:line="360" w:lineRule="auto"/>
      <w:ind w:firstLine="200" w:firstLineChars="200"/>
      <w:outlineLvl w:val="0"/>
    </w:pPr>
    <w:rPr>
      <w:rFonts w:cs="宋体"/>
      <w:szCs w:val="20"/>
    </w:rPr>
  </w:style>
  <w:style w:type="character" w:customStyle="1" w:styleId="1285">
    <w:name w:val="表格标题 Char1"/>
    <w:qFormat/>
    <w:uiPriority w:val="0"/>
    <w:rPr>
      <w:rFonts w:ascii="宋体" w:hAnsi="宋体" w:eastAsia="宋体"/>
      <w:kern w:val="2"/>
      <w:sz w:val="24"/>
      <w:lang w:val="en-US" w:eastAsia="zh-CN" w:bidi="ar-SA"/>
    </w:rPr>
  </w:style>
  <w:style w:type="character" w:customStyle="1" w:styleId="1286">
    <w:name w:val="Char Char3"/>
    <w:uiPriority w:val="0"/>
    <w:rPr>
      <w:rFonts w:eastAsia="宋体"/>
      <w:kern w:val="2"/>
      <w:sz w:val="21"/>
      <w:lang w:val="en-US" w:eastAsia="zh-CN" w:bidi="ar-SA"/>
    </w:rPr>
  </w:style>
  <w:style w:type="character" w:customStyle="1" w:styleId="1287">
    <w:name w:val="red1"/>
    <w:autoRedefine/>
    <w:qFormat/>
    <w:uiPriority w:val="0"/>
    <w:rPr>
      <w:color w:val="976E44"/>
      <w:sz w:val="18"/>
      <w:szCs w:val="18"/>
    </w:rPr>
  </w:style>
  <w:style w:type="character" w:customStyle="1" w:styleId="1288">
    <w:name w:val="样式 样式1 + 宋体 小四2 Char"/>
    <w:link w:val="1207"/>
    <w:qFormat/>
    <w:uiPriority w:val="0"/>
    <w:rPr>
      <w:spacing w:val="-2"/>
      <w:sz w:val="24"/>
      <w:szCs w:val="30"/>
    </w:rPr>
  </w:style>
  <w:style w:type="character" w:customStyle="1" w:styleId="1289">
    <w:name w:val="inner"/>
    <w:uiPriority w:val="0"/>
  </w:style>
  <w:style w:type="character" w:customStyle="1" w:styleId="1290">
    <w:name w:val="自定义正文 Char1"/>
    <w:uiPriority w:val="0"/>
    <w:rPr>
      <w:b/>
      <w:position w:val="-28"/>
      <w:sz w:val="28"/>
    </w:rPr>
  </w:style>
  <w:style w:type="character" w:customStyle="1" w:styleId="1291">
    <w:name w:val="君邦正文 Char4"/>
    <w:link w:val="1179"/>
    <w:qFormat/>
    <w:uiPriority w:val="0"/>
    <w:rPr>
      <w:rFonts w:ascii="宋体" w:hAnsi="宋体"/>
      <w:kern w:val="2"/>
      <w:sz w:val="24"/>
    </w:rPr>
  </w:style>
  <w:style w:type="character" w:customStyle="1" w:styleId="1292">
    <w:name w:val="正文01 Char Char"/>
    <w:uiPriority w:val="0"/>
    <w:rPr>
      <w:rFonts w:eastAsia="宋体"/>
      <w:kern w:val="2"/>
      <w:sz w:val="24"/>
      <w:lang w:val="en-US" w:eastAsia="zh-CN" w:bidi="ar-SA"/>
    </w:rPr>
  </w:style>
  <w:style w:type="character" w:customStyle="1" w:styleId="1293">
    <w:name w:val="无页眉 Char Char"/>
    <w:uiPriority w:val="0"/>
    <w:rPr>
      <w:rFonts w:eastAsia="宋体"/>
      <w:kern w:val="2"/>
      <w:sz w:val="21"/>
      <w:szCs w:val="18"/>
      <w:lang w:val="en-US" w:eastAsia="zh-CN" w:bidi="ar-SA"/>
    </w:rPr>
  </w:style>
  <w:style w:type="character" w:customStyle="1" w:styleId="1294">
    <w:name w:val="表格001 Char"/>
    <w:link w:val="1193"/>
    <w:uiPriority w:val="0"/>
    <w:rPr>
      <w:kern w:val="2"/>
      <w:sz w:val="21"/>
    </w:rPr>
  </w:style>
  <w:style w:type="character" w:customStyle="1" w:styleId="1295">
    <w:name w:val="text1"/>
    <w:uiPriority w:val="0"/>
  </w:style>
  <w:style w:type="character" w:customStyle="1" w:styleId="1296">
    <w:name w:val="样式 内容 + 首行缩进:  2 字符 Char"/>
    <w:link w:val="1254"/>
    <w:uiPriority w:val="0"/>
    <w:rPr>
      <w:rFonts w:cs="宋体"/>
      <w:kern w:val="2"/>
      <w:sz w:val="24"/>
    </w:rPr>
  </w:style>
  <w:style w:type="character" w:customStyle="1" w:styleId="1297">
    <w:name w:val="正文规定 Char Char"/>
    <w:uiPriority w:val="0"/>
    <w:rPr>
      <w:rFonts w:ascii="Arial" w:hAnsi="Arial"/>
      <w:b/>
      <w:sz w:val="24"/>
    </w:rPr>
  </w:style>
  <w:style w:type="character" w:customStyle="1" w:styleId="1298">
    <w:name w:val="表单位 Char"/>
    <w:link w:val="1030"/>
    <w:autoRedefine/>
    <w:qFormat/>
    <w:uiPriority w:val="0"/>
    <w:rPr>
      <w:rFonts w:ascii="宋体" w:hAnsi="Calibri"/>
      <w:sz w:val="24"/>
      <w:szCs w:val="22"/>
      <w:lang w:eastAsia="en-US" w:bidi="en-US"/>
    </w:rPr>
  </w:style>
  <w:style w:type="character" w:customStyle="1" w:styleId="1299">
    <w:name w:val="表内 Char"/>
    <w:link w:val="1218"/>
    <w:uiPriority w:val="0"/>
    <w:rPr>
      <w:kern w:val="2"/>
      <w:sz w:val="21"/>
      <w:szCs w:val="24"/>
    </w:rPr>
  </w:style>
  <w:style w:type="character" w:customStyle="1" w:styleId="1300">
    <w:name w:val="zzzzzzz Char"/>
    <w:link w:val="1233"/>
    <w:uiPriority w:val="0"/>
    <w:rPr>
      <w:kern w:val="2"/>
      <w:sz w:val="24"/>
    </w:rPr>
  </w:style>
  <w:style w:type="character" w:customStyle="1" w:styleId="1301">
    <w:name w:val="cdred1"/>
    <w:uiPriority w:val="0"/>
    <w:rPr>
      <w:color w:val="BC2931"/>
    </w:rPr>
  </w:style>
  <w:style w:type="character" w:customStyle="1" w:styleId="1302">
    <w:name w:val="t131"/>
    <w:qFormat/>
    <w:uiPriority w:val="0"/>
    <w:rPr>
      <w:rFonts w:ascii="Arial" w:hAnsi="Arial" w:eastAsia="宋体" w:cs="Verdana"/>
      <w:b/>
      <w:color w:val="333333"/>
      <w:kern w:val="2"/>
      <w:sz w:val="18"/>
      <w:szCs w:val="18"/>
      <w:u w:val="none"/>
      <w:lang w:val="en-US" w:eastAsia="en-US" w:bidi="ar-SA"/>
    </w:rPr>
  </w:style>
  <w:style w:type="character" w:customStyle="1" w:styleId="1303">
    <w:name w:val="样式 1 Char"/>
    <w:link w:val="1175"/>
    <w:uiPriority w:val="0"/>
    <w:rPr>
      <w:kern w:val="2"/>
      <w:sz w:val="24"/>
    </w:rPr>
  </w:style>
  <w:style w:type="character" w:customStyle="1" w:styleId="1304">
    <w:name w:val="style301"/>
    <w:uiPriority w:val="0"/>
    <w:rPr>
      <w:rFonts w:hint="default" w:ascii="Arial" w:hAnsi="Arial" w:cs="Arial"/>
    </w:rPr>
  </w:style>
  <w:style w:type="character" w:customStyle="1" w:styleId="1305">
    <w:name w:val="headline-content2"/>
    <w:uiPriority w:val="0"/>
  </w:style>
  <w:style w:type="character" w:customStyle="1" w:styleId="1306">
    <w:name w:val="标题7"/>
    <w:uiPriority w:val="0"/>
  </w:style>
  <w:style w:type="character" w:customStyle="1" w:styleId="1307">
    <w:name w:val="内容小标题 Char"/>
    <w:link w:val="1229"/>
    <w:uiPriority w:val="0"/>
    <w:rPr>
      <w:b/>
      <w:kern w:val="2"/>
      <w:sz w:val="24"/>
      <w:szCs w:val="24"/>
    </w:rPr>
  </w:style>
  <w:style w:type="character" w:customStyle="1" w:styleId="1308">
    <w:name w:val="ddd"/>
    <w:uiPriority w:val="0"/>
    <w:rPr>
      <w:rFonts w:ascii="Arial" w:hAnsi="Arial" w:eastAsia="宋体" w:cs="Verdana"/>
      <w:b/>
      <w:kern w:val="2"/>
      <w:sz w:val="24"/>
      <w:szCs w:val="24"/>
      <w:lang w:val="en-US" w:eastAsia="en-US" w:bidi="ar-SA"/>
    </w:rPr>
  </w:style>
  <w:style w:type="character" w:customStyle="1" w:styleId="1309">
    <w:name w:val="a2-l style23"/>
    <w:autoRedefine/>
    <w:qFormat/>
    <w:uiPriority w:val="0"/>
  </w:style>
  <w:style w:type="character" w:customStyle="1" w:styleId="1310">
    <w:name w:val="正文001 Char Char"/>
    <w:uiPriority w:val="0"/>
    <w:rPr>
      <w:rFonts w:eastAsia="宋体"/>
      <w:kern w:val="2"/>
      <w:sz w:val="24"/>
      <w:lang w:val="en-US" w:eastAsia="zh-CN" w:bidi="ar-SA"/>
    </w:rPr>
  </w:style>
  <w:style w:type="character" w:customStyle="1" w:styleId="1311">
    <w:name w:val="样式8 Char"/>
    <w:link w:val="242"/>
    <w:uiPriority w:val="0"/>
    <w:rPr>
      <w:rFonts w:ascii="Arial" w:cs="Arial"/>
      <w:kern w:val="2"/>
      <w:sz w:val="24"/>
      <w:szCs w:val="21"/>
    </w:rPr>
  </w:style>
  <w:style w:type="character" w:customStyle="1" w:styleId="1312">
    <w:name w:val="样式9 Char"/>
    <w:link w:val="1192"/>
    <w:uiPriority w:val="0"/>
    <w:rPr>
      <w:rFonts w:ascii="宋体" w:hAnsi="宋体"/>
      <w:kern w:val="2"/>
      <w:sz w:val="18"/>
      <w:szCs w:val="18"/>
    </w:rPr>
  </w:style>
  <w:style w:type="character" w:customStyle="1" w:styleId="1313">
    <w:name w:val="样式 (中文) 仿宋_GB2312"/>
    <w:qFormat/>
    <w:uiPriority w:val="0"/>
    <w:rPr>
      <w:rFonts w:ascii="Arial" w:hAnsi="Arial" w:eastAsia="宋体" w:cs="Verdana"/>
      <w:b/>
      <w:spacing w:val="-12"/>
      <w:kern w:val="2"/>
      <w:sz w:val="24"/>
      <w:szCs w:val="24"/>
      <w:lang w:val="en-US" w:eastAsia="en-US" w:bidi="ar-SA"/>
    </w:rPr>
  </w:style>
  <w:style w:type="character" w:customStyle="1" w:styleId="1314">
    <w:name w:val="样式 纯文本 + (符号) 宋体 13 磅 首行缩进:  0.92 厘米 行距: 固定值 27 磅 Char1"/>
    <w:link w:val="1264"/>
    <w:uiPriority w:val="0"/>
    <w:rPr>
      <w:rFonts w:ascii="宋体" w:hAnsi="宋体" w:cs="宋体"/>
      <w:kern w:val="2"/>
      <w:sz w:val="26"/>
    </w:rPr>
  </w:style>
  <w:style w:type="character" w:customStyle="1" w:styleId="1315">
    <w:name w:val="样式 正文首行缩进 + (西文) MS Mincho (中文) MS Mincho Char"/>
    <w:autoRedefine/>
    <w:uiPriority w:val="0"/>
    <w:rPr>
      <w:rFonts w:ascii="MS Mincho" w:hAnsi="MS Mincho" w:eastAsia="MS Mincho"/>
      <w:kern w:val="54"/>
      <w:sz w:val="26"/>
      <w:szCs w:val="26"/>
    </w:rPr>
  </w:style>
  <w:style w:type="character" w:customStyle="1" w:styleId="1316">
    <w:name w:val="样式 (中文) 仿宋_GB23121"/>
    <w:uiPriority w:val="0"/>
    <w:rPr>
      <w:rFonts w:ascii="Arial" w:hAnsi="Arial" w:eastAsia="宋体" w:cs="Verdana"/>
      <w:b/>
      <w:kern w:val="0"/>
      <w:sz w:val="24"/>
      <w:szCs w:val="24"/>
      <w:lang w:val="en-US" w:eastAsia="en-US" w:bidi="ar-SA"/>
    </w:rPr>
  </w:style>
  <w:style w:type="character" w:customStyle="1" w:styleId="1317">
    <w:name w:val="p101"/>
    <w:uiPriority w:val="0"/>
    <w:rPr>
      <w:rFonts w:hint="default" w:ascii="ˎ̥" w:hAnsi="ˎ̥"/>
      <w:sz w:val="21"/>
      <w:szCs w:val="21"/>
    </w:rPr>
  </w:style>
  <w:style w:type="character" w:customStyle="1" w:styleId="1318">
    <w:name w:val="样式 标题 2标题节标题节 Char标题节 Char Char标题 2 Char Char Char节标题 1.1标... Char"/>
    <w:link w:val="1258"/>
    <w:uiPriority w:val="0"/>
    <w:rPr>
      <w:rFonts w:ascii="Cambria" w:hAnsi="Cambria"/>
      <w:b/>
      <w:bCs/>
      <w:kern w:val="2"/>
      <w:sz w:val="32"/>
      <w:szCs w:val="32"/>
    </w:rPr>
  </w:style>
  <w:style w:type="character" w:customStyle="1" w:styleId="1319">
    <w:name w:val="标1 Char Char"/>
    <w:autoRedefine/>
    <w:qFormat/>
    <w:uiPriority w:val="0"/>
    <w:rPr>
      <w:rFonts w:eastAsia="宋体"/>
      <w:b/>
      <w:kern w:val="2"/>
      <w:sz w:val="32"/>
      <w:lang w:val="en-US" w:eastAsia="zh-CN" w:bidi="ar-SA"/>
    </w:rPr>
  </w:style>
  <w:style w:type="character" w:customStyle="1" w:styleId="1320">
    <w:name w:val="12heiwuxian"/>
    <w:uiPriority w:val="0"/>
  </w:style>
  <w:style w:type="character" w:customStyle="1" w:styleId="1321">
    <w:name w:val="tpc_content1"/>
    <w:uiPriority w:val="0"/>
    <w:rPr>
      <w:sz w:val="20"/>
      <w:szCs w:val="20"/>
    </w:rPr>
  </w:style>
  <w:style w:type="character" w:customStyle="1" w:styleId="1322">
    <w:name w:val="表格正文 Char"/>
    <w:uiPriority w:val="0"/>
    <w:rPr>
      <w:rFonts w:eastAsia="宋体"/>
      <w:kern w:val="2"/>
      <w:sz w:val="21"/>
      <w:szCs w:val="24"/>
      <w:lang w:val="en-US" w:eastAsia="zh-CN" w:bidi="ar-SA"/>
    </w:rPr>
  </w:style>
  <w:style w:type="character" w:customStyle="1" w:styleId="1323">
    <w:name w:val="正文首行缩进 2 + Times New Roman Char1"/>
    <w:link w:val="1190"/>
    <w:qFormat/>
    <w:uiPriority w:val="0"/>
    <w:rPr>
      <w:sz w:val="24"/>
      <w:szCs w:val="24"/>
    </w:rPr>
  </w:style>
  <w:style w:type="character" w:customStyle="1" w:styleId="1324">
    <w:name w:val="Char Char31"/>
    <w:locked/>
    <w:uiPriority w:val="0"/>
    <w:rPr>
      <w:rFonts w:ascii="宋体" w:hAnsi="宋体" w:eastAsia="宋体"/>
      <w:kern w:val="2"/>
      <w:sz w:val="21"/>
      <w:lang w:val="en-US" w:eastAsia="zh-CN" w:bidi="ar-SA"/>
    </w:rPr>
  </w:style>
  <w:style w:type="character" w:customStyle="1" w:styleId="1325">
    <w:name w:val="style9"/>
    <w:uiPriority w:val="0"/>
  </w:style>
  <w:style w:type="character" w:customStyle="1" w:styleId="1326">
    <w:name w:val="正文01 Char1"/>
    <w:autoRedefine/>
    <w:uiPriority w:val="0"/>
    <w:rPr>
      <w:rFonts w:eastAsia="宋体"/>
      <w:kern w:val="2"/>
      <w:sz w:val="24"/>
      <w:szCs w:val="24"/>
      <w:lang w:val="en-US" w:eastAsia="zh-CN" w:bidi="ar-SA"/>
    </w:rPr>
  </w:style>
  <w:style w:type="character" w:customStyle="1" w:styleId="1327">
    <w:name w:val="标1 Char"/>
    <w:link w:val="1160"/>
    <w:uiPriority w:val="0"/>
    <w:rPr>
      <w:b/>
      <w:kern w:val="2"/>
      <w:sz w:val="32"/>
    </w:rPr>
  </w:style>
  <w:style w:type="character" w:customStyle="1" w:styleId="1328">
    <w:name w:val="hangju"/>
    <w:uiPriority w:val="0"/>
    <w:rPr>
      <w:rFonts w:ascii="Arial" w:hAnsi="Arial" w:eastAsia="宋体" w:cs="Verdana"/>
      <w:b/>
      <w:kern w:val="2"/>
      <w:sz w:val="24"/>
      <w:szCs w:val="24"/>
      <w:lang w:val="en-US" w:eastAsia="en-US" w:bidi="ar-SA"/>
    </w:rPr>
  </w:style>
  <w:style w:type="character" w:customStyle="1" w:styleId="1329">
    <w:name w:val="图表标题 Char"/>
    <w:link w:val="1170"/>
    <w:uiPriority w:val="0"/>
    <w:rPr>
      <w:rFonts w:ascii="宋体" w:hAnsi="宋体"/>
      <w:b/>
      <w:kern w:val="2"/>
      <w:sz w:val="21"/>
      <w:szCs w:val="24"/>
      <w:lang w:val="zh-CN"/>
    </w:rPr>
  </w:style>
  <w:style w:type="character" w:customStyle="1" w:styleId="1330">
    <w:name w:val="(a正文 Char"/>
    <w:link w:val="1266"/>
    <w:autoRedefine/>
    <w:qFormat/>
    <w:uiPriority w:val="0"/>
    <w:rPr>
      <w:rFonts w:eastAsia="仿宋_GB2312"/>
      <w:color w:val="000000"/>
      <w:kern w:val="2"/>
      <w:sz w:val="24"/>
      <w:szCs w:val="24"/>
    </w:rPr>
  </w:style>
  <w:style w:type="character" w:customStyle="1" w:styleId="1331">
    <w:name w:val="font_11"/>
    <w:uiPriority w:val="0"/>
    <w:rPr>
      <w:sz w:val="21"/>
      <w:szCs w:val="21"/>
    </w:rPr>
  </w:style>
  <w:style w:type="character" w:customStyle="1" w:styleId="1332">
    <w:name w:val="style101"/>
    <w:uiPriority w:val="0"/>
    <w:rPr>
      <w:b/>
      <w:bCs/>
      <w:color w:val="FF0000"/>
    </w:rPr>
  </w:style>
  <w:style w:type="character" w:customStyle="1" w:styleId="1333">
    <w:name w:val="样式10 Char"/>
    <w:link w:val="453"/>
    <w:uiPriority w:val="0"/>
    <w:rPr>
      <w:rFonts w:ascii="黑体" w:hAnsi="Arial" w:cs="Arial"/>
      <w:bCs/>
      <w:color w:val="000000"/>
      <w:spacing w:val="6"/>
      <w:kern w:val="2"/>
      <w:sz w:val="52"/>
      <w:szCs w:val="28"/>
    </w:rPr>
  </w:style>
  <w:style w:type="character" w:customStyle="1" w:styleId="1334">
    <w:name w:val="buysell"/>
    <w:qFormat/>
    <w:uiPriority w:val="0"/>
  </w:style>
  <w:style w:type="character" w:customStyle="1" w:styleId="1335">
    <w:name w:val="样式 样式1 + (西文) Times New Roman (中文) 宋体 小四 非加粗 Char"/>
    <w:link w:val="1210"/>
    <w:uiPriority w:val="0"/>
    <w:rPr>
      <w:b/>
      <w:kern w:val="2"/>
      <w:sz w:val="24"/>
      <w:szCs w:val="24"/>
    </w:rPr>
  </w:style>
  <w:style w:type="character" w:customStyle="1" w:styleId="1336">
    <w:name w:val="样式 样式 仿宋_GB2312 四号 黑色 首行缩进:  0.99 厘米 行距: 1.5 倍行距 + 首行缩进:  2 字符 Char Char"/>
    <w:uiPriority w:val="0"/>
    <w:rPr>
      <w:rFonts w:ascii="仿宋_GB2312" w:hAnsi="Arial" w:eastAsia="仿宋_GB2312" w:cs="宋体"/>
      <w:b/>
      <w:color w:val="000000"/>
      <w:kern w:val="2"/>
      <w:sz w:val="24"/>
      <w:szCs w:val="24"/>
      <w:lang w:val="en-US" w:eastAsia="zh-CN" w:bidi="ar-SA"/>
    </w:rPr>
  </w:style>
  <w:style w:type="character" w:customStyle="1" w:styleId="1337">
    <w:name w:val="test1"/>
    <w:autoRedefine/>
    <w:uiPriority w:val="0"/>
    <w:rPr>
      <w:rFonts w:hint="default" w:ascii="ˎ̥" w:hAnsi="ˎ̥"/>
      <w:color w:val="000000"/>
      <w:sz w:val="23"/>
      <w:szCs w:val="23"/>
      <w:u w:val="none"/>
    </w:rPr>
  </w:style>
  <w:style w:type="paragraph" w:customStyle="1" w:styleId="1338">
    <w:name w:val="正文2 Char Char Char Char Char Char Char Char Char Char Char Char1 Char Char Char Char Char Char Char Char1 Char Char Char Char Char Char"/>
    <w:basedOn w:val="1"/>
    <w:uiPriority w:val="0"/>
    <w:pPr>
      <w:widowControl/>
      <w:snapToGrid/>
      <w:spacing w:line="400" w:lineRule="exact"/>
      <w:ind w:firstLine="0" w:firstLineChars="0"/>
      <w:jc w:val="center"/>
    </w:pPr>
    <w:rPr>
      <w:rFonts w:ascii="Verdana" w:hAnsi="Verdana"/>
      <w:kern w:val="0"/>
      <w:sz w:val="21"/>
      <w:szCs w:val="20"/>
      <w:lang w:eastAsia="en-US"/>
    </w:rPr>
  </w:style>
  <w:style w:type="character" w:customStyle="1" w:styleId="1339">
    <w:name w:val="75pt"/>
    <w:qFormat/>
    <w:uiPriority w:val="0"/>
  </w:style>
  <w:style w:type="paragraph" w:customStyle="1" w:styleId="1340">
    <w:name w:val="Char Char Char Char Char Char Char Char Char Char Char Char3"/>
    <w:basedOn w:val="1"/>
    <w:autoRedefine/>
    <w:semiHidden/>
    <w:qFormat/>
    <w:uiPriority w:val="0"/>
    <w:pPr>
      <w:widowControl/>
      <w:tabs>
        <w:tab w:val="left" w:pos="540"/>
        <w:tab w:val="left" w:pos="1800"/>
      </w:tabs>
      <w:adjustRightInd w:val="0"/>
      <w:spacing w:line="240" w:lineRule="exact"/>
    </w:pPr>
    <w:rPr>
      <w:szCs w:val="22"/>
    </w:rPr>
  </w:style>
  <w:style w:type="paragraph" w:customStyle="1" w:styleId="1341">
    <w:name w:val="Char Char Char Char Char Char Char Char Char Char Char Char2"/>
    <w:basedOn w:val="1"/>
    <w:autoRedefine/>
    <w:semiHidden/>
    <w:qFormat/>
    <w:uiPriority w:val="0"/>
    <w:pPr>
      <w:widowControl/>
      <w:tabs>
        <w:tab w:val="left" w:pos="540"/>
        <w:tab w:val="left" w:pos="1800"/>
      </w:tabs>
      <w:adjustRightInd w:val="0"/>
      <w:spacing w:line="240" w:lineRule="exact"/>
    </w:pPr>
    <w:rPr>
      <w:szCs w:val="22"/>
    </w:rPr>
  </w:style>
  <w:style w:type="paragraph" w:customStyle="1" w:styleId="1342">
    <w:name w:val="正文6"/>
    <w:uiPriority w:val="0"/>
    <w:pPr>
      <w:jc w:val="both"/>
    </w:pPr>
    <w:rPr>
      <w:rFonts w:ascii="Times New Roman" w:hAnsi="Times New Roman" w:eastAsia="宋体" w:cs="Times New Roman"/>
      <w:kern w:val="2"/>
      <w:sz w:val="21"/>
      <w:szCs w:val="21"/>
      <w:lang w:val="en-US" w:eastAsia="zh-CN" w:bidi="ar-SA"/>
    </w:rPr>
  </w:style>
  <w:style w:type="character" w:customStyle="1" w:styleId="1343">
    <w:name w:val="f_codeexample"/>
    <w:uiPriority w:val="0"/>
    <w:rPr>
      <w:rFonts w:ascii="Courier New" w:hAnsi="Courier New" w:cs="Courier New"/>
      <w:color w:val="000000"/>
      <w:sz w:val="16"/>
      <w:szCs w:val="16"/>
    </w:rPr>
  </w:style>
  <w:style w:type="character" w:customStyle="1" w:styleId="1344">
    <w:name w:val="f_imagecaption"/>
    <w:uiPriority w:val="0"/>
    <w:rPr>
      <w:b/>
      <w:sz w:val="16"/>
      <w:szCs w:val="16"/>
    </w:rPr>
  </w:style>
  <w:style w:type="character" w:customStyle="1" w:styleId="1345">
    <w:name w:val="f_heading1"/>
    <w:qFormat/>
    <w:uiPriority w:val="0"/>
    <w:rPr>
      <w:b/>
      <w:color w:val="FFFFFF"/>
      <w:sz w:val="28"/>
      <w:szCs w:val="28"/>
    </w:rPr>
  </w:style>
  <w:style w:type="character" w:customStyle="1" w:styleId="1346">
    <w:name w:val="subtitle1"/>
    <w:uiPriority w:val="0"/>
    <w:rPr>
      <w:rFonts w:hint="eastAsia" w:ascii="宋体" w:hAnsi="宋体" w:eastAsia="宋体"/>
      <w:color w:val="000000"/>
      <w:sz w:val="14"/>
      <w:szCs w:val="14"/>
    </w:rPr>
  </w:style>
  <w:style w:type="character" w:customStyle="1" w:styleId="1347">
    <w:name w:val="f_courierfixed"/>
    <w:uiPriority w:val="0"/>
    <w:rPr>
      <w:rFonts w:ascii="Courier New" w:hAnsi="Courier New" w:cs="Courier New"/>
      <w:color w:val="000000"/>
      <w:sz w:val="18"/>
      <w:szCs w:val="18"/>
    </w:rPr>
  </w:style>
  <w:style w:type="paragraph" w:customStyle="1" w:styleId="1348">
    <w:name w:val="正文字体"/>
    <w:basedOn w:val="1"/>
    <w:autoRedefine/>
    <w:semiHidden/>
    <w:uiPriority w:val="0"/>
    <w:pPr>
      <w:adjustRightInd w:val="0"/>
      <w:spacing w:line="440" w:lineRule="atLeast"/>
      <w:ind w:firstLine="200"/>
      <w:jc w:val="both"/>
    </w:pPr>
    <w:rPr>
      <w:b/>
      <w:bCs/>
      <w:color w:val="000000"/>
      <w:szCs w:val="20"/>
    </w:rPr>
  </w:style>
  <w:style w:type="paragraph" w:customStyle="1" w:styleId="1349">
    <w:name w:val="大表文左对"/>
    <w:basedOn w:val="1350"/>
    <w:uiPriority w:val="0"/>
    <w:pPr>
      <w:tabs>
        <w:tab w:val="left" w:pos="1701"/>
      </w:tabs>
      <w:jc w:val="left"/>
    </w:pPr>
  </w:style>
  <w:style w:type="paragraph" w:customStyle="1" w:styleId="1350">
    <w:name w:val="大表格文字"/>
    <w:basedOn w:val="1"/>
    <w:uiPriority w:val="0"/>
    <w:pPr>
      <w:tabs>
        <w:tab w:val="left" w:pos="1701"/>
      </w:tabs>
      <w:adjustRightInd w:val="0"/>
      <w:spacing w:line="300" w:lineRule="auto"/>
      <w:ind w:firstLine="200"/>
      <w:jc w:val="center"/>
    </w:pPr>
    <w:rPr>
      <w:rFonts w:cs="宋体"/>
      <w:color w:val="000000"/>
      <w:sz w:val="18"/>
      <w:szCs w:val="20"/>
    </w:rPr>
  </w:style>
  <w:style w:type="paragraph" w:customStyle="1" w:styleId="1351">
    <w:name w:val="ReMinD正文"/>
    <w:uiPriority w:val="0"/>
    <w:pPr>
      <w:spacing w:line="440" w:lineRule="exact"/>
      <w:ind w:firstLine="200" w:firstLineChars="200"/>
    </w:pPr>
    <w:rPr>
      <w:rFonts w:ascii="Times New Roman" w:hAnsi="Times New Roman" w:eastAsia="宋体" w:cs="Times New Roman"/>
      <w:b/>
      <w:kern w:val="2"/>
      <w:sz w:val="24"/>
      <w:szCs w:val="24"/>
      <w:lang w:val="en-US" w:eastAsia="zh-CN" w:bidi="ar-SA"/>
    </w:rPr>
  </w:style>
  <w:style w:type="paragraph" w:customStyle="1" w:styleId="1352">
    <w:name w:val="样式 样式4 + 首行缩进:  1.92 字符"/>
    <w:basedOn w:val="323"/>
    <w:autoRedefine/>
    <w:qFormat/>
    <w:uiPriority w:val="0"/>
    <w:pPr>
      <w:adjustRightInd/>
      <w:snapToGrid w:val="0"/>
      <w:spacing w:beforeLines="0" w:afterLines="0" w:line="300" w:lineRule="auto"/>
      <w:ind w:firstLine="538" w:firstLineChars="192"/>
      <w:jc w:val="both"/>
      <w:textAlignment w:val="auto"/>
    </w:pPr>
    <w:rPr>
      <w:rFonts w:cs="Times New Roman"/>
      <w:sz w:val="28"/>
      <w:szCs w:val="22"/>
    </w:rPr>
  </w:style>
  <w:style w:type="paragraph" w:customStyle="1" w:styleId="1353">
    <w:name w:val="列出段落11"/>
    <w:basedOn w:val="1"/>
    <w:uiPriority w:val="0"/>
    <w:pPr>
      <w:snapToGrid/>
      <w:spacing w:line="440" w:lineRule="exact"/>
      <w:ind w:firstLine="420"/>
      <w:jc w:val="both"/>
    </w:pPr>
    <w:rPr>
      <w:szCs w:val="22"/>
    </w:rPr>
  </w:style>
  <w:style w:type="paragraph" w:customStyle="1" w:styleId="1354">
    <w:name w:val="无间隔11"/>
    <w:uiPriority w:val="0"/>
    <w:pPr>
      <w:widowControl w:val="0"/>
      <w:spacing w:line="240" w:lineRule="atLeast"/>
    </w:pPr>
    <w:rPr>
      <w:rFonts w:ascii="Times New Roman" w:hAnsi="Times New Roman" w:eastAsia="宋体" w:cs="Times New Roman"/>
      <w:kern w:val="2"/>
      <w:szCs w:val="22"/>
      <w:lang w:val="en-US" w:eastAsia="zh-CN" w:bidi="ar-SA"/>
    </w:rPr>
  </w:style>
  <w:style w:type="paragraph" w:customStyle="1" w:styleId="1355">
    <w:name w:val="Char4 Char Char Char3"/>
    <w:basedOn w:val="1"/>
    <w:semiHidden/>
    <w:uiPriority w:val="0"/>
    <w:pPr>
      <w:adjustRightInd w:val="0"/>
      <w:ind w:firstLine="200"/>
      <w:jc w:val="both"/>
    </w:pPr>
    <w:rPr>
      <w:rFonts w:ascii="宋体" w:hAnsi="宋体" w:cs="宋体"/>
      <w:szCs w:val="26"/>
    </w:rPr>
  </w:style>
  <w:style w:type="paragraph" w:customStyle="1" w:styleId="1356">
    <w:name w:val="正文（首行缩进2字）"/>
    <w:basedOn w:val="1"/>
    <w:qFormat/>
    <w:uiPriority w:val="0"/>
    <w:pPr>
      <w:snapToGrid/>
      <w:spacing w:line="460" w:lineRule="exact"/>
      <w:ind w:firstLine="200"/>
      <w:jc w:val="both"/>
    </w:pPr>
    <w:rPr>
      <w:color w:val="000000"/>
      <w:kern w:val="0"/>
    </w:rPr>
  </w:style>
  <w:style w:type="paragraph" w:customStyle="1" w:styleId="1357">
    <w:name w:val="zw"/>
    <w:basedOn w:val="1"/>
    <w:uiPriority w:val="0"/>
    <w:pPr>
      <w:widowControl/>
      <w:snapToGrid/>
      <w:spacing w:line="520" w:lineRule="exact"/>
      <w:ind w:firstLine="200"/>
    </w:pPr>
    <w:rPr>
      <w:rFonts w:ascii="宋体" w:hAnsi="宋体"/>
      <w:sz w:val="28"/>
      <w:szCs w:val="28"/>
    </w:rPr>
  </w:style>
  <w:style w:type="paragraph" w:customStyle="1" w:styleId="1358">
    <w:name w:val="Char Char Char Char Char2 Char2"/>
    <w:basedOn w:val="1"/>
    <w:semiHidden/>
    <w:uiPriority w:val="0"/>
    <w:pPr>
      <w:adjustRightInd w:val="0"/>
      <w:ind w:firstLine="200"/>
      <w:jc w:val="both"/>
    </w:pPr>
    <w:rPr>
      <w:rFonts w:ascii="宋体" w:hAnsi="宋体" w:cs="宋体"/>
      <w:szCs w:val="26"/>
    </w:rPr>
  </w:style>
  <w:style w:type="paragraph" w:customStyle="1" w:styleId="1359">
    <w:name w:val="新格式表"/>
    <w:basedOn w:val="1"/>
    <w:link w:val="2377"/>
    <w:uiPriority w:val="0"/>
    <w:pPr>
      <w:snapToGrid/>
      <w:spacing w:line="360" w:lineRule="exact"/>
      <w:ind w:firstLine="200"/>
      <w:jc w:val="center"/>
    </w:pPr>
    <w:rPr>
      <w:rFonts w:ascii="ˎ̥" w:hAnsi="ˎ̥"/>
      <w:b/>
      <w:snapToGrid w:val="0"/>
      <w:color w:val="000000"/>
    </w:rPr>
  </w:style>
  <w:style w:type="paragraph" w:customStyle="1" w:styleId="1360">
    <w:name w:val="样式 表头 + 加粗"/>
    <w:basedOn w:val="287"/>
    <w:uiPriority w:val="0"/>
    <w:pPr>
      <w:keepNext/>
      <w:tabs>
        <w:tab w:val="clear" w:pos="4060"/>
        <w:tab w:val="clear" w:pos="8261"/>
      </w:tabs>
      <w:suppressAutoHyphens w:val="0"/>
      <w:adjustRightInd/>
      <w:snapToGrid w:val="0"/>
      <w:spacing w:after="60" w:line="360" w:lineRule="exact"/>
      <w:jc w:val="center"/>
    </w:pPr>
    <w:rPr>
      <w:b/>
      <w:bCs/>
      <w:snapToGrid w:val="0"/>
      <w:spacing w:val="10"/>
      <w:kern w:val="21"/>
      <w:sz w:val="24"/>
      <w:szCs w:val="22"/>
    </w:rPr>
  </w:style>
  <w:style w:type="paragraph" w:customStyle="1" w:styleId="1361">
    <w:name w:val="正文7"/>
    <w:basedOn w:val="1"/>
    <w:link w:val="1362"/>
    <w:uiPriority w:val="0"/>
    <w:pPr>
      <w:adjustRightInd w:val="0"/>
      <w:snapToGrid/>
      <w:spacing w:line="315" w:lineRule="atLeast"/>
      <w:ind w:firstLine="0" w:firstLineChars="0"/>
      <w:textAlignment w:val="baseline"/>
    </w:pPr>
    <w:rPr>
      <w:rFonts w:ascii="宋体"/>
      <w:kern w:val="0"/>
      <w:szCs w:val="20"/>
    </w:rPr>
  </w:style>
  <w:style w:type="character" w:customStyle="1" w:styleId="1362">
    <w:name w:val="正文 Char2"/>
    <w:link w:val="1361"/>
    <w:uiPriority w:val="0"/>
    <w:rPr>
      <w:rFonts w:ascii="宋体"/>
      <w:sz w:val="24"/>
    </w:rPr>
  </w:style>
  <w:style w:type="paragraph" w:customStyle="1" w:styleId="1363">
    <w:name w:val="10"/>
    <w:autoRedefine/>
    <w:qFormat/>
    <w:uiPriority w:val="0"/>
    <w:pPr>
      <w:widowControl w:val="0"/>
      <w:jc w:val="both"/>
    </w:pPr>
    <w:rPr>
      <w:rFonts w:ascii="Times New Roman" w:hAnsi="Times New Roman" w:eastAsia="宋体" w:cs="Times New Roman"/>
      <w:color w:val="000000"/>
      <w:kern w:val="2"/>
      <w:sz w:val="24"/>
      <w:szCs w:val="24"/>
      <w:lang w:val="en-US" w:eastAsia="zh-CN" w:bidi="ar-SA"/>
    </w:rPr>
  </w:style>
  <w:style w:type="paragraph" w:customStyle="1" w:styleId="1364">
    <w:name w:val="Char4 Char Char Char2"/>
    <w:basedOn w:val="1"/>
    <w:semiHidden/>
    <w:uiPriority w:val="0"/>
    <w:pPr>
      <w:adjustRightInd w:val="0"/>
      <w:ind w:firstLine="200"/>
      <w:jc w:val="both"/>
    </w:pPr>
    <w:rPr>
      <w:rFonts w:ascii="宋体" w:hAnsi="宋体" w:cs="宋体"/>
      <w:szCs w:val="26"/>
    </w:rPr>
  </w:style>
  <w:style w:type="paragraph" w:customStyle="1" w:styleId="1365">
    <w:name w:val="Char Char Char Char Char Char Char Char Char2"/>
    <w:basedOn w:val="1"/>
    <w:autoRedefine/>
    <w:semiHidden/>
    <w:qFormat/>
    <w:uiPriority w:val="0"/>
    <w:pPr>
      <w:snapToGrid/>
      <w:spacing w:line="240" w:lineRule="auto"/>
      <w:ind w:firstLine="0" w:firstLineChars="0"/>
      <w:jc w:val="both"/>
    </w:pPr>
    <w:rPr>
      <w:sz w:val="21"/>
    </w:rPr>
  </w:style>
  <w:style w:type="paragraph" w:customStyle="1" w:styleId="1366">
    <w:name w:val="Char Char Char Char3"/>
    <w:basedOn w:val="1"/>
    <w:qFormat/>
    <w:uiPriority w:val="0"/>
    <w:pPr>
      <w:adjustRightInd w:val="0"/>
      <w:ind w:firstLine="200"/>
      <w:jc w:val="both"/>
    </w:pPr>
    <w:rPr>
      <w:rFonts w:ascii="宋体" w:hAnsi="宋体" w:cs="宋体"/>
      <w:szCs w:val="26"/>
    </w:rPr>
  </w:style>
  <w:style w:type="paragraph" w:customStyle="1" w:styleId="1367">
    <w:name w:val="Char Char Char Char Char Char Char Char Char Char Char Char1 Char Char Char Char Char Char Char Char Char Char Char Char Char Char Char Char Char Char Char1"/>
    <w:basedOn w:val="1"/>
    <w:autoRedefine/>
    <w:semiHidden/>
    <w:qFormat/>
    <w:uiPriority w:val="0"/>
    <w:pPr>
      <w:snapToGrid/>
      <w:ind w:firstLine="200"/>
      <w:jc w:val="both"/>
    </w:pPr>
    <w:rPr>
      <w:rFonts w:ascii="宋体" w:hAnsi="宋体" w:cs="宋体"/>
      <w:szCs w:val="26"/>
    </w:rPr>
  </w:style>
  <w:style w:type="paragraph" w:customStyle="1" w:styleId="1368">
    <w:name w:val="Char4"/>
    <w:basedOn w:val="1"/>
    <w:qFormat/>
    <w:uiPriority w:val="0"/>
    <w:pPr>
      <w:snapToGrid/>
      <w:spacing w:line="240" w:lineRule="auto"/>
      <w:ind w:firstLine="0" w:firstLineChars="0"/>
      <w:jc w:val="both"/>
    </w:pPr>
    <w:rPr>
      <w:sz w:val="21"/>
    </w:rPr>
  </w:style>
  <w:style w:type="paragraph" w:customStyle="1" w:styleId="1369">
    <w:name w:val="Char Char Char Char Char Char Char2"/>
    <w:basedOn w:val="1"/>
    <w:link w:val="1398"/>
    <w:autoRedefine/>
    <w:uiPriority w:val="0"/>
    <w:pPr>
      <w:snapToGrid/>
      <w:spacing w:line="240" w:lineRule="auto"/>
      <w:ind w:firstLine="0" w:firstLineChars="0"/>
      <w:jc w:val="both"/>
    </w:pPr>
    <w:rPr>
      <w:sz w:val="21"/>
    </w:rPr>
  </w:style>
  <w:style w:type="paragraph" w:customStyle="1" w:styleId="1370">
    <w:name w:val="Char Char1 Char Char Char Char1"/>
    <w:basedOn w:val="1"/>
    <w:autoRedefine/>
    <w:qFormat/>
    <w:uiPriority w:val="0"/>
    <w:pPr>
      <w:snapToGrid/>
      <w:spacing w:line="240" w:lineRule="auto"/>
      <w:ind w:firstLine="0" w:firstLineChars="0"/>
      <w:jc w:val="both"/>
    </w:pPr>
  </w:style>
  <w:style w:type="paragraph" w:customStyle="1" w:styleId="1371">
    <w:name w:val="Char2 Char Char Char Char Char Char1"/>
    <w:basedOn w:val="1"/>
    <w:autoRedefine/>
    <w:qFormat/>
    <w:uiPriority w:val="0"/>
    <w:pPr>
      <w:snapToGrid/>
      <w:spacing w:line="240" w:lineRule="auto"/>
      <w:ind w:firstLine="0" w:firstLineChars="0"/>
      <w:jc w:val="both"/>
    </w:pPr>
    <w:rPr>
      <w:sz w:val="21"/>
    </w:rPr>
  </w:style>
  <w:style w:type="paragraph" w:customStyle="1" w:styleId="1372">
    <w:name w:val="Char Char Char Char12"/>
    <w:basedOn w:val="1"/>
    <w:autoRedefine/>
    <w:qFormat/>
    <w:uiPriority w:val="0"/>
    <w:pPr>
      <w:snapToGrid/>
      <w:ind w:firstLine="200"/>
      <w:jc w:val="both"/>
    </w:pPr>
    <w:rPr>
      <w:rFonts w:ascii="宋体" w:hAnsi="宋体" w:cs="宋体"/>
    </w:rPr>
  </w:style>
  <w:style w:type="paragraph" w:customStyle="1" w:styleId="1373">
    <w:name w:val="Char22"/>
    <w:basedOn w:val="1"/>
    <w:autoRedefine/>
    <w:qFormat/>
    <w:uiPriority w:val="0"/>
    <w:pPr>
      <w:snapToGrid/>
      <w:spacing w:line="240" w:lineRule="auto"/>
      <w:ind w:firstLine="0" w:firstLineChars="0"/>
      <w:jc w:val="both"/>
    </w:pPr>
    <w:rPr>
      <w:sz w:val="21"/>
      <w:szCs w:val="21"/>
    </w:rPr>
  </w:style>
  <w:style w:type="paragraph" w:customStyle="1" w:styleId="1374">
    <w:name w:val="Char Char Char Char Char Char2"/>
    <w:basedOn w:val="1"/>
    <w:autoRedefine/>
    <w:qFormat/>
    <w:uiPriority w:val="0"/>
    <w:pPr>
      <w:snapToGrid/>
      <w:spacing w:line="240" w:lineRule="auto"/>
      <w:ind w:firstLine="0" w:firstLineChars="0"/>
      <w:jc w:val="both"/>
    </w:pPr>
    <w:rPr>
      <w:rFonts w:ascii="宋体" w:hAnsi="宋体"/>
    </w:rPr>
  </w:style>
  <w:style w:type="paragraph" w:customStyle="1" w:styleId="1375">
    <w:name w:val="日期2"/>
    <w:basedOn w:val="1"/>
    <w:next w:val="1"/>
    <w:autoRedefine/>
    <w:qFormat/>
    <w:uiPriority w:val="0"/>
    <w:pPr>
      <w:adjustRightInd w:val="0"/>
      <w:snapToGrid/>
      <w:spacing w:line="240" w:lineRule="auto"/>
      <w:ind w:firstLine="0" w:firstLineChars="0"/>
      <w:jc w:val="both"/>
      <w:textAlignment w:val="baseline"/>
    </w:pPr>
    <w:rPr>
      <w:sz w:val="21"/>
      <w:szCs w:val="20"/>
    </w:rPr>
  </w:style>
  <w:style w:type="character" w:customStyle="1" w:styleId="1376">
    <w:name w:val="Char Char72"/>
    <w:autoRedefine/>
    <w:qFormat/>
    <w:uiPriority w:val="0"/>
    <w:rPr>
      <w:rFonts w:eastAsia="宋体"/>
      <w:b/>
      <w:bCs/>
      <w:kern w:val="44"/>
      <w:sz w:val="44"/>
      <w:szCs w:val="44"/>
      <w:lang w:val="en-US" w:eastAsia="zh-CN" w:bidi="ar-SA"/>
    </w:rPr>
  </w:style>
  <w:style w:type="paragraph" w:customStyle="1" w:styleId="1377">
    <w:name w:val="Char Char1 Char1"/>
    <w:basedOn w:val="1"/>
    <w:autoRedefine/>
    <w:qFormat/>
    <w:uiPriority w:val="0"/>
    <w:pPr>
      <w:snapToGrid/>
      <w:spacing w:line="240" w:lineRule="auto"/>
      <w:ind w:firstLine="0" w:firstLineChars="0"/>
      <w:jc w:val="both"/>
    </w:pPr>
    <w:rPr>
      <w:sz w:val="21"/>
    </w:rPr>
  </w:style>
  <w:style w:type="paragraph" w:customStyle="1" w:styleId="1378">
    <w:name w:val="批注框文本3"/>
    <w:basedOn w:val="1"/>
    <w:autoRedefine/>
    <w:semiHidden/>
    <w:qFormat/>
    <w:uiPriority w:val="0"/>
    <w:pPr>
      <w:widowControl/>
      <w:autoSpaceDE w:val="0"/>
      <w:autoSpaceDN w:val="0"/>
      <w:snapToGrid/>
      <w:spacing w:line="240" w:lineRule="auto"/>
      <w:ind w:firstLine="0" w:firstLineChars="0"/>
    </w:pPr>
    <w:rPr>
      <w:rFonts w:ascii="Tahoma" w:hAnsi="Tahoma" w:cs="幼圆"/>
      <w:kern w:val="0"/>
      <w:sz w:val="16"/>
      <w:szCs w:val="16"/>
      <w:lang w:val="en-GB" w:eastAsia="en-GB"/>
    </w:rPr>
  </w:style>
  <w:style w:type="paragraph" w:customStyle="1" w:styleId="1379">
    <w:name w:val="正文8"/>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380">
    <w:name w:val="Char1 Char Char Char Char Char Char Char Char Char Char Char Char Char Char Char Char Char1"/>
    <w:autoRedefine/>
    <w:qFormat/>
    <w:uiPriority w:val="0"/>
    <w:rPr>
      <w:rFonts w:ascii="Arial Narrow" w:hAnsi="Arial Narrow" w:eastAsia="仿宋_GB2312"/>
      <w:sz w:val="24"/>
      <w:szCs w:val="28"/>
      <w:lang w:val="en-US" w:eastAsia="zh-CN" w:bidi="ar-SA"/>
    </w:rPr>
  </w:style>
  <w:style w:type="paragraph" w:customStyle="1" w:styleId="1381">
    <w:name w:val="Char Char3 Char Char Char Char2"/>
    <w:basedOn w:val="1"/>
    <w:autoRedefine/>
    <w:qFormat/>
    <w:uiPriority w:val="0"/>
    <w:pPr>
      <w:widowControl/>
      <w:snapToGrid/>
      <w:spacing w:line="240" w:lineRule="exact"/>
      <w:ind w:firstLine="0" w:firstLineChars="0"/>
    </w:pPr>
    <w:rPr>
      <w:rFonts w:ascii="Verdana" w:hAnsi="Verdana"/>
      <w:kern w:val="0"/>
      <w:sz w:val="20"/>
      <w:szCs w:val="20"/>
      <w:lang w:eastAsia="en-US"/>
    </w:rPr>
  </w:style>
  <w:style w:type="character" w:customStyle="1" w:styleId="1382">
    <w:name w:val="Char Char161"/>
    <w:autoRedefine/>
    <w:qFormat/>
    <w:uiPriority w:val="0"/>
    <w:rPr>
      <w:rFonts w:ascii="Book Antiqua" w:hAnsi="Book Antiqua" w:eastAsia="宋体"/>
      <w:i/>
      <w:sz w:val="22"/>
      <w:lang w:val="en-GB" w:eastAsia="zh-CN" w:bidi="ar-SA"/>
    </w:rPr>
  </w:style>
  <w:style w:type="character" w:customStyle="1" w:styleId="1383">
    <w:name w:val="Char Char131"/>
    <w:autoRedefine/>
    <w:qFormat/>
    <w:uiPriority w:val="0"/>
    <w:rPr>
      <w:rFonts w:ascii="宋体" w:eastAsia="宋体"/>
      <w:b/>
      <w:spacing w:val="6"/>
      <w:kern w:val="2"/>
      <w:sz w:val="24"/>
      <w:szCs w:val="26"/>
      <w:lang w:val="en-US" w:eastAsia="zh-CN" w:bidi="ar-SA"/>
    </w:rPr>
  </w:style>
  <w:style w:type="paragraph" w:customStyle="1" w:styleId="1384">
    <w:name w:val="Char Char Char Char Char Char Char Char Char Char Char Char Char Char Char Char Char Char Char1"/>
    <w:basedOn w:val="1"/>
    <w:autoRedefine/>
    <w:qFormat/>
    <w:uiPriority w:val="0"/>
    <w:pPr>
      <w:snapToGrid/>
      <w:spacing w:line="240" w:lineRule="auto"/>
      <w:ind w:firstLine="0" w:firstLineChars="0"/>
      <w:jc w:val="both"/>
    </w:pPr>
    <w:rPr>
      <w:rFonts w:eastAsia="Times New Roman"/>
      <w:kern w:val="0"/>
      <w:sz w:val="20"/>
      <w:szCs w:val="20"/>
    </w:rPr>
  </w:style>
  <w:style w:type="character" w:customStyle="1" w:styleId="1385">
    <w:name w:val="Char Char101"/>
    <w:autoRedefine/>
    <w:qFormat/>
    <w:uiPriority w:val="0"/>
    <w:rPr>
      <w:rFonts w:eastAsia="宋体"/>
      <w:sz w:val="18"/>
      <w:szCs w:val="18"/>
      <w:lang w:val="zh-CN" w:eastAsia="zh-CN" w:bidi="ar-SA"/>
    </w:rPr>
  </w:style>
  <w:style w:type="character" w:customStyle="1" w:styleId="1386">
    <w:name w:val="Char Char81"/>
    <w:autoRedefine/>
    <w:qFormat/>
    <w:uiPriority w:val="0"/>
    <w:rPr>
      <w:rFonts w:ascii="宋体" w:hAnsi="宋体" w:eastAsia="宋体"/>
      <w:sz w:val="24"/>
      <w:szCs w:val="24"/>
      <w:lang w:val="zh-CN" w:eastAsia="zh-CN" w:bidi="ar-SA"/>
    </w:rPr>
  </w:style>
  <w:style w:type="paragraph" w:customStyle="1" w:styleId="1387">
    <w:name w:val="Char Char Char Char Char2 Char Char Char Char2"/>
    <w:basedOn w:val="1"/>
    <w:autoRedefine/>
    <w:semiHidden/>
    <w:qFormat/>
    <w:uiPriority w:val="0"/>
    <w:pPr>
      <w:adjustRightInd w:val="0"/>
      <w:ind w:firstLine="200"/>
      <w:jc w:val="both"/>
    </w:pPr>
    <w:rPr>
      <w:rFonts w:ascii="宋体" w:hAnsi="宋体" w:cs="宋体"/>
      <w:szCs w:val="26"/>
    </w:rPr>
  </w:style>
  <w:style w:type="character" w:customStyle="1" w:styleId="1388">
    <w:name w:val="标题9"/>
    <w:autoRedefine/>
    <w:qFormat/>
    <w:uiPriority w:val="0"/>
  </w:style>
  <w:style w:type="paragraph" w:customStyle="1" w:styleId="1389">
    <w:name w:val="Char Char Char Char Char Char Char Char Char Char Char Char Char Char Char Char Char Char1"/>
    <w:basedOn w:val="1"/>
    <w:autoRedefine/>
    <w:qFormat/>
    <w:uiPriority w:val="0"/>
    <w:pPr>
      <w:snapToGrid/>
      <w:spacing w:line="240" w:lineRule="auto"/>
      <w:ind w:firstLine="0" w:firstLineChars="0"/>
      <w:jc w:val="both"/>
    </w:pPr>
    <w:rPr>
      <w:sz w:val="21"/>
    </w:rPr>
  </w:style>
  <w:style w:type="paragraph" w:customStyle="1" w:styleId="1390">
    <w:name w:val="Char Char Char Char Char Char Char Char Char Char1"/>
    <w:basedOn w:val="1"/>
    <w:next w:val="1"/>
    <w:autoRedefine/>
    <w:qFormat/>
    <w:uiPriority w:val="0"/>
    <w:pPr>
      <w:snapToGrid/>
      <w:ind w:firstLine="200"/>
      <w:jc w:val="both"/>
    </w:pPr>
    <w:rPr>
      <w:rFonts w:ascii="宋体" w:hAnsi="宋体" w:cs="宋体"/>
    </w:rPr>
  </w:style>
  <w:style w:type="paragraph" w:customStyle="1" w:styleId="1391">
    <w:name w:val="Char Char Char Char Char Char Char Char Char Char Char Char1"/>
    <w:basedOn w:val="1"/>
    <w:next w:val="1"/>
    <w:autoRedefine/>
    <w:qFormat/>
    <w:uiPriority w:val="0"/>
    <w:pPr>
      <w:snapToGrid/>
      <w:ind w:firstLine="200"/>
      <w:jc w:val="both"/>
    </w:pPr>
    <w:rPr>
      <w:rFonts w:ascii="宋体" w:hAnsi="宋体" w:cs="宋体"/>
    </w:rPr>
  </w:style>
  <w:style w:type="paragraph" w:customStyle="1" w:styleId="1392">
    <w:name w:val="Char Char Char Char Char Char Char Char Char Char Char Char1 Char1"/>
    <w:basedOn w:val="1"/>
    <w:next w:val="1"/>
    <w:autoRedefine/>
    <w:qFormat/>
    <w:uiPriority w:val="0"/>
    <w:pPr>
      <w:snapToGrid/>
      <w:ind w:firstLine="200"/>
      <w:jc w:val="both"/>
    </w:pPr>
    <w:rPr>
      <w:rFonts w:ascii="宋体" w:hAnsi="宋体" w:cs="宋体"/>
    </w:rPr>
  </w:style>
  <w:style w:type="paragraph" w:customStyle="1" w:styleId="1393">
    <w:name w:val="Char Char Char Char Char Char1 Char1"/>
    <w:basedOn w:val="1"/>
    <w:autoRedefine/>
    <w:qFormat/>
    <w:uiPriority w:val="0"/>
    <w:pPr>
      <w:snapToGrid/>
      <w:spacing w:line="240" w:lineRule="auto"/>
      <w:ind w:firstLine="0" w:firstLineChars="0"/>
      <w:jc w:val="both"/>
    </w:pPr>
    <w:rPr>
      <w:sz w:val="21"/>
    </w:rPr>
  </w:style>
  <w:style w:type="paragraph" w:customStyle="1" w:styleId="1394">
    <w:name w:val="Char Char Char Char Char Char Char Char Char Char Char Char Char Char Char Char2"/>
    <w:basedOn w:val="1"/>
    <w:autoRedefine/>
    <w:qFormat/>
    <w:uiPriority w:val="0"/>
    <w:pPr>
      <w:snapToGrid/>
      <w:spacing w:line="240" w:lineRule="auto"/>
      <w:ind w:firstLine="0" w:firstLineChars="0"/>
      <w:jc w:val="both"/>
    </w:pPr>
    <w:rPr>
      <w:sz w:val="21"/>
    </w:rPr>
  </w:style>
  <w:style w:type="paragraph" w:customStyle="1" w:styleId="1395">
    <w:name w:val="Char Char Char1 Char Char Char Char Char Char Char Char Char Char Char Char Char Char Char Char Char Char Char1"/>
    <w:basedOn w:val="1"/>
    <w:autoRedefine/>
    <w:qFormat/>
    <w:uiPriority w:val="0"/>
    <w:pPr>
      <w:snapToGrid/>
      <w:spacing w:line="240" w:lineRule="auto"/>
      <w:ind w:firstLine="0" w:firstLineChars="0"/>
      <w:jc w:val="both"/>
    </w:pPr>
    <w:rPr>
      <w:sz w:val="21"/>
    </w:rPr>
  </w:style>
  <w:style w:type="paragraph" w:customStyle="1" w:styleId="1396">
    <w:name w:val="Char Char Char Char Char Char Char Char Char Char Char Char Char Char Char Char Char Char Char Char Char Char Char Char Char Char Char Char Char Char Char Char Char Char Char Char Char Char Char1"/>
    <w:basedOn w:val="1"/>
    <w:autoRedefine/>
    <w:qFormat/>
    <w:uiPriority w:val="0"/>
    <w:pPr>
      <w:snapToGrid/>
      <w:spacing w:line="240" w:lineRule="auto"/>
      <w:ind w:firstLine="0" w:firstLineChars="0"/>
      <w:jc w:val="both"/>
    </w:pPr>
    <w:rPr>
      <w:sz w:val="21"/>
    </w:rPr>
  </w:style>
  <w:style w:type="paragraph" w:customStyle="1" w:styleId="1397">
    <w:name w:val="Char Char Char Char Char Char Char Char Char Char Char1"/>
    <w:basedOn w:val="1"/>
    <w:autoRedefine/>
    <w:qFormat/>
    <w:uiPriority w:val="0"/>
    <w:pPr>
      <w:adjustRightInd w:val="0"/>
      <w:snapToGrid/>
      <w:ind w:firstLine="0" w:firstLineChars="0"/>
      <w:jc w:val="both"/>
    </w:pPr>
    <w:rPr>
      <w:kern w:val="0"/>
      <w:szCs w:val="20"/>
    </w:rPr>
  </w:style>
  <w:style w:type="character" w:customStyle="1" w:styleId="1398">
    <w:name w:val="Char Char Char Char Char Char Char Char1"/>
    <w:link w:val="1369"/>
    <w:autoRedefine/>
    <w:qFormat/>
    <w:uiPriority w:val="0"/>
    <w:rPr>
      <w:kern w:val="2"/>
      <w:sz w:val="21"/>
      <w:szCs w:val="24"/>
    </w:rPr>
  </w:style>
  <w:style w:type="paragraph" w:customStyle="1" w:styleId="1399">
    <w:name w:val="Char Char Char Char Char2 Char1"/>
    <w:basedOn w:val="1"/>
    <w:autoRedefine/>
    <w:qFormat/>
    <w:uiPriority w:val="0"/>
    <w:pPr>
      <w:adjustRightInd w:val="0"/>
      <w:ind w:firstLine="200"/>
      <w:jc w:val="both"/>
    </w:pPr>
    <w:rPr>
      <w:sz w:val="21"/>
      <w:szCs w:val="20"/>
    </w:rPr>
  </w:style>
  <w:style w:type="character" w:customStyle="1" w:styleId="1400">
    <w:name w:val="Char Char171"/>
    <w:autoRedefine/>
    <w:qFormat/>
    <w:uiPriority w:val="0"/>
    <w:rPr>
      <w:rFonts w:eastAsia="宋体"/>
      <w:color w:val="000000"/>
      <w:kern w:val="2"/>
      <w:sz w:val="18"/>
      <w:szCs w:val="18"/>
      <w:lang w:val="en-US" w:eastAsia="zh-CN" w:bidi="ar-SA"/>
    </w:rPr>
  </w:style>
  <w:style w:type="paragraph" w:customStyle="1" w:styleId="1401">
    <w:name w:val="Char Char Char2"/>
    <w:basedOn w:val="1"/>
    <w:autoRedefine/>
    <w:qFormat/>
    <w:uiPriority w:val="0"/>
    <w:pPr>
      <w:snapToGrid/>
      <w:spacing w:line="240" w:lineRule="auto"/>
      <w:ind w:firstLine="0" w:firstLineChars="0"/>
      <w:jc w:val="both"/>
    </w:pPr>
  </w:style>
  <w:style w:type="character" w:customStyle="1" w:styleId="1402">
    <w:name w:val="Char Char221"/>
    <w:autoRedefine/>
    <w:qFormat/>
    <w:uiPriority w:val="0"/>
    <w:rPr>
      <w:sz w:val="18"/>
      <w:lang w:eastAsia="en-US" w:bidi="en-US"/>
    </w:rPr>
  </w:style>
  <w:style w:type="character" w:customStyle="1" w:styleId="1403">
    <w:name w:val="Char Char211"/>
    <w:autoRedefine/>
    <w:qFormat/>
    <w:uiPriority w:val="0"/>
    <w:rPr>
      <w:rFonts w:eastAsia="宋体"/>
      <w:sz w:val="18"/>
    </w:rPr>
  </w:style>
  <w:style w:type="character" w:customStyle="1" w:styleId="1404">
    <w:name w:val="Char Char201"/>
    <w:autoRedefine/>
    <w:qFormat/>
    <w:uiPriority w:val="0"/>
    <w:rPr>
      <w:rFonts w:eastAsia="宋体"/>
      <w:sz w:val="18"/>
    </w:rPr>
  </w:style>
  <w:style w:type="character" w:customStyle="1" w:styleId="1405">
    <w:name w:val="Char Char191"/>
    <w:autoRedefine/>
    <w:qFormat/>
    <w:uiPriority w:val="0"/>
    <w:rPr>
      <w:rFonts w:ascii="Cambria" w:hAnsi="Cambria" w:eastAsia="宋体"/>
      <w:b/>
      <w:kern w:val="28"/>
      <w:sz w:val="32"/>
    </w:rPr>
  </w:style>
  <w:style w:type="character" w:customStyle="1" w:styleId="1406">
    <w:name w:val="Char Char181"/>
    <w:autoRedefine/>
    <w:qFormat/>
    <w:uiPriority w:val="0"/>
    <w:rPr>
      <w:rFonts w:eastAsia="宋体"/>
    </w:rPr>
  </w:style>
  <w:style w:type="character" w:customStyle="1" w:styleId="1407">
    <w:name w:val="仿宋体正文 Char1"/>
    <w:autoRedefine/>
    <w:qFormat/>
    <w:uiPriority w:val="0"/>
    <w:rPr>
      <w:rFonts w:ascii="Times New Roman" w:hAnsi="Times New Roman" w:eastAsia="宋体" w:cs="Times New Roman"/>
      <w:color w:val="000000"/>
      <w:sz w:val="24"/>
      <w:szCs w:val="24"/>
    </w:rPr>
  </w:style>
  <w:style w:type="character" w:customStyle="1" w:styleId="1408">
    <w:name w:val="Char Char25"/>
    <w:autoRedefine/>
    <w:qFormat/>
    <w:uiPriority w:val="0"/>
    <w:rPr>
      <w:rFonts w:ascii="Times New Roman" w:hAnsi="Times New Roman" w:eastAsia="宋体" w:cs="Times New Roman"/>
      <w:szCs w:val="24"/>
    </w:rPr>
  </w:style>
  <w:style w:type="paragraph" w:customStyle="1" w:styleId="1409">
    <w:name w:val="Char Char Char1 Char"/>
    <w:basedOn w:val="1"/>
    <w:autoRedefine/>
    <w:qFormat/>
    <w:uiPriority w:val="0"/>
    <w:pPr>
      <w:snapToGrid/>
      <w:spacing w:line="240" w:lineRule="auto"/>
      <w:ind w:firstLine="0" w:firstLineChars="0"/>
      <w:jc w:val="both"/>
    </w:pPr>
    <w:rPr>
      <w:rFonts w:ascii="宋体" w:hAnsi="Tahoma" w:cs="Tahoma"/>
      <w:sz w:val="20"/>
      <w:szCs w:val="21"/>
    </w:rPr>
  </w:style>
  <w:style w:type="paragraph" w:customStyle="1" w:styleId="1410">
    <w:name w:val="Char Char Char Char Char"/>
    <w:basedOn w:val="1"/>
    <w:autoRedefine/>
    <w:qFormat/>
    <w:uiPriority w:val="0"/>
    <w:pPr>
      <w:snapToGrid/>
      <w:spacing w:line="240" w:lineRule="auto"/>
      <w:ind w:firstLine="0" w:firstLineChars="0"/>
      <w:jc w:val="both"/>
    </w:pPr>
    <w:rPr>
      <w:sz w:val="21"/>
    </w:rPr>
  </w:style>
  <w:style w:type="paragraph" w:customStyle="1" w:styleId="1411">
    <w:name w:val="表小5"/>
    <w:basedOn w:val="1"/>
    <w:autoRedefine/>
    <w:qFormat/>
    <w:uiPriority w:val="0"/>
    <w:pPr>
      <w:tabs>
        <w:tab w:val="left" w:pos="0"/>
        <w:tab w:val="left" w:pos="2619"/>
      </w:tabs>
      <w:spacing w:line="240" w:lineRule="auto"/>
      <w:ind w:firstLine="0" w:firstLineChars="0"/>
      <w:jc w:val="center"/>
    </w:pPr>
    <w:rPr>
      <w:rFonts w:hAnsi="宋体"/>
      <w:spacing w:val="6"/>
      <w:sz w:val="21"/>
      <w:szCs w:val="20"/>
    </w:rPr>
  </w:style>
  <w:style w:type="paragraph" w:customStyle="1" w:styleId="1412">
    <w:name w:val="样式 小四 行距: 1.5 倍行距"/>
    <w:basedOn w:val="1"/>
    <w:autoRedefine/>
    <w:qFormat/>
    <w:uiPriority w:val="0"/>
    <w:pPr>
      <w:snapToGrid/>
      <w:jc w:val="both"/>
    </w:pPr>
    <w:rPr>
      <w:kern w:val="0"/>
      <w:sz w:val="28"/>
      <w:szCs w:val="20"/>
    </w:rPr>
  </w:style>
  <w:style w:type="character" w:customStyle="1" w:styleId="1413">
    <w:name w:val="Date Char"/>
    <w:autoRedefine/>
    <w:semiHidden/>
    <w:qFormat/>
    <w:locked/>
    <w:uiPriority w:val="0"/>
    <w:rPr>
      <w:rFonts w:eastAsia="宋体"/>
      <w:kern w:val="2"/>
      <w:sz w:val="21"/>
      <w:szCs w:val="24"/>
      <w:lang w:val="en-US" w:eastAsia="zh-CN" w:bidi="ar-SA"/>
    </w:rPr>
  </w:style>
  <w:style w:type="paragraph" w:customStyle="1" w:styleId="1414">
    <w:name w:val="二级标题 Char Char Char"/>
    <w:basedOn w:val="1"/>
    <w:next w:val="1"/>
    <w:autoRedefine/>
    <w:qFormat/>
    <w:uiPriority w:val="0"/>
    <w:pPr>
      <w:snapToGrid/>
      <w:spacing w:line="529" w:lineRule="exact"/>
      <w:ind w:firstLine="200"/>
      <w:jc w:val="both"/>
    </w:pPr>
    <w:rPr>
      <w:rFonts w:ascii="宋体" w:hAnsi="宋体" w:cs="宋体"/>
    </w:rPr>
  </w:style>
  <w:style w:type="character" w:customStyle="1" w:styleId="1415">
    <w:name w:val="标题 3 Char1 Char Char1"/>
    <w:autoRedefine/>
    <w:qFormat/>
    <w:uiPriority w:val="0"/>
    <w:rPr>
      <w:rFonts w:eastAsia="宋体"/>
      <w:b/>
      <w:bCs/>
      <w:kern w:val="2"/>
      <w:sz w:val="32"/>
      <w:szCs w:val="32"/>
      <w:lang w:val="en-US" w:eastAsia="zh-CN" w:bidi="ar-SA"/>
    </w:rPr>
  </w:style>
  <w:style w:type="character" w:customStyle="1" w:styleId="1416">
    <w:name w:val="c1"/>
    <w:autoRedefine/>
    <w:qFormat/>
    <w:uiPriority w:val="0"/>
    <w:rPr>
      <w:rFonts w:hint="default" w:ascii="ˎ̥" w:hAnsi="ˎ̥"/>
      <w:color w:val="000000"/>
      <w:sz w:val="21"/>
      <w:szCs w:val="21"/>
      <w:u w:val="none"/>
    </w:rPr>
  </w:style>
  <w:style w:type="paragraph" w:customStyle="1" w:styleId="1417">
    <w:name w:val="正文排版"/>
    <w:basedOn w:val="1"/>
    <w:autoRedefine/>
    <w:qFormat/>
    <w:uiPriority w:val="0"/>
    <w:pPr>
      <w:snapToGrid/>
      <w:spacing w:line="500" w:lineRule="exact"/>
      <w:ind w:firstLine="560"/>
      <w:jc w:val="both"/>
    </w:pPr>
    <w:rPr>
      <w:rFonts w:ascii="宋体" w:hAnsi="宋体"/>
      <w:color w:val="000000"/>
      <w:sz w:val="28"/>
      <w:szCs w:val="28"/>
    </w:rPr>
  </w:style>
  <w:style w:type="paragraph" w:customStyle="1" w:styleId="1418">
    <w:name w:val="Char Char Char Char Char Char Char Char Char Char Char Char Char"/>
    <w:basedOn w:val="1"/>
    <w:autoRedefine/>
    <w:qFormat/>
    <w:uiPriority w:val="0"/>
    <w:pPr>
      <w:snapToGrid/>
      <w:ind w:firstLine="200"/>
      <w:jc w:val="both"/>
    </w:pPr>
    <w:rPr>
      <w:rFonts w:ascii="宋体" w:hAnsi="宋体" w:cs="宋体"/>
    </w:rPr>
  </w:style>
  <w:style w:type="character" w:customStyle="1" w:styleId="1419">
    <w:name w:val="wbz2"/>
    <w:autoRedefine/>
    <w:qFormat/>
    <w:uiPriority w:val="0"/>
    <w:rPr>
      <w:rFonts w:hint="default"/>
      <w:color w:val="000000"/>
      <w:spacing w:val="0"/>
      <w:sz w:val="18"/>
      <w:szCs w:val="18"/>
      <w:u w:val="none"/>
    </w:rPr>
  </w:style>
  <w:style w:type="character" w:customStyle="1" w:styleId="1420">
    <w:name w:val="ft42"/>
    <w:autoRedefine/>
    <w:qFormat/>
    <w:uiPriority w:val="0"/>
    <w:rPr>
      <w:rFonts w:hint="default" w:ascii="Times" w:hAnsi="Times" w:cs="Times"/>
      <w:color w:val="000000"/>
      <w:sz w:val="27"/>
      <w:szCs w:val="27"/>
    </w:rPr>
  </w:style>
  <w:style w:type="character" w:customStyle="1" w:styleId="1421">
    <w:name w:val="ft44"/>
    <w:autoRedefine/>
    <w:qFormat/>
    <w:uiPriority w:val="0"/>
    <w:rPr>
      <w:rFonts w:hint="default" w:ascii="Times" w:hAnsi="Times" w:cs="Times"/>
      <w:color w:val="000000"/>
      <w:sz w:val="11"/>
      <w:szCs w:val="11"/>
    </w:rPr>
  </w:style>
  <w:style w:type="character" w:customStyle="1" w:styleId="1422">
    <w:name w:val="ft610"/>
    <w:autoRedefine/>
    <w:qFormat/>
    <w:uiPriority w:val="0"/>
    <w:rPr>
      <w:rFonts w:hint="default" w:ascii="Times" w:hAnsi="Times" w:cs="Times"/>
      <w:color w:val="000000"/>
      <w:sz w:val="24"/>
      <w:szCs w:val="24"/>
    </w:rPr>
  </w:style>
  <w:style w:type="character" w:customStyle="1" w:styleId="1423">
    <w:name w:val="ft183"/>
    <w:autoRedefine/>
    <w:qFormat/>
    <w:uiPriority w:val="0"/>
    <w:rPr>
      <w:rFonts w:hint="default" w:ascii="Times" w:hAnsi="Times" w:cs="Times"/>
      <w:color w:val="000000"/>
      <w:sz w:val="24"/>
      <w:szCs w:val="24"/>
    </w:rPr>
  </w:style>
  <w:style w:type="character" w:customStyle="1" w:styleId="1424">
    <w:name w:val="jj1"/>
    <w:autoRedefine/>
    <w:qFormat/>
    <w:uiPriority w:val="0"/>
  </w:style>
  <w:style w:type="character" w:customStyle="1" w:styleId="1425">
    <w:name w:val="wangyong1"/>
    <w:autoRedefine/>
    <w:qFormat/>
    <w:uiPriority w:val="0"/>
    <w:rPr>
      <w:rFonts w:hint="default"/>
      <w:color w:val="000000"/>
      <w:sz w:val="18"/>
      <w:szCs w:val="18"/>
      <w:u w:val="none"/>
    </w:rPr>
  </w:style>
  <w:style w:type="character" w:customStyle="1" w:styleId="1426">
    <w:name w:val="第四层条 Char Char"/>
    <w:autoRedefine/>
    <w:qFormat/>
    <w:uiPriority w:val="0"/>
    <w:rPr>
      <w:rFonts w:eastAsia="宋体"/>
      <w:b/>
      <w:kern w:val="2"/>
      <w:sz w:val="28"/>
      <w:lang w:val="en-US" w:eastAsia="zh-CN" w:bidi="ar-SA"/>
    </w:rPr>
  </w:style>
  <w:style w:type="character" w:customStyle="1" w:styleId="1427">
    <w:name w:val="第五层条 Char Char"/>
    <w:autoRedefine/>
    <w:qFormat/>
    <w:uiPriority w:val="0"/>
    <w:rPr>
      <w:rFonts w:ascii="Arial" w:hAnsi="Arial" w:eastAsia="黑体"/>
      <w:b/>
      <w:bCs/>
      <w:kern w:val="2"/>
      <w:sz w:val="24"/>
      <w:szCs w:val="24"/>
      <w:lang w:val="en-US" w:eastAsia="zh-CN" w:bidi="ar-SA"/>
    </w:rPr>
  </w:style>
  <w:style w:type="character" w:customStyle="1" w:styleId="1428">
    <w:name w:val="表中文字 Char Char"/>
    <w:autoRedefine/>
    <w:qFormat/>
    <w:uiPriority w:val="0"/>
    <w:rPr>
      <w:rFonts w:ascii="宋体" w:hAnsi="宋体" w:eastAsia="宋体"/>
      <w:kern w:val="2"/>
      <w:sz w:val="24"/>
      <w:szCs w:val="24"/>
      <w:lang w:val="en-US" w:eastAsia="zh-CN" w:bidi="ar-SA"/>
    </w:rPr>
  </w:style>
  <w:style w:type="character" w:customStyle="1" w:styleId="1429">
    <w:name w:val="14red1"/>
    <w:autoRedefine/>
    <w:qFormat/>
    <w:uiPriority w:val="0"/>
    <w:rPr>
      <w:color w:val="FF0000"/>
      <w:sz w:val="21"/>
      <w:szCs w:val="21"/>
      <w:u w:val="none"/>
    </w:rPr>
  </w:style>
  <w:style w:type="paragraph" w:customStyle="1" w:styleId="1430">
    <w:name w:val="样式 标题 1 + 小四"/>
    <w:basedOn w:val="3"/>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character" w:customStyle="1" w:styleId="1431">
    <w:name w:val="smessage_content"/>
    <w:autoRedefine/>
    <w:qFormat/>
    <w:uiPriority w:val="0"/>
  </w:style>
  <w:style w:type="paragraph" w:customStyle="1" w:styleId="1432">
    <w:name w:val="表格体"/>
    <w:basedOn w:val="1"/>
    <w:autoRedefine/>
    <w:qFormat/>
    <w:uiPriority w:val="0"/>
    <w:pPr>
      <w:adjustRightInd w:val="0"/>
      <w:spacing w:line="240" w:lineRule="auto"/>
      <w:ind w:firstLine="0" w:firstLineChars="0"/>
      <w:jc w:val="center"/>
    </w:pPr>
    <w:rPr>
      <w:bCs/>
      <w:sz w:val="21"/>
    </w:rPr>
  </w:style>
  <w:style w:type="character" w:customStyle="1" w:styleId="1433">
    <w:name w:val="表头 Char Char"/>
    <w:autoRedefine/>
    <w:qFormat/>
    <w:uiPriority w:val="0"/>
    <w:rPr>
      <w:rFonts w:ascii="黑体" w:eastAsia="黑体"/>
      <w:kern w:val="2"/>
      <w:sz w:val="21"/>
      <w:lang w:val="en-US" w:eastAsia="zh-CN" w:bidi="ar-SA"/>
    </w:rPr>
  </w:style>
  <w:style w:type="paragraph" w:customStyle="1" w:styleId="1434">
    <w:name w:val="表格字"/>
    <w:basedOn w:val="66"/>
    <w:autoRedefine/>
    <w:qFormat/>
    <w:uiPriority w:val="0"/>
    <w:pPr>
      <w:spacing w:line="380" w:lineRule="exact"/>
      <w:textAlignment w:val="auto"/>
    </w:pPr>
  </w:style>
  <w:style w:type="paragraph" w:customStyle="1" w:styleId="1435">
    <w:name w:val="正文1 Char Char Char"/>
    <w:basedOn w:val="1"/>
    <w:autoRedefine/>
    <w:qFormat/>
    <w:uiPriority w:val="0"/>
    <w:pPr>
      <w:snapToGrid/>
      <w:spacing w:line="560" w:lineRule="exact"/>
      <w:ind w:firstLine="200"/>
      <w:jc w:val="both"/>
    </w:pPr>
    <w:rPr>
      <w:rFonts w:ascii="宋体" w:hAnsi="宋体" w:cs="宋体"/>
    </w:rPr>
  </w:style>
  <w:style w:type="paragraph" w:customStyle="1" w:styleId="1436">
    <w:name w:val="样式12q"/>
    <w:basedOn w:val="1"/>
    <w:link w:val="1437"/>
    <w:autoRedefine/>
    <w:qFormat/>
    <w:uiPriority w:val="0"/>
    <w:pPr>
      <w:snapToGrid/>
      <w:ind w:firstLine="560"/>
      <w:jc w:val="both"/>
    </w:pPr>
    <w:rPr>
      <w:sz w:val="28"/>
      <w:szCs w:val="28"/>
    </w:rPr>
  </w:style>
  <w:style w:type="character" w:customStyle="1" w:styleId="1437">
    <w:name w:val="样式12q Char"/>
    <w:link w:val="1436"/>
    <w:autoRedefine/>
    <w:qFormat/>
    <w:uiPriority w:val="0"/>
    <w:rPr>
      <w:kern w:val="2"/>
      <w:sz w:val="28"/>
      <w:szCs w:val="28"/>
    </w:rPr>
  </w:style>
  <w:style w:type="paragraph" w:customStyle="1" w:styleId="1438">
    <w:name w:val="标题 3，BSH-3条标题1.1.1"/>
    <w:basedOn w:val="5"/>
    <w:link w:val="1439"/>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1439">
    <w:name w:val="标题 3，BSH-3条标题1.1.1 Char Char"/>
    <w:link w:val="1438"/>
    <w:autoRedefine/>
    <w:qFormat/>
    <w:uiPriority w:val="0"/>
    <w:rPr>
      <w:b/>
      <w:bCs/>
      <w:kern w:val="2"/>
      <w:sz w:val="32"/>
      <w:szCs w:val="32"/>
    </w:rPr>
  </w:style>
  <w:style w:type="paragraph" w:customStyle="1" w:styleId="1440">
    <w:name w:val="样式 标题 2节标题 1.11.1标题2SeBSH-2h2l22nd levelTitre22Header ..."/>
    <w:basedOn w:val="4"/>
    <w:link w:val="1441"/>
    <w:autoRedefine/>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441">
    <w:name w:val="样式 标题 2节标题 1.11.1标题2SeBSH-2h2l22nd levelTitre22Header ... Char"/>
    <w:link w:val="1440"/>
    <w:autoRedefine/>
    <w:qFormat/>
    <w:uiPriority w:val="0"/>
    <w:rPr>
      <w:rFonts w:ascii="Cambria" w:hAnsi="Cambria"/>
      <w:b/>
      <w:bCs/>
      <w:kern w:val="2"/>
      <w:sz w:val="32"/>
      <w:szCs w:val="32"/>
    </w:rPr>
  </w:style>
  <w:style w:type="paragraph" w:customStyle="1" w:styleId="1442">
    <w:name w:val="正文：段落格式"/>
    <w:basedOn w:val="1"/>
    <w:link w:val="1443"/>
    <w:autoRedefine/>
    <w:qFormat/>
    <w:uiPriority w:val="0"/>
    <w:pPr>
      <w:tabs>
        <w:tab w:val="left" w:pos="1440"/>
      </w:tabs>
      <w:adjustRightInd w:val="0"/>
      <w:spacing w:line="440" w:lineRule="atLeast"/>
      <w:ind w:left="1440" w:hanging="360" w:firstLineChars="0"/>
      <w:jc w:val="both"/>
    </w:pPr>
    <w:rPr>
      <w:rFonts w:ascii="宋体" w:hAnsi="宋体"/>
      <w:color w:val="000000"/>
      <w:kern w:val="15"/>
    </w:rPr>
  </w:style>
  <w:style w:type="character" w:customStyle="1" w:styleId="1443">
    <w:name w:val="正文：段落格式 Char"/>
    <w:link w:val="1442"/>
    <w:autoRedefine/>
    <w:qFormat/>
    <w:uiPriority w:val="0"/>
    <w:rPr>
      <w:rFonts w:ascii="宋体" w:hAnsi="宋体"/>
      <w:color w:val="000000"/>
      <w:kern w:val="15"/>
      <w:sz w:val="24"/>
      <w:szCs w:val="24"/>
    </w:rPr>
  </w:style>
  <w:style w:type="paragraph" w:customStyle="1" w:styleId="1444">
    <w:name w:val="样式 样式 正文缩进s4 + 首行缩进:  2 字符 + 首行缩进:  2 字符"/>
    <w:basedOn w:val="1"/>
    <w:autoRedefine/>
    <w:qFormat/>
    <w:uiPriority w:val="0"/>
    <w:pPr>
      <w:adjustRightInd w:val="0"/>
      <w:spacing w:line="336" w:lineRule="auto"/>
      <w:ind w:firstLine="545" w:firstLineChars="227"/>
      <w:jc w:val="both"/>
    </w:pPr>
    <w:rPr>
      <w:rFonts w:ascii="宋体" w:hAnsi="宋体"/>
      <w:color w:val="000000"/>
      <w:sz w:val="28"/>
      <w:szCs w:val="20"/>
    </w:rPr>
  </w:style>
  <w:style w:type="paragraph" w:customStyle="1" w:styleId="1445">
    <w:name w:val="正文文本最新 Char Char Char Char1 Char"/>
    <w:basedOn w:val="1"/>
    <w:link w:val="1446"/>
    <w:autoRedefine/>
    <w:qFormat/>
    <w:uiPriority w:val="0"/>
    <w:pPr>
      <w:snapToGrid/>
      <w:ind w:firstLine="200"/>
      <w:jc w:val="both"/>
    </w:pPr>
    <w:rPr>
      <w:bCs/>
      <w:sz w:val="28"/>
    </w:rPr>
  </w:style>
  <w:style w:type="character" w:customStyle="1" w:styleId="1446">
    <w:name w:val="正文文本最新 Char Char Char Char1 Char Char"/>
    <w:link w:val="1445"/>
    <w:autoRedefine/>
    <w:qFormat/>
    <w:uiPriority w:val="0"/>
    <w:rPr>
      <w:bCs/>
      <w:kern w:val="2"/>
      <w:sz w:val="28"/>
      <w:szCs w:val="24"/>
    </w:rPr>
  </w:style>
  <w:style w:type="paragraph" w:customStyle="1" w:styleId="1447">
    <w:name w:val="标题1q"/>
    <w:basedOn w:val="1"/>
    <w:next w:val="1"/>
    <w:autoRedefine/>
    <w:qFormat/>
    <w:uiPriority w:val="0"/>
    <w:pPr>
      <w:snapToGrid/>
      <w:ind w:left="431" w:firstLine="200"/>
      <w:jc w:val="center"/>
    </w:pPr>
    <w:rPr>
      <w:sz w:val="21"/>
      <w:szCs w:val="20"/>
    </w:rPr>
  </w:style>
  <w:style w:type="character" w:customStyle="1" w:styleId="1448">
    <w:name w:val="正文 宋体 小四 Char"/>
    <w:link w:val="1449"/>
    <w:autoRedefine/>
    <w:qFormat/>
    <w:uiPriority w:val="0"/>
    <w:rPr>
      <w:rFonts w:ascii="宋体" w:hAnsi="宋体"/>
      <w:sz w:val="24"/>
    </w:rPr>
  </w:style>
  <w:style w:type="paragraph" w:customStyle="1" w:styleId="1449">
    <w:name w:val="正文 宋体 小四"/>
    <w:basedOn w:val="1"/>
    <w:link w:val="1448"/>
    <w:autoRedefine/>
    <w:qFormat/>
    <w:uiPriority w:val="0"/>
    <w:pPr>
      <w:snapToGrid/>
      <w:ind w:firstLine="0" w:firstLineChars="0"/>
      <w:jc w:val="both"/>
    </w:pPr>
    <w:rPr>
      <w:rFonts w:ascii="宋体" w:hAnsi="宋体"/>
      <w:kern w:val="0"/>
      <w:szCs w:val="20"/>
    </w:rPr>
  </w:style>
  <w:style w:type="character" w:customStyle="1" w:styleId="1450">
    <w:name w:val="四号仿宋左空1格行距1倍 Char Char"/>
    <w:autoRedefine/>
    <w:qFormat/>
    <w:locked/>
    <w:uiPriority w:val="0"/>
    <w:rPr>
      <w:rFonts w:ascii="Arial" w:hAnsi="Arial" w:eastAsia="黑体"/>
      <w:b/>
      <w:kern w:val="2"/>
      <w:sz w:val="28"/>
      <w:lang w:val="en-US" w:eastAsia="zh-CN" w:bidi="ar-SA"/>
    </w:rPr>
  </w:style>
  <w:style w:type="character" w:customStyle="1" w:styleId="1451">
    <w:name w:val="图表名 Char1"/>
    <w:autoRedefine/>
    <w:qFormat/>
    <w:uiPriority w:val="0"/>
    <w:rPr>
      <w:rFonts w:eastAsia="黑体"/>
      <w:sz w:val="28"/>
      <w:szCs w:val="28"/>
      <w:lang w:val="en-US" w:eastAsia="zh-CN" w:bidi="ar-SA"/>
    </w:rPr>
  </w:style>
  <w:style w:type="character" w:customStyle="1" w:styleId="1452">
    <w:name w:val="L正文 Char"/>
    <w:link w:val="203"/>
    <w:autoRedefine/>
    <w:qFormat/>
    <w:uiPriority w:val="0"/>
    <w:rPr>
      <w:kern w:val="2"/>
      <w:sz w:val="25"/>
      <w:szCs w:val="21"/>
    </w:rPr>
  </w:style>
  <w:style w:type="character" w:customStyle="1" w:styleId="1453">
    <w:name w:val="电脑标志 Char Char"/>
    <w:autoRedefine/>
    <w:qFormat/>
    <w:uiPriority w:val="0"/>
    <w:rPr>
      <w:rFonts w:ascii="Arial" w:hAnsi="Arial" w:eastAsia="黑体"/>
      <w:b/>
      <w:bCs/>
      <w:kern w:val="2"/>
      <w:sz w:val="32"/>
      <w:szCs w:val="32"/>
      <w:lang w:val="en-US" w:eastAsia="zh-CN" w:bidi="ar-SA"/>
    </w:rPr>
  </w:style>
  <w:style w:type="paragraph" w:customStyle="1" w:styleId="1454">
    <w:name w:val="表格文字5号"/>
    <w:basedOn w:val="1"/>
    <w:autoRedefine/>
    <w:qFormat/>
    <w:uiPriority w:val="0"/>
    <w:pPr>
      <w:snapToGrid/>
      <w:spacing w:line="280" w:lineRule="exact"/>
      <w:ind w:firstLine="200"/>
      <w:jc w:val="center"/>
    </w:pPr>
    <w:rPr>
      <w:rFonts w:ascii="仿宋_GB2312" w:eastAsia="仿宋_GB2312"/>
      <w:sz w:val="21"/>
    </w:rPr>
  </w:style>
  <w:style w:type="paragraph" w:customStyle="1" w:styleId="1455">
    <w:name w:val="表格文字小四号"/>
    <w:autoRedefine/>
    <w:qFormat/>
    <w:uiPriority w:val="0"/>
    <w:pPr>
      <w:widowControl w:val="0"/>
      <w:spacing w:line="480" w:lineRule="exact"/>
      <w:jc w:val="center"/>
    </w:pPr>
    <w:rPr>
      <w:rFonts w:ascii="宋体" w:hAnsi="Times New Roman" w:eastAsia="宋体" w:cs="Times New Roman"/>
      <w:sz w:val="28"/>
      <w:szCs w:val="24"/>
      <w:lang w:val="en-US" w:eastAsia="zh-CN" w:bidi="ar-SA"/>
    </w:rPr>
  </w:style>
  <w:style w:type="paragraph" w:customStyle="1" w:styleId="1456">
    <w:name w:val="表格文字：灌溉制度"/>
    <w:basedOn w:val="45"/>
    <w:autoRedefine/>
    <w:qFormat/>
    <w:uiPriority w:val="0"/>
    <w:pPr>
      <w:adjustRightInd/>
      <w:spacing w:beforeLines="0" w:afterLines="0" w:line="240" w:lineRule="exact"/>
      <w:ind w:firstLine="0" w:firstLineChars="0"/>
      <w:jc w:val="center"/>
      <w:textAlignment w:val="auto"/>
    </w:pPr>
    <w:rPr>
      <w:rFonts w:ascii="仿宋_GB2312" w:hAnsi="宋体" w:eastAsia="仿宋_GB2312"/>
      <w:szCs w:val="24"/>
    </w:rPr>
  </w:style>
  <w:style w:type="paragraph" w:customStyle="1" w:styleId="1457">
    <w:name w:val="表格文字1"/>
    <w:basedOn w:val="1"/>
    <w:next w:val="1"/>
    <w:autoRedefine/>
    <w:qFormat/>
    <w:uiPriority w:val="0"/>
    <w:pPr>
      <w:snapToGrid/>
      <w:spacing w:line="240" w:lineRule="auto"/>
      <w:ind w:firstLine="200"/>
      <w:jc w:val="both"/>
    </w:pPr>
    <w:rPr>
      <w:rFonts w:ascii="仿宋_GB2312" w:eastAsia="仿宋_GB2312"/>
    </w:rPr>
  </w:style>
  <w:style w:type="character" w:customStyle="1" w:styleId="1458">
    <w:name w:val="表格文字1 Char"/>
    <w:autoRedefine/>
    <w:qFormat/>
    <w:uiPriority w:val="0"/>
    <w:rPr>
      <w:rFonts w:ascii="宋体" w:eastAsia="宋体"/>
      <w:kern w:val="2"/>
      <w:sz w:val="24"/>
      <w:szCs w:val="24"/>
      <w:lang w:val="en-US" w:eastAsia="zh-CN" w:bidi="ar-SA"/>
    </w:rPr>
  </w:style>
  <w:style w:type="paragraph" w:customStyle="1" w:styleId="1459">
    <w:name w:val="样式 首行缩进:  2 字符1"/>
    <w:basedOn w:val="1"/>
    <w:autoRedefine/>
    <w:qFormat/>
    <w:uiPriority w:val="0"/>
    <w:pPr>
      <w:snapToGrid/>
      <w:spacing w:line="560" w:lineRule="exact"/>
      <w:ind w:right="272"/>
      <w:jc w:val="both"/>
    </w:pPr>
    <w:rPr>
      <w:rFonts w:ascii="仿宋_GB2312" w:eastAsia="仿宋_GB2312" w:cs="宋体"/>
      <w:kern w:val="0"/>
      <w:szCs w:val="20"/>
    </w:rPr>
  </w:style>
  <w:style w:type="character" w:customStyle="1" w:styleId="1460">
    <w:name w:val="样式 自动设置"/>
    <w:autoRedefine/>
    <w:qFormat/>
    <w:uiPriority w:val="0"/>
    <w:rPr>
      <w:color w:val="auto"/>
    </w:rPr>
  </w:style>
  <w:style w:type="paragraph" w:customStyle="1" w:styleId="1461">
    <w:name w:val="line20"/>
    <w:basedOn w:val="1"/>
    <w:autoRedefine/>
    <w:qFormat/>
    <w:uiPriority w:val="0"/>
    <w:pPr>
      <w:widowControl/>
      <w:snapToGrid/>
      <w:spacing w:beforeAutospacing="1" w:afterAutospacing="1" w:line="315" w:lineRule="atLeast"/>
      <w:ind w:firstLine="200"/>
    </w:pPr>
    <w:rPr>
      <w:rFonts w:ascii="仿宋_GB2312" w:hAnsi="宋体" w:eastAsia="仿宋_GB2312" w:cs="宋体"/>
      <w:kern w:val="0"/>
    </w:rPr>
  </w:style>
  <w:style w:type="character" w:customStyle="1" w:styleId="1462">
    <w:name w:val="content21"/>
    <w:autoRedefine/>
    <w:qFormat/>
    <w:uiPriority w:val="0"/>
    <w:rPr>
      <w:color w:val="000000"/>
      <w:sz w:val="18"/>
      <w:szCs w:val="18"/>
    </w:rPr>
  </w:style>
  <w:style w:type="paragraph" w:customStyle="1" w:styleId="1463">
    <w:name w:val="表格文字小5号"/>
    <w:autoRedefine/>
    <w:qFormat/>
    <w:uiPriority w:val="0"/>
    <w:pPr>
      <w:widowControl w:val="0"/>
      <w:spacing w:line="240" w:lineRule="exact"/>
      <w:jc w:val="center"/>
    </w:pPr>
    <w:rPr>
      <w:rFonts w:ascii="宋体" w:hAnsi="宋体" w:eastAsia="宋体" w:cs="Times New Roman"/>
      <w:kern w:val="2"/>
      <w:sz w:val="18"/>
      <w:szCs w:val="18"/>
      <w:lang w:val="en-US" w:eastAsia="zh-CN" w:bidi="ar-SA"/>
    </w:rPr>
  </w:style>
  <w:style w:type="character" w:customStyle="1" w:styleId="1464">
    <w:name w:val="14hei1"/>
    <w:autoRedefine/>
    <w:qFormat/>
    <w:uiPriority w:val="0"/>
    <w:rPr>
      <w:color w:val="000000"/>
      <w:sz w:val="28"/>
      <w:szCs w:val="28"/>
      <w:u w:val="none"/>
    </w:rPr>
  </w:style>
  <w:style w:type="paragraph" w:customStyle="1" w:styleId="1465">
    <w:name w:val="扉页文字"/>
    <w:next w:val="1"/>
    <w:autoRedefine/>
    <w:qFormat/>
    <w:uiPriority w:val="0"/>
    <w:pPr>
      <w:widowControl w:val="0"/>
      <w:spacing w:line="760" w:lineRule="exact"/>
      <w:ind w:firstLine="400" w:firstLineChars="400"/>
    </w:pPr>
    <w:rPr>
      <w:rFonts w:ascii="宋体" w:hAnsi="Times New Roman" w:eastAsia="宋体" w:cs="Times New Roman"/>
      <w:kern w:val="2"/>
      <w:sz w:val="28"/>
      <w:szCs w:val="32"/>
      <w:lang w:val="en-US" w:eastAsia="zh-CN" w:bidi="ar-SA"/>
    </w:rPr>
  </w:style>
  <w:style w:type="paragraph" w:customStyle="1" w:styleId="1466">
    <w:name w:val="表头+单位"/>
    <w:basedOn w:val="66"/>
    <w:autoRedefine/>
    <w:qFormat/>
    <w:uiPriority w:val="0"/>
    <w:pPr>
      <w:keepNext/>
      <w:jc w:val="right"/>
      <w:textAlignment w:val="auto"/>
    </w:pPr>
    <w:rPr>
      <w:rFonts w:ascii="黑体" w:eastAsia="黑体"/>
      <w:sz w:val="28"/>
      <w:szCs w:val="24"/>
    </w:rPr>
  </w:style>
  <w:style w:type="paragraph" w:customStyle="1" w:styleId="1467">
    <w:name w:val="样式 表格文字 + (符号) 宋体 五号 首行缩进:  0.74 厘米"/>
    <w:basedOn w:val="45"/>
    <w:autoRedefine/>
    <w:qFormat/>
    <w:uiPriority w:val="0"/>
    <w:pPr>
      <w:widowControl/>
      <w:adjustRightInd/>
      <w:spacing w:beforeLines="0" w:afterLines="0" w:line="340" w:lineRule="exact"/>
      <w:ind w:firstLine="0" w:firstLineChars="0"/>
      <w:jc w:val="center"/>
      <w:textAlignment w:val="auto"/>
    </w:pPr>
    <w:rPr>
      <w:rFonts w:ascii="仿宋_GB2312" w:hAnsi="宋体" w:eastAsia="仿宋_GB2312" w:cs="宋体"/>
      <w:kern w:val="0"/>
      <w:sz w:val="21"/>
    </w:rPr>
  </w:style>
  <w:style w:type="paragraph" w:customStyle="1" w:styleId="1468">
    <w:name w:val="表格单位"/>
    <w:basedOn w:val="1"/>
    <w:autoRedefine/>
    <w:qFormat/>
    <w:uiPriority w:val="0"/>
    <w:pPr>
      <w:snapToGrid/>
      <w:spacing w:line="320" w:lineRule="exact"/>
      <w:ind w:firstLine="200"/>
      <w:jc w:val="right"/>
    </w:pPr>
    <w:rPr>
      <w:rFonts w:ascii="仿宋_GB2312" w:eastAsia="仿宋_GB2312"/>
    </w:rPr>
  </w:style>
  <w:style w:type="paragraph" w:customStyle="1" w:styleId="1469">
    <w:name w:val="样式 表头 + 首行缩进:  0.97 厘米"/>
    <w:basedOn w:val="66"/>
    <w:autoRedefine/>
    <w:qFormat/>
    <w:uiPriority w:val="0"/>
    <w:pPr>
      <w:keepNext/>
      <w:textAlignment w:val="auto"/>
    </w:pPr>
    <w:rPr>
      <w:rFonts w:ascii="黑体" w:eastAsia="黑体" w:cs="宋体"/>
      <w:sz w:val="28"/>
      <w:szCs w:val="20"/>
    </w:rPr>
  </w:style>
  <w:style w:type="paragraph" w:customStyle="1" w:styleId="1470">
    <w:name w:val="样式 表头 + 首行缩进:  0.97 厘米1"/>
    <w:basedOn w:val="66"/>
    <w:autoRedefine/>
    <w:qFormat/>
    <w:uiPriority w:val="0"/>
    <w:pPr>
      <w:keepNext/>
      <w:textAlignment w:val="auto"/>
    </w:pPr>
    <w:rPr>
      <w:rFonts w:ascii="黑体" w:eastAsia="黑体" w:cs="宋体"/>
      <w:sz w:val="28"/>
      <w:szCs w:val="20"/>
    </w:rPr>
  </w:style>
  <w:style w:type="paragraph" w:customStyle="1" w:styleId="1471">
    <w:name w:val="样式 表头 + 首行缩进:  0.99 厘米"/>
    <w:basedOn w:val="66"/>
    <w:autoRedefine/>
    <w:qFormat/>
    <w:uiPriority w:val="0"/>
    <w:pPr>
      <w:keepNext/>
      <w:textAlignment w:val="auto"/>
    </w:pPr>
    <w:rPr>
      <w:rFonts w:ascii="黑体" w:eastAsia="黑体" w:cs="宋体"/>
      <w:sz w:val="28"/>
      <w:szCs w:val="20"/>
    </w:rPr>
  </w:style>
  <w:style w:type="paragraph" w:customStyle="1" w:styleId="1472">
    <w:name w:val="样式 表头 + 五号"/>
    <w:basedOn w:val="66"/>
    <w:link w:val="1473"/>
    <w:autoRedefine/>
    <w:qFormat/>
    <w:uiPriority w:val="0"/>
    <w:pPr>
      <w:keepNext/>
      <w:textAlignment w:val="auto"/>
    </w:pPr>
    <w:rPr>
      <w:rFonts w:ascii="黑体" w:eastAsia="黑体"/>
      <w:sz w:val="24"/>
      <w:szCs w:val="24"/>
    </w:rPr>
  </w:style>
  <w:style w:type="character" w:customStyle="1" w:styleId="1473">
    <w:name w:val="样式 表头 + 五号 Char"/>
    <w:link w:val="1472"/>
    <w:autoRedefine/>
    <w:qFormat/>
    <w:uiPriority w:val="0"/>
    <w:rPr>
      <w:rFonts w:ascii="黑体" w:eastAsia="黑体"/>
      <w:kern w:val="2"/>
      <w:sz w:val="24"/>
      <w:szCs w:val="24"/>
    </w:rPr>
  </w:style>
  <w:style w:type="paragraph" w:customStyle="1" w:styleId="1474">
    <w:name w:val="4表中文字"/>
    <w:basedOn w:val="1"/>
    <w:autoRedefine/>
    <w:qFormat/>
    <w:uiPriority w:val="0"/>
    <w:pPr>
      <w:tabs>
        <w:tab w:val="left" w:pos="6195"/>
      </w:tabs>
      <w:autoSpaceDE w:val="0"/>
      <w:autoSpaceDN w:val="0"/>
      <w:adjustRightInd w:val="0"/>
      <w:snapToGrid/>
      <w:spacing w:line="240" w:lineRule="auto"/>
      <w:ind w:firstLine="200"/>
      <w:jc w:val="center"/>
    </w:pPr>
    <w:rPr>
      <w:rFonts w:ascii="仿宋_GB2312" w:eastAsia="仿宋_GB2312"/>
      <w:kern w:val="0"/>
    </w:rPr>
  </w:style>
  <w:style w:type="paragraph" w:customStyle="1" w:styleId="1475">
    <w:name w:val="参考文献"/>
    <w:basedOn w:val="1"/>
    <w:autoRedefine/>
    <w:qFormat/>
    <w:uiPriority w:val="0"/>
    <w:pPr>
      <w:widowControl/>
      <w:autoSpaceDE w:val="0"/>
      <w:autoSpaceDN w:val="0"/>
      <w:adjustRightInd w:val="0"/>
      <w:snapToGrid/>
      <w:spacing w:line="318" w:lineRule="atLeast"/>
      <w:ind w:firstLine="200"/>
      <w:jc w:val="both"/>
      <w:textAlignment w:val="bottom"/>
    </w:pPr>
    <w:rPr>
      <w:rFonts w:eastAsia="仿宋_GB2312"/>
      <w:kern w:val="0"/>
      <w:sz w:val="21"/>
      <w:szCs w:val="20"/>
    </w:rPr>
  </w:style>
  <w:style w:type="paragraph" w:customStyle="1" w:styleId="1476">
    <w:name w:val="附件名"/>
    <w:autoRedefine/>
    <w:qFormat/>
    <w:uiPriority w:val="0"/>
    <w:pPr>
      <w:jc w:val="center"/>
    </w:pPr>
    <w:rPr>
      <w:rFonts w:ascii="Times New Roman" w:hAnsi="Times New Roman" w:eastAsia="黑体" w:cs="Times New Roman"/>
      <w:sz w:val="36"/>
      <w:lang w:val="en-US" w:eastAsia="zh-CN" w:bidi="ar-SA"/>
    </w:rPr>
  </w:style>
  <w:style w:type="paragraph" w:customStyle="1" w:styleId="1477">
    <w:name w:val="样式 首行缩进:  0.85 厘米"/>
    <w:basedOn w:val="1"/>
    <w:autoRedefine/>
    <w:qFormat/>
    <w:uiPriority w:val="0"/>
    <w:pPr>
      <w:autoSpaceDE w:val="0"/>
      <w:adjustRightInd w:val="0"/>
      <w:spacing w:line="240" w:lineRule="auto"/>
      <w:ind w:firstLine="482"/>
      <w:jc w:val="both"/>
    </w:pPr>
    <w:rPr>
      <w:sz w:val="28"/>
      <w:szCs w:val="20"/>
    </w:rPr>
  </w:style>
  <w:style w:type="paragraph" w:customStyle="1" w:styleId="1478">
    <w:name w:val="样式 正文 小四 行距: 1.5 倍行距 + 宋体 五号 首行缩进:  2 字符"/>
    <w:basedOn w:val="1"/>
    <w:autoRedefine/>
    <w:qFormat/>
    <w:uiPriority w:val="0"/>
    <w:pPr>
      <w:widowControl/>
      <w:snapToGrid/>
      <w:spacing w:line="240" w:lineRule="auto"/>
      <w:ind w:firstLine="200"/>
      <w:jc w:val="center"/>
    </w:pPr>
    <w:rPr>
      <w:rFonts w:ascii="宋体" w:hAnsi="宋体" w:cs="宋体"/>
      <w:kern w:val="0"/>
      <w:sz w:val="21"/>
      <w:szCs w:val="20"/>
    </w:rPr>
  </w:style>
  <w:style w:type="paragraph" w:customStyle="1" w:styleId="1479">
    <w:name w:val="样式 样式 正文 小四 行距: 1.5 倍行距 + 宋体 五号 首行缩进:  2 字符 + 首行缩进:  2 字符"/>
    <w:basedOn w:val="1478"/>
    <w:autoRedefine/>
    <w:qFormat/>
    <w:uiPriority w:val="0"/>
    <w:pPr>
      <w:ind w:firstLine="0" w:firstLineChars="0"/>
    </w:pPr>
  </w:style>
  <w:style w:type="paragraph" w:customStyle="1" w:styleId="1480">
    <w:name w:val="样式 正文 + 宋体 五号 首行缩进:  2 字符"/>
    <w:basedOn w:val="1"/>
    <w:autoRedefine/>
    <w:qFormat/>
    <w:uiPriority w:val="0"/>
    <w:pPr>
      <w:snapToGrid/>
      <w:spacing w:line="240" w:lineRule="auto"/>
      <w:ind w:firstLine="200"/>
      <w:jc w:val="center"/>
    </w:pPr>
    <w:rPr>
      <w:rFonts w:ascii="宋体" w:hAnsi="宋体" w:cs="宋体"/>
      <w:kern w:val="0"/>
      <w:sz w:val="18"/>
      <w:szCs w:val="20"/>
    </w:rPr>
  </w:style>
  <w:style w:type="character" w:customStyle="1" w:styleId="1481">
    <w:name w:val="样式 正文表文字00 +"/>
    <w:autoRedefine/>
    <w:qFormat/>
    <w:uiPriority w:val="0"/>
    <w:rPr>
      <w:rFonts w:eastAsia="宋体"/>
      <w:kern w:val="0"/>
      <w:sz w:val="21"/>
    </w:rPr>
  </w:style>
  <w:style w:type="paragraph" w:customStyle="1" w:styleId="1482">
    <w:name w:val="样式 正文00 + 首行缩进:  2 字符"/>
    <w:basedOn w:val="1"/>
    <w:autoRedefine/>
    <w:qFormat/>
    <w:uiPriority w:val="0"/>
    <w:pPr>
      <w:snapToGrid/>
      <w:spacing w:line="240" w:lineRule="auto"/>
      <w:ind w:firstLine="200"/>
    </w:pPr>
    <w:rPr>
      <w:rFonts w:ascii="宋体" w:hAnsi="宋体" w:cs="宋体"/>
      <w:sz w:val="21"/>
      <w:szCs w:val="20"/>
    </w:rPr>
  </w:style>
  <w:style w:type="paragraph" w:customStyle="1" w:styleId="1483">
    <w:name w:val="段落1"/>
    <w:basedOn w:val="1"/>
    <w:link w:val="1484"/>
    <w:autoRedefine/>
    <w:qFormat/>
    <w:uiPriority w:val="0"/>
    <w:pPr>
      <w:adjustRightInd w:val="0"/>
      <w:snapToGrid/>
      <w:ind w:right="210" w:rightChars="100"/>
      <w:jc w:val="both"/>
      <w:textAlignment w:val="baseline"/>
    </w:pPr>
    <w:rPr>
      <w:rFonts w:ascii="宋体" w:hAnsi="宋体"/>
      <w:lang w:val="en-AU"/>
    </w:rPr>
  </w:style>
  <w:style w:type="character" w:customStyle="1" w:styleId="1484">
    <w:name w:val="段落1 Char1"/>
    <w:link w:val="1483"/>
    <w:autoRedefine/>
    <w:qFormat/>
    <w:uiPriority w:val="0"/>
    <w:rPr>
      <w:rFonts w:ascii="宋体" w:hAnsi="宋体"/>
      <w:kern w:val="2"/>
      <w:sz w:val="24"/>
      <w:szCs w:val="24"/>
      <w:lang w:val="en-AU"/>
    </w:rPr>
  </w:style>
  <w:style w:type="paragraph" w:customStyle="1" w:styleId="1485">
    <w:name w:val="样式 左侧:  0 厘米 首行缩进:  0.85 厘米"/>
    <w:basedOn w:val="1"/>
    <w:autoRedefine/>
    <w:qFormat/>
    <w:uiPriority w:val="0"/>
    <w:pPr>
      <w:snapToGrid/>
      <w:spacing w:line="240" w:lineRule="auto"/>
      <w:jc w:val="both"/>
    </w:pPr>
    <w:rPr>
      <w:rFonts w:eastAsia="仿宋_GB2312"/>
      <w:szCs w:val="20"/>
    </w:rPr>
  </w:style>
  <w:style w:type="paragraph" w:customStyle="1" w:styleId="1486">
    <w:name w:val="样式 标题 2电脑标志 + 首行缩进:  2 字符"/>
    <w:basedOn w:val="4"/>
    <w:autoRedefine/>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487">
    <w:name w:val="样式 标题 2电脑标志 + 首行缩进:  2 字符1"/>
    <w:basedOn w:val="4"/>
    <w:autoRedefine/>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488">
    <w:name w:val="样式 标题 4 + 首行缩进:  2 字符"/>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1489">
    <w:name w:val="样式 标题 4 + 首行缩进:  28 磅"/>
    <w:basedOn w:val="6"/>
    <w:autoRedefine/>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1490">
    <w:name w:val="样式 表格 + 居中"/>
    <w:basedOn w:val="1"/>
    <w:uiPriority w:val="0"/>
    <w:pPr>
      <w:kinsoku w:val="0"/>
      <w:overflowPunct w:val="0"/>
      <w:adjustRightInd w:val="0"/>
      <w:spacing w:line="240" w:lineRule="auto"/>
      <w:ind w:firstLine="200"/>
      <w:jc w:val="center"/>
    </w:pPr>
    <w:rPr>
      <w:kern w:val="0"/>
      <w:szCs w:val="28"/>
    </w:rPr>
  </w:style>
  <w:style w:type="character" w:customStyle="1" w:styleId="1491">
    <w:name w:val="图表名 Char"/>
    <w:link w:val="987"/>
    <w:autoRedefine/>
    <w:uiPriority w:val="0"/>
    <w:rPr>
      <w:rFonts w:eastAsia="仿宋_GB2312"/>
      <w:b/>
      <w:kern w:val="2"/>
      <w:sz w:val="24"/>
    </w:rPr>
  </w:style>
  <w:style w:type="paragraph" w:customStyle="1" w:styleId="1492">
    <w:name w:val="样式 样式 表格 + 居中 + 两端对齐 首行缩进:  2 字符"/>
    <w:basedOn w:val="1490"/>
    <w:uiPriority w:val="0"/>
    <w:pPr>
      <w:ind w:firstLine="0" w:firstLineChars="0"/>
      <w:jc w:val="both"/>
    </w:pPr>
    <w:rPr>
      <w:rFonts w:cs="宋体"/>
      <w:szCs w:val="20"/>
    </w:rPr>
  </w:style>
  <w:style w:type="paragraph" w:customStyle="1" w:styleId="1493">
    <w:name w:val="样式 样式 表格 + 居中 + 首行缩进:  2 字符"/>
    <w:basedOn w:val="1490"/>
    <w:autoRedefine/>
    <w:qFormat/>
    <w:uiPriority w:val="0"/>
    <w:pPr>
      <w:ind w:firstLine="0" w:firstLineChars="0"/>
    </w:pPr>
    <w:rPr>
      <w:rFonts w:cs="宋体"/>
      <w:szCs w:val="20"/>
    </w:rPr>
  </w:style>
  <w:style w:type="paragraph" w:customStyle="1" w:styleId="1494">
    <w:name w:val="Char1 Char Char Char Char Char Char"/>
    <w:basedOn w:val="1"/>
    <w:autoRedefine/>
    <w:uiPriority w:val="0"/>
    <w:pPr>
      <w:keepNext/>
      <w:keepLines/>
      <w:snapToGrid/>
      <w:spacing w:line="240" w:lineRule="exact"/>
      <w:ind w:firstLine="0" w:firstLineChars="0"/>
    </w:pPr>
    <w:rPr>
      <w:rFonts w:ascii="宋体" w:hAnsi="宋体"/>
      <w:b/>
      <w:kern w:val="0"/>
      <w:sz w:val="44"/>
      <w:szCs w:val="44"/>
      <w:lang w:eastAsia="en-US"/>
    </w:rPr>
  </w:style>
  <w:style w:type="character" w:customStyle="1" w:styleId="1495">
    <w:name w:val="p11"/>
    <w:uiPriority w:val="0"/>
    <w:rPr>
      <w:rFonts w:hint="default"/>
      <w:sz w:val="18"/>
      <w:szCs w:val="18"/>
    </w:rPr>
  </w:style>
  <w:style w:type="paragraph" w:customStyle="1" w:styleId="1496">
    <w:name w:val="表号文字"/>
    <w:basedOn w:val="1"/>
    <w:autoRedefine/>
    <w:uiPriority w:val="0"/>
    <w:pPr>
      <w:adjustRightInd w:val="0"/>
      <w:spacing w:line="300" w:lineRule="auto"/>
      <w:ind w:firstLine="0" w:firstLineChars="0"/>
    </w:pPr>
    <w:rPr>
      <w:rFonts w:eastAsia="黑体"/>
      <w:sz w:val="21"/>
    </w:rPr>
  </w:style>
  <w:style w:type="character" w:customStyle="1" w:styleId="1497">
    <w:name w:val="表文 Char2"/>
    <w:link w:val="249"/>
    <w:uiPriority w:val="0"/>
    <w:rPr>
      <w:rFonts w:ascii="宋体" w:hAnsi="宋体"/>
      <w:sz w:val="24"/>
      <w:szCs w:val="18"/>
    </w:rPr>
  </w:style>
  <w:style w:type="character" w:customStyle="1" w:styleId="1498">
    <w:name w:val="三号宋体居中行距2倍距 Char"/>
    <w:autoRedefine/>
    <w:qFormat/>
    <w:locked/>
    <w:uiPriority w:val="0"/>
    <w:rPr>
      <w:rFonts w:ascii="Arial" w:hAnsi="Arial" w:eastAsia="黑体"/>
      <w:b/>
      <w:bCs/>
      <w:kern w:val="2"/>
      <w:sz w:val="32"/>
      <w:szCs w:val="32"/>
      <w:lang w:val="en-US" w:eastAsia="zh-CN" w:bidi="ar-SA"/>
    </w:rPr>
  </w:style>
  <w:style w:type="character" w:customStyle="1" w:styleId="1499">
    <w:name w:val="正文文字1 Char Char"/>
    <w:uiPriority w:val="0"/>
    <w:rPr>
      <w:rFonts w:eastAsia="宋体"/>
      <w:kern w:val="2"/>
      <w:sz w:val="21"/>
      <w:szCs w:val="24"/>
      <w:lang w:val="en-US" w:eastAsia="zh-CN" w:bidi="ar-SA"/>
    </w:rPr>
  </w:style>
  <w:style w:type="paragraph" w:customStyle="1" w:styleId="1500">
    <w:name w:val="标题  3"/>
    <w:basedOn w:val="5"/>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501">
    <w:name w:val="正文（唐）"/>
    <w:basedOn w:val="1"/>
    <w:semiHidden/>
    <w:uiPriority w:val="0"/>
    <w:pPr>
      <w:autoSpaceDE w:val="0"/>
      <w:autoSpaceDN w:val="0"/>
      <w:adjustRightInd w:val="0"/>
      <w:snapToGrid/>
      <w:spacing w:line="460" w:lineRule="exact"/>
      <w:ind w:left="-45"/>
      <w:jc w:val="both"/>
    </w:pPr>
    <w:rPr>
      <w:rFonts w:ascii="宋体" w:hAnsi="宋体" w:eastAsia="Times New Roman" w:cs="宋体"/>
      <w:b/>
    </w:rPr>
  </w:style>
  <w:style w:type="character" w:customStyle="1" w:styleId="1502">
    <w:name w:val="页眉小5号 Char Char"/>
    <w:autoRedefine/>
    <w:qFormat/>
    <w:uiPriority w:val="0"/>
    <w:rPr>
      <w:rFonts w:eastAsia="宋体"/>
      <w:kern w:val="2"/>
      <w:sz w:val="18"/>
      <w:szCs w:val="18"/>
      <w:lang w:val="en-US" w:eastAsia="zh-CN" w:bidi="ar-SA"/>
    </w:rPr>
  </w:style>
  <w:style w:type="paragraph" w:customStyle="1" w:styleId="1503">
    <w:name w:val="1 Char Char Char Char Char Char Char"/>
    <w:basedOn w:val="1"/>
    <w:qFormat/>
    <w:uiPriority w:val="0"/>
    <w:pPr>
      <w:snapToGrid/>
      <w:spacing w:line="240" w:lineRule="auto"/>
      <w:ind w:firstLine="0" w:firstLineChars="0"/>
      <w:jc w:val="both"/>
    </w:pPr>
    <w:rPr>
      <w:sz w:val="21"/>
    </w:rPr>
  </w:style>
  <w:style w:type="character" w:customStyle="1" w:styleId="1504">
    <w:name w:val="四号宋体左齐行距1.5倍 Char"/>
    <w:qFormat/>
    <w:locked/>
    <w:uiPriority w:val="0"/>
    <w:rPr>
      <w:rFonts w:eastAsia="宋体"/>
      <w:b/>
      <w:bCs/>
      <w:kern w:val="2"/>
      <w:sz w:val="32"/>
      <w:szCs w:val="32"/>
      <w:lang w:val="en-US" w:eastAsia="zh-CN" w:bidi="ar-SA"/>
    </w:rPr>
  </w:style>
  <w:style w:type="paragraph" w:customStyle="1" w:styleId="1505">
    <w:name w:val="111"/>
    <w:basedOn w:val="6"/>
    <w:next w:val="1"/>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1506">
    <w:name w:val="新"/>
    <w:basedOn w:val="7"/>
    <w:qFormat/>
    <w:uiPriority w:val="0"/>
  </w:style>
  <w:style w:type="character" w:customStyle="1" w:styleId="1507">
    <w:name w:val="页眉小5号 Char Char1"/>
    <w:qFormat/>
    <w:uiPriority w:val="0"/>
    <w:rPr>
      <w:rFonts w:eastAsia="宋体"/>
      <w:kern w:val="2"/>
      <w:sz w:val="18"/>
      <w:szCs w:val="18"/>
      <w:lang w:val="en-US" w:eastAsia="zh-CN" w:bidi="ar-SA"/>
    </w:rPr>
  </w:style>
  <w:style w:type="character" w:customStyle="1" w:styleId="1508">
    <w:name w:val="链接"/>
    <w:qFormat/>
    <w:uiPriority w:val="0"/>
    <w:rPr>
      <w:rFonts w:ascii="Times New Roman" w:eastAsia="宋体"/>
      <w:color w:val="0000FF"/>
      <w:sz w:val="21"/>
      <w:u w:val="single" w:color="0000FF"/>
      <w:vertAlign w:val="baseline"/>
      <w:lang w:val="en-US" w:eastAsia="zh-CN"/>
    </w:rPr>
  </w:style>
  <w:style w:type="paragraph" w:customStyle="1" w:styleId="1509">
    <w:name w:val="目录标题"/>
    <w:basedOn w:val="1"/>
    <w:next w:val="1"/>
    <w:qFormat/>
    <w:uiPriority w:val="0"/>
    <w:pPr>
      <w:widowControl/>
      <w:snapToGrid/>
      <w:spacing w:line="566" w:lineRule="atLeast"/>
      <w:ind w:firstLine="419" w:firstLineChars="0"/>
      <w:jc w:val="center"/>
      <w:textAlignment w:val="baseline"/>
    </w:pPr>
    <w:rPr>
      <w:rFonts w:ascii="Arial" w:eastAsia="黑体"/>
      <w:color w:val="000000"/>
      <w:spacing w:val="566"/>
      <w:kern w:val="0"/>
      <w:sz w:val="54"/>
      <w:szCs w:val="20"/>
      <w:u w:color="000000"/>
    </w:rPr>
  </w:style>
  <w:style w:type="paragraph" w:customStyle="1" w:styleId="1510">
    <w:name w:val="文章总标题"/>
    <w:basedOn w:val="1"/>
    <w:next w:val="1511"/>
    <w:qFormat/>
    <w:uiPriority w:val="0"/>
    <w:pPr>
      <w:widowControl/>
      <w:snapToGrid/>
      <w:spacing w:line="566" w:lineRule="atLeast"/>
      <w:ind w:firstLine="0" w:firstLineChars="0"/>
      <w:jc w:val="center"/>
      <w:textAlignment w:val="baseline"/>
    </w:pPr>
    <w:rPr>
      <w:rFonts w:ascii="Arial" w:eastAsia="黑体"/>
      <w:color w:val="000000"/>
      <w:kern w:val="0"/>
      <w:sz w:val="54"/>
      <w:szCs w:val="20"/>
      <w:u w:color="000000"/>
    </w:rPr>
  </w:style>
  <w:style w:type="paragraph" w:customStyle="1" w:styleId="1511">
    <w:name w:val="文章附标题"/>
    <w:basedOn w:val="1"/>
    <w:next w:val="349"/>
    <w:qFormat/>
    <w:uiPriority w:val="0"/>
    <w:pPr>
      <w:widowControl/>
      <w:snapToGrid/>
      <w:spacing w:line="374" w:lineRule="atLeast"/>
      <w:ind w:firstLine="0" w:firstLineChars="0"/>
      <w:jc w:val="center"/>
      <w:textAlignment w:val="baseline"/>
    </w:pPr>
    <w:rPr>
      <w:color w:val="000000"/>
      <w:kern w:val="0"/>
      <w:sz w:val="36"/>
      <w:szCs w:val="20"/>
      <w:u w:color="000000"/>
    </w:rPr>
  </w:style>
  <w:style w:type="paragraph" w:customStyle="1" w:styleId="1512">
    <w:name w:val="目录3"/>
    <w:basedOn w:val="1"/>
    <w:next w:val="1"/>
    <w:qFormat/>
    <w:uiPriority w:val="0"/>
    <w:pPr>
      <w:widowControl/>
      <w:tabs>
        <w:tab w:val="left" w:leader="dot" w:pos="8503"/>
      </w:tabs>
      <w:snapToGrid/>
      <w:spacing w:line="317" w:lineRule="atLeast"/>
      <w:ind w:firstLine="419" w:firstLineChars="0"/>
      <w:jc w:val="both"/>
      <w:textAlignment w:val="baseline"/>
    </w:pPr>
    <w:rPr>
      <w:color w:val="000000"/>
      <w:kern w:val="0"/>
      <w:sz w:val="21"/>
      <w:szCs w:val="20"/>
      <w:u w:color="000000"/>
    </w:rPr>
  </w:style>
  <w:style w:type="paragraph" w:customStyle="1" w:styleId="1513">
    <w:name w:val="目录4"/>
    <w:basedOn w:val="1"/>
    <w:next w:val="1"/>
    <w:uiPriority w:val="0"/>
    <w:pPr>
      <w:widowControl/>
      <w:tabs>
        <w:tab w:val="left" w:leader="dot" w:pos="8503"/>
      </w:tabs>
      <w:snapToGrid/>
      <w:spacing w:line="317" w:lineRule="atLeast"/>
      <w:ind w:firstLine="629" w:firstLineChars="0"/>
      <w:jc w:val="both"/>
      <w:textAlignment w:val="baseline"/>
    </w:pPr>
    <w:rPr>
      <w:color w:val="000000"/>
      <w:kern w:val="0"/>
      <w:sz w:val="21"/>
      <w:szCs w:val="20"/>
      <w:u w:color="000000"/>
    </w:rPr>
  </w:style>
  <w:style w:type="paragraph" w:customStyle="1" w:styleId="1514">
    <w:name w:val="0005左缩2"/>
    <w:basedOn w:val="1"/>
    <w:qFormat/>
    <w:uiPriority w:val="0"/>
    <w:pPr>
      <w:widowControl/>
      <w:autoSpaceDE w:val="0"/>
      <w:autoSpaceDN w:val="0"/>
      <w:adjustRightInd w:val="0"/>
      <w:snapToGrid/>
      <w:spacing w:afterLines="30" w:line="500" w:lineRule="exact"/>
      <w:ind w:firstLine="200"/>
      <w:jc w:val="both"/>
    </w:pPr>
    <w:rPr>
      <w:rFonts w:ascii="宋体" w:hAnsi="宋体"/>
      <w:sz w:val="28"/>
      <w:szCs w:val="28"/>
    </w:rPr>
  </w:style>
  <w:style w:type="paragraph" w:customStyle="1" w:styleId="1515">
    <w:name w:val="正"/>
    <w:basedOn w:val="21"/>
    <w:link w:val="1516"/>
    <w:qFormat/>
    <w:uiPriority w:val="0"/>
    <w:pPr>
      <w:topLinePunct/>
      <w:autoSpaceDE w:val="0"/>
      <w:autoSpaceDN w:val="0"/>
      <w:adjustRightInd w:val="0"/>
      <w:snapToGrid w:val="0"/>
      <w:spacing w:line="500" w:lineRule="exact"/>
      <w:ind w:firstLine="560"/>
    </w:pPr>
    <w:rPr>
      <w:rFonts w:ascii="宋体" w:hAnsi="宋体"/>
      <w:sz w:val="28"/>
      <w:szCs w:val="28"/>
      <w:lang w:val="zh-CN"/>
    </w:rPr>
  </w:style>
  <w:style w:type="character" w:customStyle="1" w:styleId="1516">
    <w:name w:val="正 Char1"/>
    <w:link w:val="1515"/>
    <w:qFormat/>
    <w:uiPriority w:val="0"/>
    <w:rPr>
      <w:rFonts w:ascii="宋体" w:hAnsi="宋体"/>
      <w:kern w:val="2"/>
      <w:sz w:val="28"/>
      <w:szCs w:val="28"/>
      <w:lang w:val="zh-CN"/>
    </w:rPr>
  </w:style>
  <w:style w:type="paragraph" w:customStyle="1" w:styleId="1517">
    <w:name w:val="标题符"/>
    <w:basedOn w:val="1"/>
    <w:qFormat/>
    <w:uiPriority w:val="0"/>
    <w:pPr>
      <w:tabs>
        <w:tab w:val="left" w:pos="360"/>
      </w:tabs>
      <w:overflowPunct w:val="0"/>
      <w:spacing w:line="480" w:lineRule="exact"/>
      <w:ind w:firstLine="560"/>
      <w:jc w:val="both"/>
    </w:pPr>
    <w:rPr>
      <w:rFonts w:ascii="Arial" w:hAnsi="Arial" w:eastAsia="仿宋_GB2312"/>
      <w:sz w:val="28"/>
      <w:szCs w:val="20"/>
    </w:rPr>
  </w:style>
  <w:style w:type="paragraph" w:customStyle="1" w:styleId="1518">
    <w:name w:val="蒲标题2"/>
    <w:basedOn w:val="4"/>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519">
    <w:name w:val="0002"/>
    <w:basedOn w:val="4"/>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520">
    <w:name w:val="hui141"/>
    <w:uiPriority w:val="0"/>
    <w:rPr>
      <w:b/>
      <w:bCs/>
      <w:color w:val="333333"/>
      <w:sz w:val="21"/>
      <w:szCs w:val="21"/>
    </w:rPr>
  </w:style>
  <w:style w:type="character" w:customStyle="1" w:styleId="1521">
    <w:name w:val="小2号宋体居中行距2倍 Char"/>
    <w:autoRedefine/>
    <w:qFormat/>
    <w:locked/>
    <w:uiPriority w:val="0"/>
    <w:rPr>
      <w:rFonts w:eastAsia="宋体"/>
      <w:b/>
      <w:bCs/>
      <w:kern w:val="44"/>
      <w:sz w:val="44"/>
      <w:szCs w:val="44"/>
      <w:lang w:val="en-US" w:eastAsia="zh-CN" w:bidi="ar-SA"/>
    </w:rPr>
  </w:style>
  <w:style w:type="character" w:customStyle="1" w:styleId="1522">
    <w:name w:val="节 Char1"/>
    <w:qFormat/>
    <w:locked/>
    <w:uiPriority w:val="0"/>
    <w:rPr>
      <w:rFonts w:ascii="Arial" w:hAnsi="Arial" w:eastAsia="黑体"/>
      <w:b/>
      <w:bCs/>
      <w:kern w:val="2"/>
      <w:sz w:val="32"/>
      <w:szCs w:val="32"/>
      <w:lang w:val="en-US" w:eastAsia="zh-CN" w:bidi="ar-SA"/>
    </w:rPr>
  </w:style>
  <w:style w:type="character" w:customStyle="1" w:styleId="1523">
    <w:name w:val="Char Char12"/>
    <w:qFormat/>
    <w:locked/>
    <w:uiPriority w:val="0"/>
    <w:rPr>
      <w:rFonts w:ascii="Arial" w:hAnsi="Arial" w:eastAsia="黑体"/>
      <w:b/>
      <w:bCs/>
      <w:kern w:val="2"/>
      <w:sz w:val="24"/>
      <w:szCs w:val="24"/>
      <w:lang w:val="en-US" w:eastAsia="zh-CN" w:bidi="ar-SA"/>
    </w:rPr>
  </w:style>
  <w:style w:type="character" w:customStyle="1" w:styleId="1524">
    <w:name w:val="5号宋体居中 Char Char"/>
    <w:qFormat/>
    <w:locked/>
    <w:uiPriority w:val="0"/>
    <w:rPr>
      <w:rFonts w:ascii="Arial" w:hAnsi="Arial" w:eastAsia="黑体"/>
      <w:kern w:val="2"/>
      <w:sz w:val="21"/>
      <w:lang w:val="en-US" w:eastAsia="zh-CN" w:bidi="ar-SA"/>
    </w:rPr>
  </w:style>
  <w:style w:type="character" w:customStyle="1" w:styleId="1525">
    <w:name w:val="Char Char6"/>
    <w:qFormat/>
    <w:locked/>
    <w:uiPriority w:val="0"/>
    <w:rPr>
      <w:rFonts w:ascii="宋体" w:hAnsi="宋体" w:eastAsia="宋体"/>
      <w:color w:val="FF0000"/>
      <w:kern w:val="2"/>
      <w:sz w:val="18"/>
      <w:szCs w:val="21"/>
      <w:lang w:val="en-US" w:eastAsia="zh-CN" w:bidi="ar-SA"/>
    </w:rPr>
  </w:style>
  <w:style w:type="character" w:customStyle="1" w:styleId="1526">
    <w:name w:val="Char Char4"/>
    <w:autoRedefine/>
    <w:qFormat/>
    <w:locked/>
    <w:uiPriority w:val="0"/>
    <w:rPr>
      <w:rFonts w:eastAsia="宋体"/>
      <w:kern w:val="2"/>
      <w:sz w:val="21"/>
      <w:szCs w:val="24"/>
      <w:lang w:val="en-US" w:eastAsia="zh-CN" w:bidi="ar-SA"/>
    </w:rPr>
  </w:style>
  <w:style w:type="paragraph" w:customStyle="1" w:styleId="1527">
    <w:name w:val="样式 图格式"/>
    <w:basedOn w:val="4"/>
    <w:semiHidden/>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528">
    <w:name w:val="样式 5号表"/>
    <w:basedOn w:val="1"/>
    <w:autoRedefine/>
    <w:qFormat/>
    <w:uiPriority w:val="0"/>
    <w:pPr>
      <w:shd w:val="clear" w:color="auto" w:fill="FFFFFF"/>
      <w:kinsoku w:val="0"/>
      <w:overflowPunct w:val="0"/>
      <w:autoSpaceDE w:val="0"/>
      <w:autoSpaceDN w:val="0"/>
      <w:spacing w:line="300" w:lineRule="exact"/>
      <w:ind w:firstLine="0" w:firstLineChars="0"/>
      <w:jc w:val="both"/>
    </w:pPr>
    <w:rPr>
      <w:rFonts w:ascii="宋体" w:hAnsi="宋体" w:cs="宋体"/>
      <w:bCs/>
      <w:sz w:val="21"/>
      <w:szCs w:val="20"/>
    </w:rPr>
  </w:style>
  <w:style w:type="paragraph" w:customStyle="1" w:styleId="1529">
    <w:name w:val="样式 标题 1 + 宋体 四号 居中"/>
    <w:basedOn w:val="3"/>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character" w:customStyle="1" w:styleId="1530">
    <w:name w:val="样式 标题 2 + 首行缩进:  2 字符 Char"/>
    <w:link w:val="989"/>
    <w:qFormat/>
    <w:locked/>
    <w:uiPriority w:val="0"/>
    <w:rPr>
      <w:rFonts w:ascii="Cambria" w:hAnsi="Cambria"/>
      <w:b/>
      <w:bCs/>
      <w:kern w:val="2"/>
      <w:sz w:val="32"/>
      <w:szCs w:val="32"/>
    </w:rPr>
  </w:style>
  <w:style w:type="paragraph" w:customStyle="1" w:styleId="1531">
    <w:name w:val="样式 标题 1 + 首行缩进:  2 字符"/>
    <w:basedOn w:val="3"/>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532">
    <w:name w:val="样式 样式 标题 2 + 宋体 小二 首行缩进:  2 字符 + 段前: 0.5 行 段后: 0.5 行"/>
    <w:basedOn w:val="1"/>
    <w:uiPriority w:val="0"/>
    <w:pPr>
      <w:keepNext/>
      <w:keepLines/>
      <w:snapToGrid/>
      <w:spacing w:beforeLines="50" w:line="240" w:lineRule="auto"/>
      <w:ind w:firstLine="0" w:firstLineChars="0"/>
      <w:jc w:val="both"/>
      <w:outlineLvl w:val="1"/>
    </w:pPr>
    <w:rPr>
      <w:rFonts w:ascii="宋体" w:hAnsi="宋体" w:cs="宋体"/>
      <w:b/>
      <w:bCs/>
      <w:sz w:val="32"/>
      <w:szCs w:val="20"/>
    </w:rPr>
  </w:style>
  <w:style w:type="character" w:customStyle="1" w:styleId="1533">
    <w:name w:val="样式 标题 2 + 宋体 小二 首行缩进:  2 字符 Char"/>
    <w:link w:val="1534"/>
    <w:locked/>
    <w:uiPriority w:val="0"/>
    <w:rPr>
      <w:rFonts w:ascii="宋体" w:hAnsi="宋体" w:cs="宋体"/>
      <w:b/>
      <w:bCs/>
      <w:sz w:val="32"/>
    </w:rPr>
  </w:style>
  <w:style w:type="paragraph" w:customStyle="1" w:styleId="1534">
    <w:name w:val="样式 标题 2 + 宋体 小二 首行缩进:  2 字符"/>
    <w:basedOn w:val="4"/>
    <w:link w:val="1533"/>
    <w:uiPriority w:val="0"/>
    <w:pPr>
      <w:keepNext/>
      <w:keepLines/>
      <w:numPr>
        <w:ilvl w:val="0"/>
        <w:numId w:val="0"/>
      </w:numPr>
      <w:snapToGrid/>
      <w:spacing w:before="260" w:beforeLines="10" w:after="260" w:afterLines="10" w:line="416" w:lineRule="auto"/>
      <w:ind w:firstLine="200" w:firstLineChars="200"/>
      <w:jc w:val="both"/>
    </w:pPr>
    <w:rPr>
      <w:rFonts w:ascii="宋体" w:hAnsi="宋体" w:cs="宋体"/>
      <w:kern w:val="0"/>
      <w:sz w:val="32"/>
      <w:szCs w:val="20"/>
    </w:rPr>
  </w:style>
  <w:style w:type="paragraph" w:customStyle="1" w:styleId="1535">
    <w:name w:val="样式 标题 3 + 段前: 0.5 行 段后: 0.5 行"/>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536">
    <w:name w:val="小标题"/>
    <w:basedOn w:val="1"/>
    <w:uiPriority w:val="0"/>
    <w:pPr>
      <w:snapToGrid/>
      <w:spacing w:line="500" w:lineRule="exact"/>
      <w:ind w:firstLine="567" w:firstLineChars="0"/>
      <w:jc w:val="both"/>
    </w:pPr>
    <w:rPr>
      <w:sz w:val="28"/>
      <w:szCs w:val="28"/>
    </w:rPr>
  </w:style>
  <w:style w:type="paragraph" w:customStyle="1" w:styleId="1537">
    <w:name w:val="大标题"/>
    <w:basedOn w:val="1"/>
    <w:uiPriority w:val="0"/>
    <w:pPr>
      <w:snapToGrid/>
      <w:spacing w:line="500" w:lineRule="exact"/>
      <w:ind w:firstLine="0" w:firstLineChars="0"/>
    </w:pPr>
    <w:rPr>
      <w:sz w:val="28"/>
      <w:szCs w:val="28"/>
    </w:rPr>
  </w:style>
  <w:style w:type="paragraph" w:customStyle="1" w:styleId="1538">
    <w:name w:val="样式 样式 首行缩进:  2 字符 + 居中"/>
    <w:basedOn w:val="311"/>
    <w:uiPriority w:val="0"/>
    <w:pPr>
      <w:spacing w:beforeLines="0" w:afterLines="0" w:line="500" w:lineRule="exact"/>
      <w:ind w:firstLine="0" w:firstLineChars="0"/>
      <w:jc w:val="center"/>
    </w:pPr>
    <w:rPr>
      <w:rFonts w:ascii="宋体" w:hAnsi="宋体"/>
      <w:sz w:val="28"/>
    </w:rPr>
  </w:style>
  <w:style w:type="paragraph" w:customStyle="1" w:styleId="1539">
    <w:name w:val="样式 样式 首行缩进:  2 字符 + 居中1"/>
    <w:basedOn w:val="311"/>
    <w:uiPriority w:val="0"/>
    <w:pPr>
      <w:spacing w:beforeLines="0" w:afterLines="0" w:line="500" w:lineRule="exact"/>
      <w:ind w:firstLine="0" w:firstLineChars="0"/>
      <w:jc w:val="center"/>
    </w:pPr>
    <w:rPr>
      <w:rFonts w:ascii="宋体" w:hAnsi="宋体"/>
      <w:sz w:val="28"/>
      <w:szCs w:val="28"/>
    </w:rPr>
  </w:style>
  <w:style w:type="paragraph" w:customStyle="1" w:styleId="1540">
    <w:name w:val="3字符"/>
    <w:basedOn w:val="1"/>
    <w:autoRedefine/>
    <w:uiPriority w:val="0"/>
    <w:pPr>
      <w:snapToGrid/>
      <w:spacing w:line="500" w:lineRule="exact"/>
      <w:ind w:left="561" w:firstLine="100" w:firstLineChars="100"/>
      <w:jc w:val="both"/>
    </w:pPr>
    <w:rPr>
      <w:sz w:val="28"/>
      <w:szCs w:val="28"/>
    </w:rPr>
  </w:style>
  <w:style w:type="paragraph" w:customStyle="1" w:styleId="1541">
    <w:name w:val="征文"/>
    <w:basedOn w:val="1"/>
    <w:uiPriority w:val="0"/>
    <w:pPr>
      <w:snapToGrid/>
      <w:spacing w:line="400" w:lineRule="exact"/>
      <w:ind w:firstLine="0" w:firstLineChars="0"/>
      <w:jc w:val="both"/>
    </w:pPr>
    <w:rPr>
      <w:rFonts w:cs="宋体"/>
      <w:szCs w:val="20"/>
    </w:rPr>
  </w:style>
  <w:style w:type="paragraph" w:customStyle="1" w:styleId="1542">
    <w:name w:val="样式 3字符 + 首行缩进:  1 字符"/>
    <w:basedOn w:val="1540"/>
    <w:autoRedefine/>
    <w:uiPriority w:val="0"/>
    <w:pPr>
      <w:ind w:firstLine="280"/>
    </w:pPr>
    <w:rPr>
      <w:rFonts w:cs="宋体"/>
      <w:szCs w:val="20"/>
    </w:rPr>
  </w:style>
  <w:style w:type="paragraph" w:customStyle="1" w:styleId="1543">
    <w:name w:val="5号字表"/>
    <w:basedOn w:val="1"/>
    <w:uiPriority w:val="0"/>
    <w:pPr>
      <w:tabs>
        <w:tab w:val="left" w:pos="210"/>
      </w:tabs>
      <w:snapToGrid/>
      <w:spacing w:line="500" w:lineRule="exact"/>
      <w:ind w:firstLine="200"/>
    </w:pPr>
    <w:rPr>
      <w:rFonts w:ascii="宋体" w:hAnsi="宋体" w:cs="宋体"/>
      <w:bCs/>
      <w:sz w:val="28"/>
      <w:szCs w:val="20"/>
    </w:rPr>
  </w:style>
  <w:style w:type="paragraph" w:customStyle="1" w:styleId="1544">
    <w:name w:val="样式 目录 1 级别1"/>
    <w:basedOn w:val="1"/>
    <w:next w:val="1"/>
    <w:uiPriority w:val="0"/>
    <w:pPr>
      <w:shd w:val="clear" w:color="auto" w:fill="FFFFFF"/>
      <w:tabs>
        <w:tab w:val="left" w:pos="210"/>
      </w:tabs>
      <w:kinsoku w:val="0"/>
      <w:overflowPunct w:val="0"/>
      <w:autoSpaceDE w:val="0"/>
      <w:autoSpaceDN w:val="0"/>
      <w:adjustRightInd w:val="0"/>
      <w:spacing w:line="400" w:lineRule="exact"/>
      <w:ind w:firstLine="200"/>
    </w:pPr>
    <w:rPr>
      <w:rFonts w:ascii="宋体" w:hAnsi="宋体" w:cs="宋体"/>
      <w:b/>
      <w:bCs/>
      <w:szCs w:val="28"/>
    </w:rPr>
  </w:style>
  <w:style w:type="paragraph" w:customStyle="1" w:styleId="1545">
    <w:name w:val="设计封面"/>
    <w:basedOn w:val="4"/>
    <w:autoRedefine/>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546">
    <w:name w:val="设计封面矿名魏体1"/>
    <w:basedOn w:val="1"/>
    <w:autoRedefine/>
    <w:uiPriority w:val="0"/>
    <w:pPr>
      <w:tabs>
        <w:tab w:val="left" w:pos="210"/>
      </w:tabs>
      <w:autoSpaceDE w:val="0"/>
      <w:autoSpaceDN w:val="0"/>
      <w:snapToGrid/>
      <w:spacing w:line="500" w:lineRule="exact"/>
      <w:ind w:firstLine="0" w:firstLineChars="0"/>
      <w:jc w:val="center"/>
    </w:pPr>
    <w:rPr>
      <w:rFonts w:eastAsia="华文新魏"/>
      <w:bCs/>
      <w:sz w:val="52"/>
      <w:szCs w:val="28"/>
    </w:rPr>
  </w:style>
  <w:style w:type="paragraph" w:customStyle="1" w:styleId="1547">
    <w:name w:val="设计封面日期中宋2"/>
    <w:basedOn w:val="1"/>
    <w:next w:val="1"/>
    <w:uiPriority w:val="0"/>
    <w:pPr>
      <w:tabs>
        <w:tab w:val="left" w:pos="210"/>
      </w:tabs>
      <w:ind w:firstLine="0" w:firstLineChars="0"/>
      <w:jc w:val="center"/>
    </w:pPr>
    <w:rPr>
      <w:rFonts w:ascii="宋体" w:hAnsi="宋体"/>
      <w:b/>
      <w:bCs/>
      <w:spacing w:val="60"/>
      <w:sz w:val="44"/>
      <w:szCs w:val="28"/>
    </w:rPr>
  </w:style>
  <w:style w:type="paragraph" w:customStyle="1" w:styleId="1548">
    <w:name w:val="设计著录宋2"/>
    <w:basedOn w:val="1547"/>
    <w:next w:val="1"/>
    <w:uiPriority w:val="0"/>
    <w:pPr>
      <w:adjustRightInd w:val="0"/>
      <w:ind w:firstLine="300" w:firstLineChars="300"/>
      <w:jc w:val="both"/>
    </w:pPr>
    <w:rPr>
      <w:rFonts w:ascii="Times New Roman" w:hAnsi="Times New Roman" w:eastAsia="华文中宋"/>
      <w:kern w:val="4"/>
    </w:rPr>
  </w:style>
  <w:style w:type="paragraph" w:customStyle="1" w:styleId="1549">
    <w:name w:val="样式 标题 2 + 宋体 四号 首行缩进:  0.99 厘米"/>
    <w:basedOn w:val="4"/>
    <w:next w:val="1"/>
    <w:semiHidden/>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550">
    <w:name w:val="样式 目录 1 + 首行缩进:  2 字符"/>
    <w:basedOn w:val="1"/>
    <w:next w:val="1"/>
    <w:autoRedefine/>
    <w:uiPriority w:val="0"/>
    <w:pPr>
      <w:tabs>
        <w:tab w:val="left" w:pos="210"/>
      </w:tabs>
      <w:adjustRightInd w:val="0"/>
      <w:snapToGrid/>
      <w:spacing w:line="360" w:lineRule="exact"/>
      <w:ind w:firstLine="200"/>
    </w:pPr>
    <w:rPr>
      <w:rFonts w:ascii="宋体" w:hAnsi="宋体" w:cs="宋体"/>
      <w:b/>
      <w:bCs/>
      <w:szCs w:val="28"/>
    </w:rPr>
  </w:style>
  <w:style w:type="paragraph" w:customStyle="1" w:styleId="1551">
    <w:name w:val="样式 标题 1 + 首行缩进:  2.7 厘米"/>
    <w:basedOn w:val="3"/>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552">
    <w:name w:val="标题 1红4号"/>
    <w:basedOn w:val="3"/>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553">
    <w:name w:val="标题 2 蓝四号"/>
    <w:basedOn w:val="4"/>
    <w:next w:val="1"/>
    <w:semiHidden/>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554">
    <w:name w:val="样式 居中 首行缩进:  0 厘米"/>
    <w:basedOn w:val="1"/>
    <w:autoRedefine/>
    <w:uiPriority w:val="0"/>
    <w:pPr>
      <w:adjustRightInd w:val="0"/>
      <w:spacing w:line="500" w:lineRule="exact"/>
      <w:ind w:firstLine="0" w:firstLineChars="0"/>
      <w:jc w:val="center"/>
    </w:pPr>
    <w:rPr>
      <w:rFonts w:ascii="宋体" w:hAnsi="宋体" w:cs="宋体"/>
      <w:sz w:val="28"/>
      <w:szCs w:val="20"/>
    </w:rPr>
  </w:style>
  <w:style w:type="paragraph" w:customStyle="1" w:styleId="1555">
    <w:name w:val="样式 样式 标题 2 + 首行缩进:  2 字符 + 首行缩进:  2 字符"/>
    <w:basedOn w:val="989"/>
    <w:autoRedefine/>
    <w:uiPriority w:val="0"/>
  </w:style>
  <w:style w:type="paragraph" w:customStyle="1" w:styleId="1556">
    <w:name w:val="样式 样式 标题 2 + 首行缩进:  2 字符 + 段前: 0 磅 段后: 0 磅"/>
    <w:basedOn w:val="989"/>
    <w:autoRedefine/>
    <w:uiPriority w:val="0"/>
  </w:style>
  <w:style w:type="paragraph" w:customStyle="1" w:styleId="1557">
    <w:name w:val="0001"/>
    <w:basedOn w:val="3"/>
    <w:autoRedefine/>
    <w:uiPriority w:val="0"/>
    <w:pPr>
      <w:keepNext/>
      <w:keepLines/>
      <w:numPr>
        <w:ilvl w:val="0"/>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558">
    <w:name w:val="0003"/>
    <w:basedOn w:val="5"/>
    <w:autoRedefine/>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559">
    <w:name w:val="0004正文"/>
    <w:basedOn w:val="1"/>
    <w:autoRedefine/>
    <w:qFormat/>
    <w:uiPriority w:val="0"/>
    <w:pPr>
      <w:widowControl/>
      <w:autoSpaceDE w:val="0"/>
      <w:autoSpaceDN w:val="0"/>
      <w:adjustRightInd w:val="0"/>
      <w:snapToGrid/>
      <w:spacing w:line="500" w:lineRule="exact"/>
      <w:ind w:firstLine="0" w:firstLineChars="0"/>
      <w:jc w:val="both"/>
    </w:pPr>
    <w:rPr>
      <w:rFonts w:ascii="宋体" w:hAnsi="宋体"/>
      <w:sz w:val="28"/>
      <w:szCs w:val="28"/>
    </w:rPr>
  </w:style>
  <w:style w:type="paragraph" w:customStyle="1" w:styleId="1560">
    <w:name w:val="样式 0004正文 + 首行缩进:  2 字符"/>
    <w:basedOn w:val="1559"/>
    <w:autoRedefine/>
    <w:uiPriority w:val="0"/>
    <w:pPr>
      <w:spacing w:afterLines="20"/>
      <w:ind w:firstLine="560"/>
    </w:pPr>
    <w:rPr>
      <w:rFonts w:cs="宋体"/>
      <w:szCs w:val="20"/>
    </w:rPr>
  </w:style>
  <w:style w:type="paragraph" w:customStyle="1" w:styleId="1561">
    <w:name w:val="样式 0005左缩2 + 首行缩进:  2 字符 段后: 0.3 行"/>
    <w:basedOn w:val="1514"/>
    <w:autoRedefine/>
    <w:uiPriority w:val="0"/>
    <w:pPr>
      <w:ind w:firstLine="560"/>
    </w:pPr>
    <w:rPr>
      <w:rFonts w:cs="宋体"/>
      <w:szCs w:val="20"/>
    </w:rPr>
  </w:style>
  <w:style w:type="paragraph" w:customStyle="1" w:styleId="1562">
    <w:name w:val="0006"/>
    <w:basedOn w:val="1559"/>
    <w:autoRedefine/>
    <w:uiPriority w:val="0"/>
    <w:pPr>
      <w:snapToGrid w:val="0"/>
      <w:spacing w:afterLines="50"/>
    </w:pPr>
    <w:rPr>
      <w:b/>
      <w:bCs/>
      <w:kern w:val="0"/>
      <w:lang w:val="zh-CN"/>
    </w:rPr>
  </w:style>
  <w:style w:type="paragraph" w:customStyle="1" w:styleId="1563">
    <w:name w:val="0007小四 居中"/>
    <w:basedOn w:val="1559"/>
    <w:autoRedefine/>
    <w:uiPriority w:val="0"/>
    <w:pPr>
      <w:jc w:val="center"/>
    </w:pPr>
    <w:rPr>
      <w:sz w:val="24"/>
      <w:szCs w:val="24"/>
    </w:rPr>
  </w:style>
  <w:style w:type="character" w:customStyle="1" w:styleId="1564">
    <w:name w:val="左2 Char"/>
    <w:link w:val="1565"/>
    <w:autoRedefine/>
    <w:qFormat/>
    <w:locked/>
    <w:uiPriority w:val="0"/>
    <w:rPr>
      <w:rFonts w:ascii="宋体" w:hAnsi="宋体"/>
      <w:sz w:val="28"/>
      <w:szCs w:val="28"/>
    </w:rPr>
  </w:style>
  <w:style w:type="paragraph" w:customStyle="1" w:styleId="1565">
    <w:name w:val="左2"/>
    <w:basedOn w:val="1"/>
    <w:next w:val="1"/>
    <w:link w:val="1564"/>
    <w:autoRedefine/>
    <w:uiPriority w:val="0"/>
    <w:pPr>
      <w:snapToGrid/>
      <w:spacing w:line="500" w:lineRule="exact"/>
      <w:ind w:firstLine="560"/>
      <w:jc w:val="both"/>
    </w:pPr>
    <w:rPr>
      <w:rFonts w:ascii="宋体" w:hAnsi="宋体"/>
      <w:kern w:val="0"/>
      <w:sz w:val="28"/>
      <w:szCs w:val="28"/>
    </w:rPr>
  </w:style>
  <w:style w:type="paragraph" w:customStyle="1" w:styleId="1566">
    <w:name w:val="正文小四缩"/>
    <w:basedOn w:val="1"/>
    <w:autoRedefine/>
    <w:qFormat/>
    <w:uiPriority w:val="0"/>
    <w:pPr>
      <w:widowControl/>
      <w:adjustRightInd w:val="0"/>
      <w:snapToGrid/>
      <w:spacing w:line="420" w:lineRule="atLeast"/>
      <w:ind w:firstLine="510" w:firstLineChars="0"/>
    </w:pPr>
    <w:rPr>
      <w:rFonts w:ascii="宋体"/>
      <w:bCs/>
      <w:kern w:val="0"/>
      <w:szCs w:val="20"/>
      <w:lang w:eastAsia="en-US" w:bidi="en-US"/>
    </w:rPr>
  </w:style>
  <w:style w:type="paragraph" w:customStyle="1" w:styleId="1567">
    <w:name w:val="样式 加粗 左侧:  0.32 厘米"/>
    <w:basedOn w:val="1"/>
    <w:autoRedefine/>
    <w:qFormat/>
    <w:uiPriority w:val="0"/>
    <w:pPr>
      <w:snapToGrid/>
      <w:spacing w:line="500" w:lineRule="exact"/>
      <w:ind w:left="180" w:firstLine="0" w:firstLineChars="0"/>
      <w:jc w:val="both"/>
    </w:pPr>
    <w:rPr>
      <w:rFonts w:cs="宋体"/>
      <w:b/>
      <w:bCs/>
      <w:sz w:val="28"/>
      <w:szCs w:val="20"/>
    </w:rPr>
  </w:style>
  <w:style w:type="paragraph" w:customStyle="1" w:styleId="1568">
    <w:name w:val="缩2"/>
    <w:basedOn w:val="1"/>
    <w:autoRedefine/>
    <w:uiPriority w:val="0"/>
    <w:pPr>
      <w:snapToGrid/>
      <w:spacing w:line="500" w:lineRule="exact"/>
      <w:ind w:firstLine="560"/>
      <w:jc w:val="both"/>
    </w:pPr>
    <w:rPr>
      <w:sz w:val="28"/>
    </w:rPr>
  </w:style>
  <w:style w:type="paragraph" w:customStyle="1" w:styleId="1569">
    <w:name w:val="样式 标题 21.1标题 2 + 首行缩进:  2 字符"/>
    <w:basedOn w:val="4"/>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570">
    <w:name w:val="样式6 正文"/>
    <w:autoRedefine/>
    <w:uiPriority w:val="0"/>
    <w:pPr>
      <w:widowControl w:val="0"/>
      <w:spacing w:beforeLines="50" w:line="500" w:lineRule="exact"/>
      <w:ind w:firstLine="560" w:firstLineChars="200"/>
      <w:jc w:val="both"/>
    </w:pPr>
    <w:rPr>
      <w:rFonts w:ascii="仿宋_GB2312" w:hAnsi="Times New Roman" w:eastAsia="仿宋_GB2312" w:cs="Times New Roman"/>
      <w:sz w:val="28"/>
      <w:szCs w:val="28"/>
      <w:lang w:val="en-US" w:eastAsia="zh-CN" w:bidi="ar-SA"/>
    </w:rPr>
  </w:style>
  <w:style w:type="character" w:customStyle="1" w:styleId="1571">
    <w:name w:val="Char Char11"/>
    <w:autoRedefine/>
    <w:uiPriority w:val="0"/>
    <w:rPr>
      <w:rFonts w:hint="eastAsia" w:ascii="黑体" w:eastAsia="黑体"/>
      <w:bCs/>
      <w:kern w:val="2"/>
      <w:sz w:val="28"/>
      <w:szCs w:val="21"/>
    </w:rPr>
  </w:style>
  <w:style w:type="character" w:customStyle="1" w:styleId="1572">
    <w:name w:val="Char Char15"/>
    <w:autoRedefine/>
    <w:uiPriority w:val="0"/>
    <w:rPr>
      <w:rFonts w:hint="eastAsia" w:ascii="宋体" w:hAnsi="宋体" w:eastAsia="宋体"/>
      <w:b/>
      <w:kern w:val="2"/>
      <w:sz w:val="28"/>
      <w:szCs w:val="28"/>
      <w:lang w:val="en-US" w:eastAsia="zh-CN" w:bidi="ar-SA"/>
    </w:rPr>
  </w:style>
  <w:style w:type="character" w:customStyle="1" w:styleId="1573">
    <w:name w:val="标题 11 Char"/>
    <w:autoRedefine/>
    <w:uiPriority w:val="0"/>
    <w:rPr>
      <w:rFonts w:hint="eastAsia" w:ascii="宋体" w:hAnsi="宋体" w:eastAsia="宋体" w:cs="Times New Roman"/>
      <w:kern w:val="44"/>
      <w:sz w:val="32"/>
      <w:szCs w:val="32"/>
    </w:rPr>
  </w:style>
  <w:style w:type="character" w:customStyle="1" w:styleId="1574">
    <w:name w:val="1.1.1标题 3 Char Char"/>
    <w:autoRedefine/>
    <w:uiPriority w:val="0"/>
    <w:rPr>
      <w:rFonts w:hint="default" w:ascii="Arial" w:hAnsi="Arial" w:eastAsia="宋体" w:cs="Times New Roman"/>
      <w:b/>
      <w:kern w:val="44"/>
      <w:sz w:val="30"/>
      <w:szCs w:val="20"/>
    </w:rPr>
  </w:style>
  <w:style w:type="character" w:customStyle="1" w:styleId="1575">
    <w:name w:val="1.1标题 2 Char Char"/>
    <w:uiPriority w:val="0"/>
    <w:rPr>
      <w:rFonts w:hint="default" w:ascii="Arial" w:hAnsi="Arial" w:eastAsia="宋体" w:cs="Times New Roman"/>
      <w:b/>
      <w:kern w:val="44"/>
      <w:sz w:val="28"/>
      <w:szCs w:val="20"/>
    </w:rPr>
  </w:style>
  <w:style w:type="paragraph" w:customStyle="1" w:styleId="1576">
    <w:name w:val="设计封面编号宋2"/>
    <w:basedOn w:val="1546"/>
    <w:next w:val="1545"/>
    <w:autoRedefine/>
    <w:uiPriority w:val="0"/>
    <w:rPr>
      <w:rFonts w:eastAsia="宋体"/>
      <w:sz w:val="44"/>
    </w:rPr>
  </w:style>
  <w:style w:type="paragraph" w:customStyle="1" w:styleId="1577">
    <w:name w:val="标题 1红4号1"/>
    <w:basedOn w:val="3"/>
    <w:autoRedefine/>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578">
    <w:name w:val="标题 2 蓝四号1"/>
    <w:basedOn w:val="4"/>
    <w:next w:val="1"/>
    <w:autoRedefine/>
    <w:semiHidden/>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579">
    <w:name w:val="bold121"/>
    <w:autoRedefine/>
    <w:qFormat/>
    <w:uiPriority w:val="0"/>
    <w:rPr>
      <w:b/>
      <w:bCs/>
      <w:sz w:val="18"/>
      <w:szCs w:val="18"/>
    </w:rPr>
  </w:style>
  <w:style w:type="paragraph" w:customStyle="1" w:styleId="1580">
    <w:name w:val="报告书"/>
    <w:basedOn w:val="1"/>
    <w:autoRedefine/>
    <w:uiPriority w:val="0"/>
    <w:pPr>
      <w:autoSpaceDE w:val="0"/>
      <w:autoSpaceDN w:val="0"/>
      <w:adjustRightInd w:val="0"/>
      <w:snapToGrid/>
      <w:ind w:firstLine="505" w:firstLineChars="0"/>
      <w:textAlignment w:val="bottom"/>
    </w:pPr>
    <w:rPr>
      <w:kern w:val="0"/>
      <w:szCs w:val="20"/>
    </w:rPr>
  </w:style>
  <w:style w:type="character" w:customStyle="1" w:styleId="1581">
    <w:name w:val="上标"/>
    <w:autoRedefine/>
    <w:uiPriority w:val="0"/>
    <w:rPr>
      <w:vertAlign w:val="superscript"/>
    </w:rPr>
  </w:style>
  <w:style w:type="paragraph" w:customStyle="1" w:styleId="1582">
    <w:name w:val="样式 标题 3标题3小标题1.1.1标题 3 + 段后: 4 磅"/>
    <w:basedOn w:val="5"/>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583">
    <w:name w:val="蒲表头"/>
    <w:basedOn w:val="1"/>
    <w:autoRedefine/>
    <w:qFormat/>
    <w:uiPriority w:val="0"/>
    <w:pPr>
      <w:adjustRightInd w:val="0"/>
      <w:spacing w:line="240" w:lineRule="auto"/>
      <w:ind w:firstLine="0" w:firstLineChars="0"/>
      <w:jc w:val="center"/>
    </w:pPr>
    <w:rPr>
      <w:color w:val="0000FF"/>
      <w:sz w:val="21"/>
      <w:szCs w:val="21"/>
    </w:rPr>
  </w:style>
  <w:style w:type="paragraph" w:customStyle="1" w:styleId="1584">
    <w:name w:val="样式 首行缩进:  1.01 厘米"/>
    <w:basedOn w:val="1"/>
    <w:uiPriority w:val="0"/>
    <w:pPr>
      <w:snapToGrid/>
      <w:spacing w:line="500" w:lineRule="exact"/>
      <w:ind w:firstLine="570" w:firstLineChars="0"/>
      <w:jc w:val="both"/>
    </w:pPr>
    <w:rPr>
      <w:rFonts w:cs="宋体"/>
      <w:kern w:val="28"/>
      <w:sz w:val="28"/>
      <w:szCs w:val="20"/>
    </w:rPr>
  </w:style>
  <w:style w:type="paragraph" w:customStyle="1" w:styleId="1585">
    <w:name w:val="3标题(治)"/>
    <w:basedOn w:val="5"/>
    <w:link w:val="1586"/>
    <w:autoRedefine/>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1586">
    <w:name w:val="3标题(治) Char"/>
    <w:link w:val="1585"/>
    <w:uiPriority w:val="0"/>
    <w:rPr>
      <w:b/>
      <w:bCs/>
      <w:kern w:val="2"/>
      <w:sz w:val="32"/>
      <w:szCs w:val="32"/>
    </w:rPr>
  </w:style>
  <w:style w:type="paragraph" w:customStyle="1" w:styleId="1587">
    <w:name w:val="蒲标题1"/>
    <w:basedOn w:val="3"/>
    <w:autoRedefine/>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588">
    <w:name w:val="蒲标题3"/>
    <w:basedOn w:val="5"/>
    <w:link w:val="1589"/>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1589">
    <w:name w:val="蒲标题3 Char"/>
    <w:link w:val="1588"/>
    <w:uiPriority w:val="0"/>
    <w:rPr>
      <w:b/>
      <w:bCs/>
      <w:kern w:val="2"/>
      <w:sz w:val="32"/>
      <w:szCs w:val="32"/>
    </w:rPr>
  </w:style>
  <w:style w:type="character" w:customStyle="1" w:styleId="1590">
    <w:name w:val="蒲正文 Char"/>
    <w:link w:val="380"/>
    <w:qFormat/>
    <w:uiPriority w:val="0"/>
    <w:rPr>
      <w:rFonts w:ascii="宋体" w:hAnsi="宋体"/>
      <w:b/>
      <w:sz w:val="24"/>
      <w:szCs w:val="24"/>
    </w:rPr>
  </w:style>
  <w:style w:type="paragraph" w:customStyle="1" w:styleId="1591">
    <w:name w:val="7表格(治)"/>
    <w:qFormat/>
    <w:uiPriority w:val="0"/>
    <w:pPr>
      <w:jc w:val="center"/>
    </w:pPr>
    <w:rPr>
      <w:rFonts w:ascii="宋体" w:hAnsi="宋体" w:eastAsia="宋体" w:cs="Times New Roman"/>
      <w:color w:val="0000FF"/>
      <w:sz w:val="21"/>
      <w:lang w:val="en-US" w:eastAsia="zh-CN" w:bidi="ar-SA"/>
    </w:rPr>
  </w:style>
  <w:style w:type="paragraph" w:customStyle="1" w:styleId="1592">
    <w:name w:val="6表(图)头(治)"/>
    <w:next w:val="1"/>
    <w:qFormat/>
    <w:uiPriority w:val="0"/>
    <w:pPr>
      <w:widowControl w:val="0"/>
      <w:adjustRightInd w:val="0"/>
      <w:snapToGrid w:val="0"/>
      <w:jc w:val="center"/>
    </w:pPr>
    <w:rPr>
      <w:rFonts w:ascii="Times New Roman" w:hAnsi="宋体" w:eastAsia="宋体" w:cs="Times New Roman"/>
      <w:sz w:val="21"/>
      <w:szCs w:val="21"/>
      <w:lang w:val="en-US" w:eastAsia="zh-CN" w:bidi="ar-SA"/>
    </w:rPr>
  </w:style>
  <w:style w:type="paragraph" w:customStyle="1" w:styleId="1593">
    <w:name w:val="1表格头"/>
    <w:basedOn w:val="1199"/>
    <w:autoRedefine/>
    <w:uiPriority w:val="0"/>
    <w:pPr>
      <w:spacing w:line="160" w:lineRule="atLeast"/>
      <w:jc w:val="both"/>
      <w:outlineLvl w:val="9"/>
    </w:pPr>
    <w:rPr>
      <w:b/>
      <w:color w:val="000000"/>
      <w:spacing w:val="0"/>
      <w:sz w:val="24"/>
    </w:rPr>
  </w:style>
  <w:style w:type="paragraph" w:customStyle="1" w:styleId="1594">
    <w:name w:val="a9"/>
    <w:basedOn w:val="1"/>
    <w:qFormat/>
    <w:uiPriority w:val="0"/>
    <w:pPr>
      <w:widowControl/>
      <w:adjustRightInd w:val="0"/>
      <w:snapToGrid/>
      <w:spacing w:beforeAutospacing="1" w:afterAutospacing="1" w:line="360" w:lineRule="atLeast"/>
      <w:ind w:firstLine="0" w:firstLineChars="0"/>
      <w:textAlignment w:val="baseline"/>
    </w:pPr>
    <w:rPr>
      <w:rFonts w:ascii="宋体" w:hAnsi="宋体"/>
      <w:color w:val="000000"/>
      <w:kern w:val="0"/>
      <w:szCs w:val="20"/>
    </w:rPr>
  </w:style>
  <w:style w:type="character" w:customStyle="1" w:styleId="1595">
    <w:name w:val="infodetail"/>
    <w:autoRedefine/>
    <w:uiPriority w:val="0"/>
  </w:style>
  <w:style w:type="paragraph" w:customStyle="1" w:styleId="1596">
    <w:name w:val="四级标题"/>
    <w:basedOn w:val="1"/>
    <w:qFormat/>
    <w:uiPriority w:val="0"/>
    <w:pPr>
      <w:adjustRightInd w:val="0"/>
      <w:spacing w:line="300" w:lineRule="auto"/>
      <w:ind w:firstLine="0" w:firstLineChars="0"/>
      <w:jc w:val="both"/>
      <w:outlineLvl w:val="3"/>
    </w:pPr>
    <w:rPr>
      <w:rFonts w:eastAsia="华文中宋"/>
      <w:sz w:val="28"/>
    </w:rPr>
  </w:style>
  <w:style w:type="paragraph" w:customStyle="1" w:styleId="1597">
    <w:name w:val="样式 样式 黑色 首行缩进:  2 字符 行距: 固定值 25 磅 + Times New Roman 首行缩进:  2 字符"/>
    <w:basedOn w:val="1"/>
    <w:autoRedefine/>
    <w:qFormat/>
    <w:uiPriority w:val="0"/>
    <w:pPr>
      <w:snapToGrid/>
      <w:spacing w:line="580" w:lineRule="exact"/>
      <w:ind w:firstLine="200"/>
      <w:jc w:val="both"/>
    </w:pPr>
    <w:rPr>
      <w:rFonts w:eastAsia="仿宋_GB2312" w:cs="宋体"/>
      <w:b/>
      <w:bCs/>
      <w:color w:val="000000"/>
      <w:sz w:val="28"/>
      <w:szCs w:val="20"/>
    </w:rPr>
  </w:style>
  <w:style w:type="character" w:customStyle="1" w:styleId="1598">
    <w:name w:val="表号 Char1"/>
    <w:link w:val="356"/>
    <w:autoRedefine/>
    <w:uiPriority w:val="0"/>
    <w:rPr>
      <w:rFonts w:ascii="宋体" w:hAnsi="宋体"/>
      <w:color w:val="000000"/>
      <w:spacing w:val="6"/>
      <w:w w:val="95"/>
      <w:sz w:val="24"/>
      <w:szCs w:val="24"/>
    </w:rPr>
  </w:style>
  <w:style w:type="paragraph" w:customStyle="1" w:styleId="1599">
    <w:name w:val="样式 标题 4 + 黑色 首行缩进:  2 字符 段前: 7.5 磅 行距: 固定值 23 磅1"/>
    <w:basedOn w:val="6"/>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character" w:customStyle="1" w:styleId="1600">
    <w:name w:val="1.1标题2 Char Char"/>
    <w:uiPriority w:val="0"/>
    <w:rPr>
      <w:rFonts w:ascii="Arial" w:hAnsi="Arial" w:eastAsia="黑体"/>
      <w:b/>
      <w:bCs/>
      <w:kern w:val="2"/>
      <w:sz w:val="32"/>
      <w:szCs w:val="32"/>
      <w:lang w:val="en-US" w:eastAsia="zh-CN" w:bidi="ar-SA"/>
    </w:rPr>
  </w:style>
  <w:style w:type="character" w:customStyle="1" w:styleId="1601">
    <w:name w:val="keywords"/>
    <w:autoRedefine/>
    <w:uiPriority w:val="0"/>
    <w:rPr>
      <w:b/>
      <w:bCs/>
      <w:color w:val="EE0033"/>
    </w:rPr>
  </w:style>
  <w:style w:type="character" w:customStyle="1" w:styleId="1602">
    <w:name w:val="copyright1"/>
    <w:autoRedefine/>
    <w:qFormat/>
    <w:uiPriority w:val="0"/>
    <w:rPr>
      <w:rFonts w:hint="default"/>
      <w:color w:val="000000"/>
    </w:rPr>
  </w:style>
  <w:style w:type="paragraph" w:customStyle="1" w:styleId="1603">
    <w:name w:val="分目录2"/>
    <w:basedOn w:val="1"/>
    <w:uiPriority w:val="0"/>
    <w:pPr>
      <w:tabs>
        <w:tab w:val="right" w:leader="dot" w:pos="8304"/>
      </w:tabs>
      <w:adjustRightInd w:val="0"/>
      <w:ind w:firstLine="560"/>
      <w:jc w:val="both"/>
    </w:pPr>
    <w:rPr>
      <w:kern w:val="0"/>
      <w:sz w:val="28"/>
      <w:szCs w:val="28"/>
    </w:rPr>
  </w:style>
  <w:style w:type="character" w:customStyle="1" w:styleId="1604">
    <w:name w:val="Char Char23"/>
    <w:qFormat/>
    <w:uiPriority w:val="0"/>
    <w:rPr>
      <w:rFonts w:ascii="Arial Narrow" w:hAnsi="Arial Narrow" w:eastAsia="仿宋_GB2312"/>
      <w:kern w:val="2"/>
      <w:sz w:val="24"/>
      <w:szCs w:val="24"/>
      <w:lang w:val="en-US" w:eastAsia="zh-CN" w:bidi="ar-SA"/>
    </w:rPr>
  </w:style>
  <w:style w:type="character" w:customStyle="1" w:styleId="1605">
    <w:name w:val="Char Char27"/>
    <w:autoRedefine/>
    <w:uiPriority w:val="0"/>
    <w:rPr>
      <w:rFonts w:eastAsia="宋体"/>
      <w:bCs/>
      <w:color w:val="000000"/>
      <w:sz w:val="24"/>
      <w:szCs w:val="19"/>
      <w:lang w:val="en-US" w:eastAsia="zh-CN" w:bidi="ar-SA"/>
    </w:rPr>
  </w:style>
  <w:style w:type="character" w:customStyle="1" w:styleId="1606">
    <w:name w:val="Char Char32"/>
    <w:qFormat/>
    <w:uiPriority w:val="0"/>
    <w:rPr>
      <w:rFonts w:eastAsia="宋体"/>
      <w:color w:val="000000"/>
      <w:kern w:val="2"/>
      <w:sz w:val="24"/>
      <w:szCs w:val="24"/>
      <w:lang w:val="en-US" w:eastAsia="zh-CN" w:bidi="ar-SA"/>
    </w:rPr>
  </w:style>
  <w:style w:type="character" w:customStyle="1" w:styleId="1607">
    <w:name w:val="正文-ls Char Char"/>
    <w:qFormat/>
    <w:uiPriority w:val="0"/>
    <w:rPr>
      <w:rFonts w:hAnsi="宋体" w:eastAsia="宋体" w:cs="宋体"/>
      <w:kern w:val="2"/>
      <w:sz w:val="24"/>
      <w:lang w:val="en-US" w:eastAsia="zh-CN" w:bidi="ar-SA"/>
    </w:rPr>
  </w:style>
  <w:style w:type="character" w:customStyle="1" w:styleId="1608">
    <w:name w:val="Char Char34"/>
    <w:autoRedefine/>
    <w:uiPriority w:val="0"/>
    <w:rPr>
      <w:rFonts w:eastAsia="宋体"/>
      <w:kern w:val="2"/>
      <w:sz w:val="21"/>
      <w:szCs w:val="24"/>
      <w:lang w:val="en-US" w:eastAsia="zh-CN" w:bidi="ar-SA"/>
    </w:rPr>
  </w:style>
  <w:style w:type="paragraph" w:customStyle="1" w:styleId="1609">
    <w:name w:val="谢谢谢谢谢"/>
    <w:basedOn w:val="1"/>
    <w:link w:val="1610"/>
    <w:uiPriority w:val="0"/>
    <w:pPr>
      <w:snapToGrid/>
      <w:spacing w:line="440" w:lineRule="exact"/>
      <w:ind w:firstLine="200"/>
    </w:pPr>
  </w:style>
  <w:style w:type="character" w:customStyle="1" w:styleId="1610">
    <w:name w:val="谢谢谢谢谢 Char"/>
    <w:link w:val="1609"/>
    <w:autoRedefine/>
    <w:qFormat/>
    <w:uiPriority w:val="0"/>
    <w:rPr>
      <w:kern w:val="2"/>
      <w:sz w:val="24"/>
      <w:szCs w:val="24"/>
    </w:rPr>
  </w:style>
  <w:style w:type="paragraph" w:customStyle="1" w:styleId="1611">
    <w:name w:val="正文9"/>
    <w:basedOn w:val="1"/>
    <w:link w:val="1612"/>
    <w:autoRedefine/>
    <w:qFormat/>
    <w:uiPriority w:val="0"/>
    <w:pPr>
      <w:adjustRightInd w:val="0"/>
      <w:snapToGrid/>
      <w:spacing w:line="315" w:lineRule="atLeast"/>
      <w:ind w:firstLine="0" w:firstLineChars="0"/>
      <w:textAlignment w:val="baseline"/>
    </w:pPr>
    <w:rPr>
      <w:rFonts w:ascii="宋体"/>
      <w:kern w:val="0"/>
      <w:szCs w:val="20"/>
    </w:rPr>
  </w:style>
  <w:style w:type="character" w:customStyle="1" w:styleId="1612">
    <w:name w:val="正文 Char4"/>
    <w:link w:val="1611"/>
    <w:uiPriority w:val="0"/>
    <w:rPr>
      <w:rFonts w:ascii="宋体"/>
      <w:sz w:val="24"/>
    </w:rPr>
  </w:style>
  <w:style w:type="paragraph" w:customStyle="1" w:styleId="1613">
    <w:name w:val="13"/>
    <w:autoRedefine/>
    <w:uiPriority w:val="0"/>
    <w:pPr>
      <w:widowControl w:val="0"/>
      <w:jc w:val="both"/>
    </w:pPr>
    <w:rPr>
      <w:rFonts w:ascii="Times New Roman" w:hAnsi="Times New Roman" w:eastAsia="宋体" w:cs="Times New Roman"/>
      <w:color w:val="000000"/>
      <w:kern w:val="2"/>
      <w:sz w:val="24"/>
      <w:szCs w:val="24"/>
      <w:lang w:val="en-US" w:eastAsia="zh-CN" w:bidi="ar-SA"/>
    </w:rPr>
  </w:style>
  <w:style w:type="paragraph" w:customStyle="1" w:styleId="1614">
    <w:name w:val="Char4 Char Char Char5"/>
    <w:basedOn w:val="1"/>
    <w:autoRedefine/>
    <w:semiHidden/>
    <w:qFormat/>
    <w:uiPriority w:val="0"/>
    <w:pPr>
      <w:adjustRightInd w:val="0"/>
      <w:ind w:firstLine="200"/>
      <w:jc w:val="both"/>
    </w:pPr>
    <w:rPr>
      <w:rFonts w:ascii="宋体" w:hAnsi="宋体" w:cs="宋体"/>
      <w:szCs w:val="26"/>
    </w:rPr>
  </w:style>
  <w:style w:type="paragraph" w:customStyle="1" w:styleId="1615">
    <w:name w:val="Char Char Char Char Char Char Char Char Char4"/>
    <w:basedOn w:val="1"/>
    <w:qFormat/>
    <w:uiPriority w:val="0"/>
    <w:pPr>
      <w:snapToGrid/>
      <w:spacing w:line="240" w:lineRule="auto"/>
      <w:ind w:firstLine="0" w:firstLineChars="0"/>
      <w:jc w:val="both"/>
    </w:pPr>
    <w:rPr>
      <w:sz w:val="21"/>
    </w:rPr>
  </w:style>
  <w:style w:type="paragraph" w:customStyle="1" w:styleId="1616">
    <w:name w:val="Char Char Char Char5"/>
    <w:basedOn w:val="1"/>
    <w:qFormat/>
    <w:uiPriority w:val="0"/>
    <w:pPr>
      <w:adjustRightInd w:val="0"/>
      <w:ind w:firstLine="200"/>
      <w:jc w:val="both"/>
    </w:pPr>
    <w:rPr>
      <w:rFonts w:ascii="宋体" w:hAnsi="宋体" w:cs="宋体"/>
      <w:szCs w:val="26"/>
    </w:rPr>
  </w:style>
  <w:style w:type="paragraph" w:customStyle="1" w:styleId="1617">
    <w:name w:val="Char Char Char Char Char Char Char Char Char Char Char Char1 Char Char Char Char Char Char Char Char Char Char Char Char Char Char Char Char Char Char Char3"/>
    <w:basedOn w:val="1"/>
    <w:semiHidden/>
    <w:uiPriority w:val="0"/>
    <w:pPr>
      <w:snapToGrid/>
      <w:ind w:firstLine="200"/>
      <w:jc w:val="both"/>
    </w:pPr>
    <w:rPr>
      <w:rFonts w:ascii="宋体" w:hAnsi="宋体" w:cs="宋体"/>
      <w:szCs w:val="26"/>
    </w:rPr>
  </w:style>
  <w:style w:type="paragraph" w:customStyle="1" w:styleId="1618">
    <w:name w:val="Char7"/>
    <w:basedOn w:val="1"/>
    <w:uiPriority w:val="0"/>
    <w:pPr>
      <w:snapToGrid/>
      <w:spacing w:line="240" w:lineRule="auto"/>
      <w:ind w:firstLine="0" w:firstLineChars="0"/>
      <w:jc w:val="both"/>
    </w:pPr>
    <w:rPr>
      <w:sz w:val="21"/>
    </w:rPr>
  </w:style>
  <w:style w:type="paragraph" w:customStyle="1" w:styleId="1619">
    <w:name w:val="Char Char Char Char Char Char Char4"/>
    <w:basedOn w:val="1"/>
    <w:link w:val="1650"/>
    <w:qFormat/>
    <w:uiPriority w:val="0"/>
    <w:pPr>
      <w:snapToGrid/>
      <w:spacing w:line="240" w:lineRule="auto"/>
      <w:ind w:firstLine="0" w:firstLineChars="0"/>
      <w:jc w:val="both"/>
    </w:pPr>
    <w:rPr>
      <w:sz w:val="21"/>
    </w:rPr>
  </w:style>
  <w:style w:type="paragraph" w:customStyle="1" w:styleId="1620">
    <w:name w:val="Char Char1 Char Char Char Char3"/>
    <w:basedOn w:val="1"/>
    <w:uiPriority w:val="0"/>
    <w:pPr>
      <w:snapToGrid/>
      <w:spacing w:line="240" w:lineRule="auto"/>
      <w:ind w:firstLine="0" w:firstLineChars="0"/>
      <w:jc w:val="both"/>
    </w:pPr>
  </w:style>
  <w:style w:type="paragraph" w:customStyle="1" w:styleId="1621">
    <w:name w:val="Char2 Char Char Char Char Char Char3"/>
    <w:basedOn w:val="1"/>
    <w:autoRedefine/>
    <w:qFormat/>
    <w:uiPriority w:val="0"/>
    <w:pPr>
      <w:snapToGrid/>
      <w:spacing w:line="240" w:lineRule="auto"/>
      <w:ind w:firstLine="0" w:firstLineChars="0"/>
      <w:jc w:val="both"/>
    </w:pPr>
    <w:rPr>
      <w:sz w:val="21"/>
    </w:rPr>
  </w:style>
  <w:style w:type="paragraph" w:customStyle="1" w:styleId="1622">
    <w:name w:val="Char Char Char Char14"/>
    <w:basedOn w:val="1"/>
    <w:qFormat/>
    <w:uiPriority w:val="0"/>
    <w:pPr>
      <w:snapToGrid/>
      <w:ind w:firstLine="200"/>
      <w:jc w:val="both"/>
    </w:pPr>
    <w:rPr>
      <w:rFonts w:ascii="宋体" w:hAnsi="宋体" w:cs="宋体"/>
    </w:rPr>
  </w:style>
  <w:style w:type="paragraph" w:customStyle="1" w:styleId="1623">
    <w:name w:val="Char25"/>
    <w:basedOn w:val="1"/>
    <w:qFormat/>
    <w:uiPriority w:val="0"/>
    <w:pPr>
      <w:snapToGrid/>
      <w:spacing w:line="240" w:lineRule="auto"/>
      <w:ind w:firstLine="0" w:firstLineChars="0"/>
      <w:jc w:val="both"/>
    </w:pPr>
    <w:rPr>
      <w:sz w:val="21"/>
      <w:szCs w:val="21"/>
    </w:rPr>
  </w:style>
  <w:style w:type="paragraph" w:customStyle="1" w:styleId="1624">
    <w:name w:val="Char Char Char Char Char Char4"/>
    <w:basedOn w:val="1"/>
    <w:qFormat/>
    <w:uiPriority w:val="0"/>
    <w:pPr>
      <w:snapToGrid/>
      <w:spacing w:line="240" w:lineRule="auto"/>
      <w:ind w:firstLine="0" w:firstLineChars="0"/>
      <w:jc w:val="both"/>
    </w:pPr>
    <w:rPr>
      <w:rFonts w:ascii="宋体" w:hAnsi="宋体"/>
    </w:rPr>
  </w:style>
  <w:style w:type="paragraph" w:customStyle="1" w:styleId="1625">
    <w:name w:val="日期3"/>
    <w:basedOn w:val="1"/>
    <w:next w:val="1"/>
    <w:qFormat/>
    <w:uiPriority w:val="0"/>
    <w:pPr>
      <w:adjustRightInd w:val="0"/>
      <w:snapToGrid/>
      <w:spacing w:line="240" w:lineRule="auto"/>
      <w:ind w:firstLine="0" w:firstLineChars="0"/>
      <w:jc w:val="both"/>
      <w:textAlignment w:val="baseline"/>
    </w:pPr>
    <w:rPr>
      <w:sz w:val="21"/>
      <w:szCs w:val="20"/>
    </w:rPr>
  </w:style>
  <w:style w:type="character" w:customStyle="1" w:styleId="1626">
    <w:name w:val="Char Char74"/>
    <w:autoRedefine/>
    <w:qFormat/>
    <w:uiPriority w:val="0"/>
    <w:rPr>
      <w:rFonts w:eastAsia="宋体"/>
      <w:b/>
      <w:bCs/>
      <w:kern w:val="44"/>
      <w:sz w:val="44"/>
      <w:szCs w:val="44"/>
      <w:lang w:val="en-US" w:eastAsia="zh-CN" w:bidi="ar-SA"/>
    </w:rPr>
  </w:style>
  <w:style w:type="paragraph" w:customStyle="1" w:styleId="1627">
    <w:name w:val="Char Char1 Char3"/>
    <w:basedOn w:val="1"/>
    <w:qFormat/>
    <w:uiPriority w:val="0"/>
    <w:pPr>
      <w:snapToGrid/>
      <w:spacing w:line="240" w:lineRule="auto"/>
      <w:ind w:firstLine="0" w:firstLineChars="0"/>
      <w:jc w:val="both"/>
    </w:pPr>
    <w:rPr>
      <w:sz w:val="21"/>
    </w:rPr>
  </w:style>
  <w:style w:type="paragraph" w:customStyle="1" w:styleId="1628">
    <w:name w:val="纯文本3"/>
    <w:basedOn w:val="1"/>
    <w:qFormat/>
    <w:uiPriority w:val="0"/>
    <w:pPr>
      <w:adjustRightInd w:val="0"/>
      <w:snapToGrid/>
      <w:spacing w:line="240" w:lineRule="auto"/>
      <w:ind w:firstLine="0" w:firstLineChars="0"/>
      <w:jc w:val="both"/>
      <w:textAlignment w:val="baseline"/>
    </w:pPr>
    <w:rPr>
      <w:rFonts w:ascii="宋体" w:hAnsi="Courier New"/>
      <w:sz w:val="21"/>
    </w:rPr>
  </w:style>
  <w:style w:type="paragraph" w:customStyle="1" w:styleId="1629">
    <w:name w:val="批注框文本4"/>
    <w:basedOn w:val="1"/>
    <w:autoRedefine/>
    <w:semiHidden/>
    <w:qFormat/>
    <w:uiPriority w:val="0"/>
    <w:pPr>
      <w:widowControl/>
      <w:autoSpaceDE w:val="0"/>
      <w:autoSpaceDN w:val="0"/>
      <w:snapToGrid/>
      <w:spacing w:line="240" w:lineRule="auto"/>
      <w:ind w:firstLine="0" w:firstLineChars="0"/>
    </w:pPr>
    <w:rPr>
      <w:rFonts w:ascii="Tahoma" w:hAnsi="Tahoma" w:cs="幼圆"/>
      <w:kern w:val="0"/>
      <w:sz w:val="16"/>
      <w:szCs w:val="16"/>
      <w:lang w:val="en-GB" w:eastAsia="en-GB"/>
    </w:rPr>
  </w:style>
  <w:style w:type="paragraph" w:customStyle="1" w:styleId="1630">
    <w:name w:val="正文10"/>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1">
    <w:name w:val="普通(网站)3"/>
    <w:basedOn w:val="1"/>
    <w:qFormat/>
    <w:uiPriority w:val="0"/>
    <w:pPr>
      <w:snapToGrid/>
      <w:spacing w:line="240" w:lineRule="auto"/>
      <w:ind w:firstLine="0" w:firstLineChars="0"/>
      <w:jc w:val="both"/>
    </w:pPr>
  </w:style>
  <w:style w:type="character" w:customStyle="1" w:styleId="1632">
    <w:name w:val="Char1 Char Char Char Char Char Char Char Char Char Char Char Char Char Char Char Char Char3"/>
    <w:autoRedefine/>
    <w:qFormat/>
    <w:uiPriority w:val="0"/>
    <w:rPr>
      <w:rFonts w:ascii="Arial Narrow" w:hAnsi="Arial Narrow" w:eastAsia="仿宋_GB2312"/>
      <w:sz w:val="24"/>
      <w:szCs w:val="28"/>
      <w:lang w:val="en-US" w:eastAsia="zh-CN" w:bidi="ar-SA"/>
    </w:rPr>
  </w:style>
  <w:style w:type="paragraph" w:customStyle="1" w:styleId="1633">
    <w:name w:val="Char Char3 Char Char Char Char4"/>
    <w:basedOn w:val="1"/>
    <w:qFormat/>
    <w:uiPriority w:val="0"/>
    <w:pPr>
      <w:widowControl/>
      <w:snapToGrid/>
      <w:spacing w:line="240" w:lineRule="exact"/>
      <w:ind w:firstLine="0" w:firstLineChars="0"/>
    </w:pPr>
    <w:rPr>
      <w:rFonts w:ascii="Verdana" w:hAnsi="Verdana"/>
      <w:kern w:val="0"/>
      <w:sz w:val="20"/>
      <w:szCs w:val="20"/>
      <w:lang w:eastAsia="en-US"/>
    </w:rPr>
  </w:style>
  <w:style w:type="character" w:customStyle="1" w:styleId="1634">
    <w:name w:val="Char Char163"/>
    <w:qFormat/>
    <w:uiPriority w:val="0"/>
    <w:rPr>
      <w:rFonts w:ascii="Book Antiqua" w:hAnsi="Book Antiqua" w:eastAsia="宋体"/>
      <w:i/>
      <w:sz w:val="22"/>
      <w:lang w:val="en-GB" w:eastAsia="zh-CN" w:bidi="ar-SA"/>
    </w:rPr>
  </w:style>
  <w:style w:type="character" w:customStyle="1" w:styleId="1635">
    <w:name w:val="Char Char133"/>
    <w:autoRedefine/>
    <w:uiPriority w:val="0"/>
    <w:rPr>
      <w:rFonts w:ascii="宋体" w:eastAsia="宋体"/>
      <w:b/>
      <w:spacing w:val="6"/>
      <w:kern w:val="2"/>
      <w:sz w:val="24"/>
      <w:szCs w:val="26"/>
      <w:lang w:val="en-US" w:eastAsia="zh-CN" w:bidi="ar-SA"/>
    </w:rPr>
  </w:style>
  <w:style w:type="paragraph" w:customStyle="1" w:styleId="1636">
    <w:name w:val="Char Char Char Char Char Char Char Char Char Char Char Char Char Char Char Char Char Char Char3"/>
    <w:basedOn w:val="1"/>
    <w:qFormat/>
    <w:uiPriority w:val="0"/>
    <w:pPr>
      <w:snapToGrid/>
      <w:spacing w:line="240" w:lineRule="auto"/>
      <w:ind w:firstLine="0" w:firstLineChars="0"/>
      <w:jc w:val="both"/>
    </w:pPr>
    <w:rPr>
      <w:rFonts w:eastAsia="Times New Roman"/>
      <w:kern w:val="0"/>
      <w:sz w:val="20"/>
      <w:szCs w:val="20"/>
    </w:rPr>
  </w:style>
  <w:style w:type="character" w:customStyle="1" w:styleId="1637">
    <w:name w:val="Char Char103"/>
    <w:qFormat/>
    <w:uiPriority w:val="0"/>
    <w:rPr>
      <w:rFonts w:eastAsia="宋体"/>
      <w:sz w:val="18"/>
      <w:szCs w:val="18"/>
      <w:lang w:val="zh-CN" w:eastAsia="zh-CN" w:bidi="ar-SA"/>
    </w:rPr>
  </w:style>
  <w:style w:type="character" w:customStyle="1" w:styleId="1638">
    <w:name w:val="Char Char83"/>
    <w:autoRedefine/>
    <w:qFormat/>
    <w:uiPriority w:val="0"/>
    <w:rPr>
      <w:rFonts w:ascii="宋体" w:hAnsi="宋体" w:eastAsia="宋体"/>
      <w:sz w:val="24"/>
      <w:szCs w:val="24"/>
      <w:lang w:val="zh-CN" w:eastAsia="zh-CN" w:bidi="ar-SA"/>
    </w:rPr>
  </w:style>
  <w:style w:type="paragraph" w:customStyle="1" w:styleId="1639">
    <w:name w:val="Char Char Char Char Char2 Char Char Char Char4"/>
    <w:basedOn w:val="1"/>
    <w:semiHidden/>
    <w:qFormat/>
    <w:uiPriority w:val="0"/>
    <w:pPr>
      <w:adjustRightInd w:val="0"/>
      <w:ind w:firstLine="200"/>
      <w:jc w:val="both"/>
    </w:pPr>
    <w:rPr>
      <w:rFonts w:ascii="宋体" w:hAnsi="宋体" w:cs="宋体"/>
      <w:szCs w:val="26"/>
    </w:rPr>
  </w:style>
  <w:style w:type="character" w:customStyle="1" w:styleId="1640">
    <w:name w:val="标题10"/>
    <w:uiPriority w:val="0"/>
  </w:style>
  <w:style w:type="paragraph" w:customStyle="1" w:styleId="1641">
    <w:name w:val="Char Char Char Char Char Char Char Char Char Char Char Char Char Char Char Char Char Char3"/>
    <w:basedOn w:val="1"/>
    <w:qFormat/>
    <w:uiPriority w:val="0"/>
    <w:pPr>
      <w:snapToGrid/>
      <w:spacing w:line="240" w:lineRule="auto"/>
      <w:ind w:firstLine="0" w:firstLineChars="0"/>
      <w:jc w:val="both"/>
    </w:pPr>
    <w:rPr>
      <w:sz w:val="21"/>
    </w:rPr>
  </w:style>
  <w:style w:type="paragraph" w:customStyle="1" w:styleId="1642">
    <w:name w:val="Char Char Char Char Char Char Char Char Char Char3"/>
    <w:basedOn w:val="1"/>
    <w:next w:val="1"/>
    <w:uiPriority w:val="0"/>
    <w:pPr>
      <w:snapToGrid/>
      <w:ind w:firstLine="200"/>
      <w:jc w:val="both"/>
    </w:pPr>
    <w:rPr>
      <w:rFonts w:ascii="宋体" w:hAnsi="宋体" w:cs="宋体"/>
    </w:rPr>
  </w:style>
  <w:style w:type="paragraph" w:customStyle="1" w:styleId="1643">
    <w:name w:val="Char Char Char Char Char Char Char Char Char Char Char Char6"/>
    <w:basedOn w:val="1"/>
    <w:next w:val="1"/>
    <w:qFormat/>
    <w:uiPriority w:val="0"/>
    <w:pPr>
      <w:snapToGrid/>
      <w:ind w:firstLine="200"/>
      <w:jc w:val="both"/>
    </w:pPr>
    <w:rPr>
      <w:rFonts w:ascii="宋体" w:hAnsi="宋体" w:cs="宋体"/>
    </w:rPr>
  </w:style>
  <w:style w:type="paragraph" w:customStyle="1" w:styleId="1644">
    <w:name w:val="Char Char Char Char Char Char Char Char Char Char Char Char1 Char3"/>
    <w:basedOn w:val="1"/>
    <w:next w:val="1"/>
    <w:autoRedefine/>
    <w:uiPriority w:val="0"/>
    <w:pPr>
      <w:snapToGrid/>
      <w:ind w:firstLine="200"/>
      <w:jc w:val="both"/>
    </w:pPr>
    <w:rPr>
      <w:rFonts w:ascii="宋体" w:hAnsi="宋体" w:cs="宋体"/>
    </w:rPr>
  </w:style>
  <w:style w:type="paragraph" w:customStyle="1" w:styleId="1645">
    <w:name w:val="Char Char Char Char Char Char1 Char3"/>
    <w:basedOn w:val="1"/>
    <w:uiPriority w:val="0"/>
    <w:pPr>
      <w:snapToGrid/>
      <w:spacing w:line="240" w:lineRule="auto"/>
      <w:ind w:firstLine="0" w:firstLineChars="0"/>
      <w:jc w:val="both"/>
    </w:pPr>
    <w:rPr>
      <w:sz w:val="21"/>
    </w:rPr>
  </w:style>
  <w:style w:type="paragraph" w:customStyle="1" w:styleId="1646">
    <w:name w:val="Char Char Char Char Char Char Char Char Char Char Char Char Char Char Char Char4"/>
    <w:basedOn w:val="1"/>
    <w:autoRedefine/>
    <w:qFormat/>
    <w:uiPriority w:val="0"/>
    <w:pPr>
      <w:snapToGrid/>
      <w:spacing w:line="240" w:lineRule="auto"/>
      <w:ind w:firstLine="0" w:firstLineChars="0"/>
      <w:jc w:val="both"/>
    </w:pPr>
    <w:rPr>
      <w:sz w:val="21"/>
    </w:rPr>
  </w:style>
  <w:style w:type="paragraph" w:customStyle="1" w:styleId="1647">
    <w:name w:val="Char Char Char1 Char Char Char Char Char Char Char Char Char Char Char Char Char Char Char Char Char Char Char3"/>
    <w:basedOn w:val="1"/>
    <w:uiPriority w:val="0"/>
    <w:pPr>
      <w:snapToGrid/>
      <w:spacing w:line="240" w:lineRule="auto"/>
      <w:ind w:firstLine="0" w:firstLineChars="0"/>
      <w:jc w:val="both"/>
    </w:pPr>
    <w:rPr>
      <w:sz w:val="21"/>
    </w:rPr>
  </w:style>
  <w:style w:type="paragraph" w:customStyle="1" w:styleId="1648">
    <w:name w:val="Char Char Char Char Char Char Char Char Char Char Char Char Char Char Char Char Char Char Char Char Char Char Char Char Char Char Char Char Char Char Char Char Char Char Char Char Char Char Char3"/>
    <w:basedOn w:val="1"/>
    <w:uiPriority w:val="0"/>
    <w:pPr>
      <w:snapToGrid/>
      <w:spacing w:line="240" w:lineRule="auto"/>
      <w:ind w:firstLine="0" w:firstLineChars="0"/>
      <w:jc w:val="both"/>
    </w:pPr>
    <w:rPr>
      <w:sz w:val="21"/>
    </w:rPr>
  </w:style>
  <w:style w:type="paragraph" w:customStyle="1" w:styleId="1649">
    <w:name w:val="Char Char Char Char Char Char Char Char Char Char Char3"/>
    <w:basedOn w:val="1"/>
    <w:autoRedefine/>
    <w:uiPriority w:val="0"/>
    <w:pPr>
      <w:adjustRightInd w:val="0"/>
      <w:snapToGrid/>
      <w:ind w:firstLine="0" w:firstLineChars="0"/>
      <w:jc w:val="both"/>
    </w:pPr>
    <w:rPr>
      <w:kern w:val="0"/>
      <w:szCs w:val="20"/>
    </w:rPr>
  </w:style>
  <w:style w:type="character" w:customStyle="1" w:styleId="1650">
    <w:name w:val="Char Char Char Char Char Char Char Char3"/>
    <w:link w:val="1619"/>
    <w:autoRedefine/>
    <w:qFormat/>
    <w:uiPriority w:val="0"/>
    <w:rPr>
      <w:kern w:val="2"/>
      <w:sz w:val="21"/>
      <w:szCs w:val="24"/>
    </w:rPr>
  </w:style>
  <w:style w:type="paragraph" w:customStyle="1" w:styleId="1651">
    <w:name w:val="Char Char Char Char Char2 Char4"/>
    <w:basedOn w:val="1"/>
    <w:autoRedefine/>
    <w:uiPriority w:val="0"/>
    <w:pPr>
      <w:adjustRightInd w:val="0"/>
      <w:ind w:firstLine="200"/>
      <w:jc w:val="both"/>
    </w:pPr>
    <w:rPr>
      <w:sz w:val="21"/>
      <w:szCs w:val="20"/>
    </w:rPr>
  </w:style>
  <w:style w:type="character" w:customStyle="1" w:styleId="1652">
    <w:name w:val="Char Char173"/>
    <w:autoRedefine/>
    <w:uiPriority w:val="0"/>
    <w:rPr>
      <w:rFonts w:eastAsia="宋体"/>
      <w:color w:val="000000"/>
      <w:kern w:val="2"/>
      <w:sz w:val="18"/>
      <w:szCs w:val="18"/>
      <w:lang w:val="en-US" w:eastAsia="zh-CN" w:bidi="ar-SA"/>
    </w:rPr>
  </w:style>
  <w:style w:type="paragraph" w:customStyle="1" w:styleId="1653">
    <w:name w:val="Char Char Char4"/>
    <w:basedOn w:val="1"/>
    <w:autoRedefine/>
    <w:uiPriority w:val="0"/>
    <w:pPr>
      <w:snapToGrid/>
      <w:spacing w:line="240" w:lineRule="auto"/>
      <w:ind w:firstLine="0" w:firstLineChars="0"/>
      <w:jc w:val="both"/>
    </w:pPr>
  </w:style>
  <w:style w:type="character" w:customStyle="1" w:styleId="1654">
    <w:name w:val="Char Char223"/>
    <w:autoRedefine/>
    <w:uiPriority w:val="0"/>
    <w:rPr>
      <w:sz w:val="18"/>
      <w:lang w:eastAsia="en-US" w:bidi="en-US"/>
    </w:rPr>
  </w:style>
  <w:style w:type="character" w:customStyle="1" w:styleId="1655">
    <w:name w:val="Char Char213"/>
    <w:autoRedefine/>
    <w:uiPriority w:val="0"/>
    <w:rPr>
      <w:rFonts w:eastAsia="宋体"/>
      <w:sz w:val="18"/>
    </w:rPr>
  </w:style>
  <w:style w:type="character" w:customStyle="1" w:styleId="1656">
    <w:name w:val="Char Char203"/>
    <w:autoRedefine/>
    <w:uiPriority w:val="0"/>
    <w:rPr>
      <w:rFonts w:eastAsia="宋体"/>
      <w:sz w:val="18"/>
    </w:rPr>
  </w:style>
  <w:style w:type="character" w:customStyle="1" w:styleId="1657">
    <w:name w:val="Char Char193"/>
    <w:autoRedefine/>
    <w:qFormat/>
    <w:uiPriority w:val="0"/>
    <w:rPr>
      <w:rFonts w:ascii="Cambria" w:hAnsi="Cambria" w:eastAsia="宋体"/>
      <w:b/>
      <w:kern w:val="28"/>
      <w:sz w:val="32"/>
    </w:rPr>
  </w:style>
  <w:style w:type="character" w:customStyle="1" w:styleId="1658">
    <w:name w:val="Char Char183"/>
    <w:autoRedefine/>
    <w:uiPriority w:val="0"/>
    <w:rPr>
      <w:rFonts w:eastAsia="宋体"/>
    </w:rPr>
  </w:style>
  <w:style w:type="character" w:customStyle="1" w:styleId="1659">
    <w:name w:val="Char Char252"/>
    <w:autoRedefine/>
    <w:uiPriority w:val="0"/>
    <w:rPr>
      <w:rFonts w:ascii="Times New Roman" w:hAnsi="Times New Roman" w:eastAsia="宋体" w:cs="Times New Roman"/>
      <w:szCs w:val="24"/>
    </w:rPr>
  </w:style>
  <w:style w:type="paragraph" w:customStyle="1" w:styleId="1660">
    <w:name w:val="Char Char Char1 Char2"/>
    <w:basedOn w:val="1"/>
    <w:autoRedefine/>
    <w:qFormat/>
    <w:uiPriority w:val="0"/>
    <w:pPr>
      <w:snapToGrid/>
      <w:spacing w:line="240" w:lineRule="auto"/>
      <w:ind w:firstLine="0" w:firstLineChars="0"/>
      <w:jc w:val="both"/>
    </w:pPr>
    <w:rPr>
      <w:rFonts w:ascii="宋体" w:hAnsi="Tahoma" w:cs="Tahoma"/>
      <w:sz w:val="20"/>
      <w:szCs w:val="21"/>
    </w:rPr>
  </w:style>
  <w:style w:type="paragraph" w:customStyle="1" w:styleId="1661">
    <w:name w:val="Char Char Char Char Char2"/>
    <w:basedOn w:val="1"/>
    <w:autoRedefine/>
    <w:uiPriority w:val="0"/>
    <w:pPr>
      <w:snapToGrid/>
      <w:spacing w:line="240" w:lineRule="auto"/>
      <w:ind w:firstLine="0" w:firstLineChars="0"/>
      <w:jc w:val="both"/>
    </w:pPr>
    <w:rPr>
      <w:sz w:val="21"/>
    </w:rPr>
  </w:style>
  <w:style w:type="paragraph" w:customStyle="1" w:styleId="1662">
    <w:name w:val="Char Char Char Char Char Char Char Char Char Char Char Char Char2"/>
    <w:basedOn w:val="1"/>
    <w:autoRedefine/>
    <w:uiPriority w:val="0"/>
    <w:pPr>
      <w:snapToGrid/>
      <w:ind w:firstLine="200"/>
      <w:jc w:val="both"/>
    </w:pPr>
    <w:rPr>
      <w:rFonts w:ascii="宋体" w:hAnsi="宋体" w:cs="宋体"/>
    </w:rPr>
  </w:style>
  <w:style w:type="paragraph" w:customStyle="1" w:styleId="1663">
    <w:name w:val="Char1 Char Char Char Char Char Char2"/>
    <w:basedOn w:val="1"/>
    <w:autoRedefine/>
    <w:uiPriority w:val="0"/>
    <w:pPr>
      <w:keepNext/>
      <w:keepLines/>
      <w:snapToGrid/>
      <w:spacing w:line="240" w:lineRule="exact"/>
      <w:ind w:firstLine="0" w:firstLineChars="0"/>
    </w:pPr>
    <w:rPr>
      <w:rFonts w:ascii="宋体" w:hAnsi="宋体"/>
      <w:b/>
      <w:kern w:val="0"/>
      <w:sz w:val="44"/>
      <w:szCs w:val="44"/>
      <w:lang w:eastAsia="en-US"/>
    </w:rPr>
  </w:style>
  <w:style w:type="paragraph" w:customStyle="1" w:styleId="1664">
    <w:name w:val="标题 1红4号3"/>
    <w:basedOn w:val="3"/>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665">
    <w:name w:val="标题 2 蓝四号3"/>
    <w:basedOn w:val="4"/>
    <w:next w:val="1"/>
    <w:autoRedefine/>
    <w:semiHidden/>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666">
    <w:name w:val="Char Char232"/>
    <w:autoRedefine/>
    <w:qFormat/>
    <w:uiPriority w:val="0"/>
    <w:rPr>
      <w:rFonts w:ascii="Arial Narrow" w:hAnsi="Arial Narrow" w:eastAsia="仿宋_GB2312"/>
      <w:kern w:val="2"/>
      <w:sz w:val="24"/>
      <w:szCs w:val="24"/>
      <w:lang w:val="en-US" w:eastAsia="zh-CN" w:bidi="ar-SA"/>
    </w:rPr>
  </w:style>
  <w:style w:type="character" w:customStyle="1" w:styleId="1667">
    <w:name w:val="Char Char272"/>
    <w:autoRedefine/>
    <w:uiPriority w:val="0"/>
    <w:rPr>
      <w:rFonts w:eastAsia="宋体"/>
      <w:bCs/>
      <w:color w:val="000000"/>
      <w:sz w:val="24"/>
      <w:szCs w:val="19"/>
      <w:lang w:val="en-US" w:eastAsia="zh-CN" w:bidi="ar-SA"/>
    </w:rPr>
  </w:style>
  <w:style w:type="character" w:customStyle="1" w:styleId="1668">
    <w:name w:val="Char Char322"/>
    <w:autoRedefine/>
    <w:qFormat/>
    <w:uiPriority w:val="0"/>
    <w:rPr>
      <w:rFonts w:eastAsia="宋体"/>
      <w:color w:val="000000"/>
      <w:kern w:val="2"/>
      <w:sz w:val="24"/>
      <w:szCs w:val="24"/>
      <w:lang w:val="en-US" w:eastAsia="zh-CN" w:bidi="ar-SA"/>
    </w:rPr>
  </w:style>
  <w:style w:type="character" w:customStyle="1" w:styleId="1669">
    <w:name w:val="Char Char342"/>
    <w:autoRedefine/>
    <w:uiPriority w:val="0"/>
    <w:rPr>
      <w:rFonts w:eastAsia="宋体"/>
      <w:kern w:val="2"/>
      <w:sz w:val="21"/>
      <w:szCs w:val="24"/>
      <w:lang w:val="en-US" w:eastAsia="zh-CN" w:bidi="ar-SA"/>
    </w:rPr>
  </w:style>
  <w:style w:type="character" w:customStyle="1" w:styleId="1670">
    <w:name w:val="fontstyle11"/>
    <w:autoRedefine/>
    <w:qFormat/>
    <w:uiPriority w:val="0"/>
    <w:rPr>
      <w:rFonts w:hint="default" w:ascii="TimesNewRoman" w:hAnsi="TimesNewRoman"/>
      <w:color w:val="000000"/>
      <w:sz w:val="24"/>
      <w:szCs w:val="24"/>
    </w:rPr>
  </w:style>
  <w:style w:type="paragraph" w:customStyle="1" w:styleId="1671">
    <w:name w:val="正文12"/>
    <w:basedOn w:val="1"/>
    <w:link w:val="1672"/>
    <w:autoRedefine/>
    <w:uiPriority w:val="0"/>
    <w:pPr>
      <w:adjustRightInd w:val="0"/>
      <w:snapToGrid/>
      <w:spacing w:line="315" w:lineRule="atLeast"/>
      <w:ind w:firstLine="0" w:firstLineChars="0"/>
      <w:textAlignment w:val="baseline"/>
    </w:pPr>
    <w:rPr>
      <w:rFonts w:ascii="宋体"/>
      <w:kern w:val="0"/>
      <w:szCs w:val="20"/>
    </w:rPr>
  </w:style>
  <w:style w:type="character" w:customStyle="1" w:styleId="1672">
    <w:name w:val="正文 Char3"/>
    <w:link w:val="1671"/>
    <w:autoRedefine/>
    <w:uiPriority w:val="0"/>
    <w:rPr>
      <w:rFonts w:ascii="宋体"/>
      <w:sz w:val="24"/>
    </w:rPr>
  </w:style>
  <w:style w:type="paragraph" w:customStyle="1" w:styleId="1673">
    <w:name w:val="12"/>
    <w:autoRedefine/>
    <w:uiPriority w:val="0"/>
    <w:pPr>
      <w:widowControl w:val="0"/>
      <w:jc w:val="both"/>
    </w:pPr>
    <w:rPr>
      <w:rFonts w:ascii="Times New Roman" w:hAnsi="Times New Roman" w:eastAsia="宋体" w:cs="Times New Roman"/>
      <w:color w:val="000000"/>
      <w:kern w:val="2"/>
      <w:sz w:val="24"/>
      <w:szCs w:val="24"/>
      <w:lang w:val="en-US" w:eastAsia="zh-CN" w:bidi="ar-SA"/>
    </w:rPr>
  </w:style>
  <w:style w:type="paragraph" w:customStyle="1" w:styleId="1674">
    <w:name w:val="Char4 Char Char Char4"/>
    <w:basedOn w:val="1"/>
    <w:autoRedefine/>
    <w:semiHidden/>
    <w:uiPriority w:val="0"/>
    <w:pPr>
      <w:adjustRightInd w:val="0"/>
      <w:ind w:firstLine="200"/>
      <w:jc w:val="both"/>
    </w:pPr>
    <w:rPr>
      <w:rFonts w:ascii="宋体" w:hAnsi="宋体" w:cs="宋体"/>
      <w:szCs w:val="26"/>
    </w:rPr>
  </w:style>
  <w:style w:type="paragraph" w:customStyle="1" w:styleId="1675">
    <w:name w:val="Char Char Char Char Char Char Char Char Char3"/>
    <w:basedOn w:val="1"/>
    <w:autoRedefine/>
    <w:uiPriority w:val="0"/>
    <w:pPr>
      <w:snapToGrid/>
      <w:spacing w:line="240" w:lineRule="auto"/>
      <w:ind w:firstLine="0" w:firstLineChars="0"/>
      <w:jc w:val="both"/>
    </w:pPr>
    <w:rPr>
      <w:sz w:val="21"/>
    </w:rPr>
  </w:style>
  <w:style w:type="paragraph" w:customStyle="1" w:styleId="1676">
    <w:name w:val="Char Char Char Char4"/>
    <w:basedOn w:val="1"/>
    <w:autoRedefine/>
    <w:uiPriority w:val="0"/>
    <w:pPr>
      <w:adjustRightInd w:val="0"/>
      <w:ind w:firstLine="200"/>
      <w:jc w:val="both"/>
    </w:pPr>
    <w:rPr>
      <w:rFonts w:ascii="宋体" w:hAnsi="宋体" w:cs="宋体"/>
      <w:szCs w:val="26"/>
    </w:rPr>
  </w:style>
  <w:style w:type="paragraph" w:customStyle="1" w:styleId="1677">
    <w:name w:val="Char Char Char Char Char Char Char Char Char Char Char Char1 Char Char Char Char Char Char Char Char Char Char Char Char Char Char Char Char Char Char Char2"/>
    <w:basedOn w:val="1"/>
    <w:autoRedefine/>
    <w:semiHidden/>
    <w:qFormat/>
    <w:uiPriority w:val="0"/>
    <w:pPr>
      <w:snapToGrid/>
      <w:ind w:firstLine="200"/>
      <w:jc w:val="both"/>
    </w:pPr>
    <w:rPr>
      <w:rFonts w:ascii="宋体" w:hAnsi="宋体" w:cs="宋体"/>
      <w:szCs w:val="26"/>
    </w:rPr>
  </w:style>
  <w:style w:type="paragraph" w:customStyle="1" w:styleId="1678">
    <w:name w:val="Char6"/>
    <w:basedOn w:val="1"/>
    <w:autoRedefine/>
    <w:uiPriority w:val="0"/>
    <w:pPr>
      <w:snapToGrid/>
      <w:spacing w:line="240" w:lineRule="auto"/>
      <w:ind w:firstLine="0" w:firstLineChars="0"/>
      <w:jc w:val="both"/>
    </w:pPr>
    <w:rPr>
      <w:sz w:val="21"/>
    </w:rPr>
  </w:style>
  <w:style w:type="paragraph" w:customStyle="1" w:styleId="1679">
    <w:name w:val="Char Char Char Char Char Char Char3"/>
    <w:basedOn w:val="1"/>
    <w:link w:val="1710"/>
    <w:uiPriority w:val="0"/>
    <w:pPr>
      <w:snapToGrid/>
      <w:spacing w:line="240" w:lineRule="auto"/>
      <w:ind w:firstLine="0" w:firstLineChars="0"/>
      <w:jc w:val="both"/>
    </w:pPr>
    <w:rPr>
      <w:sz w:val="21"/>
    </w:rPr>
  </w:style>
  <w:style w:type="paragraph" w:customStyle="1" w:styleId="1680">
    <w:name w:val="Char Char1 Char Char Char Char2"/>
    <w:basedOn w:val="1"/>
    <w:autoRedefine/>
    <w:uiPriority w:val="0"/>
    <w:pPr>
      <w:snapToGrid/>
      <w:spacing w:line="240" w:lineRule="auto"/>
      <w:ind w:firstLine="0" w:firstLineChars="0"/>
      <w:jc w:val="both"/>
    </w:pPr>
  </w:style>
  <w:style w:type="paragraph" w:customStyle="1" w:styleId="1681">
    <w:name w:val="Char2 Char Char Char Char Char Char2"/>
    <w:basedOn w:val="1"/>
    <w:uiPriority w:val="0"/>
    <w:pPr>
      <w:snapToGrid/>
      <w:spacing w:line="240" w:lineRule="auto"/>
      <w:ind w:firstLine="0" w:firstLineChars="0"/>
      <w:jc w:val="both"/>
    </w:pPr>
    <w:rPr>
      <w:sz w:val="21"/>
    </w:rPr>
  </w:style>
  <w:style w:type="paragraph" w:customStyle="1" w:styleId="1682">
    <w:name w:val="Char Char Char Char13"/>
    <w:basedOn w:val="1"/>
    <w:qFormat/>
    <w:uiPriority w:val="0"/>
    <w:pPr>
      <w:snapToGrid/>
      <w:ind w:firstLine="200"/>
      <w:jc w:val="both"/>
    </w:pPr>
    <w:rPr>
      <w:rFonts w:ascii="宋体" w:hAnsi="宋体" w:cs="宋体"/>
    </w:rPr>
  </w:style>
  <w:style w:type="paragraph" w:customStyle="1" w:styleId="1683">
    <w:name w:val="Char24"/>
    <w:basedOn w:val="1"/>
    <w:uiPriority w:val="0"/>
    <w:pPr>
      <w:snapToGrid/>
      <w:spacing w:line="240" w:lineRule="auto"/>
      <w:ind w:firstLine="0" w:firstLineChars="0"/>
      <w:jc w:val="both"/>
    </w:pPr>
    <w:rPr>
      <w:sz w:val="21"/>
      <w:szCs w:val="21"/>
    </w:rPr>
  </w:style>
  <w:style w:type="paragraph" w:customStyle="1" w:styleId="1684">
    <w:name w:val="Char Char Char Char Char Char3"/>
    <w:basedOn w:val="1"/>
    <w:autoRedefine/>
    <w:qFormat/>
    <w:uiPriority w:val="0"/>
    <w:pPr>
      <w:snapToGrid/>
      <w:spacing w:line="240" w:lineRule="auto"/>
      <w:ind w:firstLine="0" w:firstLineChars="0"/>
      <w:jc w:val="both"/>
    </w:pPr>
    <w:rPr>
      <w:rFonts w:ascii="宋体" w:hAnsi="宋体"/>
    </w:rPr>
  </w:style>
  <w:style w:type="paragraph" w:customStyle="1" w:styleId="1685">
    <w:name w:val="日期4"/>
    <w:basedOn w:val="1"/>
    <w:next w:val="1"/>
    <w:uiPriority w:val="0"/>
    <w:pPr>
      <w:adjustRightInd w:val="0"/>
      <w:snapToGrid/>
      <w:spacing w:line="240" w:lineRule="auto"/>
      <w:ind w:firstLine="0" w:firstLineChars="0"/>
      <w:jc w:val="both"/>
      <w:textAlignment w:val="baseline"/>
    </w:pPr>
    <w:rPr>
      <w:sz w:val="21"/>
      <w:szCs w:val="20"/>
    </w:rPr>
  </w:style>
  <w:style w:type="character" w:customStyle="1" w:styleId="1686">
    <w:name w:val="Char Char73"/>
    <w:autoRedefine/>
    <w:qFormat/>
    <w:uiPriority w:val="0"/>
    <w:rPr>
      <w:rFonts w:eastAsia="宋体"/>
      <w:b/>
      <w:bCs/>
      <w:kern w:val="44"/>
      <w:sz w:val="44"/>
      <w:szCs w:val="44"/>
      <w:lang w:val="en-US" w:eastAsia="zh-CN" w:bidi="ar-SA"/>
    </w:rPr>
  </w:style>
  <w:style w:type="paragraph" w:customStyle="1" w:styleId="1687">
    <w:name w:val="Char Char1 Char2"/>
    <w:basedOn w:val="1"/>
    <w:uiPriority w:val="0"/>
    <w:pPr>
      <w:snapToGrid/>
      <w:spacing w:line="240" w:lineRule="auto"/>
      <w:ind w:firstLine="0" w:firstLineChars="0"/>
      <w:jc w:val="both"/>
    </w:pPr>
    <w:rPr>
      <w:sz w:val="21"/>
    </w:rPr>
  </w:style>
  <w:style w:type="paragraph" w:customStyle="1" w:styleId="1688">
    <w:name w:val="纯文本4"/>
    <w:basedOn w:val="1"/>
    <w:autoRedefine/>
    <w:qFormat/>
    <w:uiPriority w:val="0"/>
    <w:pPr>
      <w:adjustRightInd w:val="0"/>
      <w:snapToGrid/>
      <w:spacing w:line="240" w:lineRule="auto"/>
      <w:ind w:firstLine="0" w:firstLineChars="0"/>
      <w:jc w:val="both"/>
      <w:textAlignment w:val="baseline"/>
    </w:pPr>
    <w:rPr>
      <w:rFonts w:ascii="宋体" w:hAnsi="Courier New"/>
      <w:sz w:val="21"/>
    </w:rPr>
  </w:style>
  <w:style w:type="paragraph" w:customStyle="1" w:styleId="1689">
    <w:name w:val="批注框文本5"/>
    <w:basedOn w:val="1"/>
    <w:semiHidden/>
    <w:qFormat/>
    <w:uiPriority w:val="0"/>
    <w:pPr>
      <w:widowControl/>
      <w:autoSpaceDE w:val="0"/>
      <w:autoSpaceDN w:val="0"/>
      <w:snapToGrid/>
      <w:spacing w:line="240" w:lineRule="auto"/>
      <w:ind w:firstLine="0" w:firstLineChars="0"/>
    </w:pPr>
    <w:rPr>
      <w:rFonts w:ascii="Tahoma" w:hAnsi="Tahoma" w:cs="幼圆"/>
      <w:kern w:val="0"/>
      <w:sz w:val="16"/>
      <w:szCs w:val="16"/>
      <w:lang w:val="en-GB" w:eastAsia="en-GB"/>
    </w:rPr>
  </w:style>
  <w:style w:type="paragraph" w:customStyle="1" w:styleId="1690">
    <w:name w:val="正文13"/>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91">
    <w:name w:val="普通(网站)4"/>
    <w:basedOn w:val="1"/>
    <w:autoRedefine/>
    <w:qFormat/>
    <w:uiPriority w:val="0"/>
    <w:pPr>
      <w:snapToGrid/>
      <w:spacing w:line="240" w:lineRule="auto"/>
      <w:ind w:firstLine="0" w:firstLineChars="0"/>
      <w:jc w:val="both"/>
    </w:pPr>
  </w:style>
  <w:style w:type="character" w:customStyle="1" w:styleId="1692">
    <w:name w:val="Char1 Char Char Char Char Char Char Char Char Char Char Char Char Char Char Char Char Char2"/>
    <w:uiPriority w:val="0"/>
    <w:rPr>
      <w:rFonts w:ascii="Arial Narrow" w:hAnsi="Arial Narrow" w:eastAsia="仿宋_GB2312"/>
      <w:sz w:val="24"/>
      <w:szCs w:val="28"/>
      <w:lang w:val="en-US" w:eastAsia="zh-CN" w:bidi="ar-SA"/>
    </w:rPr>
  </w:style>
  <w:style w:type="paragraph" w:customStyle="1" w:styleId="1693">
    <w:name w:val="Char Char3 Char Char Char Char3"/>
    <w:basedOn w:val="1"/>
    <w:autoRedefine/>
    <w:qFormat/>
    <w:uiPriority w:val="0"/>
    <w:pPr>
      <w:widowControl/>
      <w:snapToGrid/>
      <w:spacing w:line="240" w:lineRule="exact"/>
      <w:ind w:firstLine="0" w:firstLineChars="0"/>
    </w:pPr>
    <w:rPr>
      <w:rFonts w:ascii="Verdana" w:hAnsi="Verdana"/>
      <w:kern w:val="0"/>
      <w:sz w:val="20"/>
      <w:szCs w:val="20"/>
      <w:lang w:eastAsia="en-US"/>
    </w:rPr>
  </w:style>
  <w:style w:type="character" w:customStyle="1" w:styleId="1694">
    <w:name w:val="Char Char162"/>
    <w:uiPriority w:val="0"/>
    <w:rPr>
      <w:rFonts w:ascii="Book Antiqua" w:hAnsi="Book Antiqua" w:eastAsia="宋体"/>
      <w:i/>
      <w:sz w:val="22"/>
      <w:lang w:val="en-GB" w:eastAsia="zh-CN" w:bidi="ar-SA"/>
    </w:rPr>
  </w:style>
  <w:style w:type="character" w:customStyle="1" w:styleId="1695">
    <w:name w:val="Char Char132"/>
    <w:autoRedefine/>
    <w:qFormat/>
    <w:uiPriority w:val="0"/>
    <w:rPr>
      <w:rFonts w:ascii="宋体" w:eastAsia="宋体"/>
      <w:b/>
      <w:spacing w:val="6"/>
      <w:kern w:val="2"/>
      <w:sz w:val="24"/>
      <w:szCs w:val="26"/>
      <w:lang w:val="en-US" w:eastAsia="zh-CN" w:bidi="ar-SA"/>
    </w:rPr>
  </w:style>
  <w:style w:type="paragraph" w:customStyle="1" w:styleId="1696">
    <w:name w:val="Char Char Char Char Char Char Char Char Char Char Char Char Char Char Char Char Char Char Char2"/>
    <w:basedOn w:val="1"/>
    <w:uiPriority w:val="0"/>
    <w:pPr>
      <w:snapToGrid/>
      <w:spacing w:line="240" w:lineRule="auto"/>
      <w:ind w:firstLine="0" w:firstLineChars="0"/>
      <w:jc w:val="both"/>
    </w:pPr>
    <w:rPr>
      <w:rFonts w:eastAsia="Times New Roman"/>
      <w:kern w:val="0"/>
      <w:sz w:val="20"/>
      <w:szCs w:val="20"/>
    </w:rPr>
  </w:style>
  <w:style w:type="character" w:customStyle="1" w:styleId="1697">
    <w:name w:val="Char Char102"/>
    <w:autoRedefine/>
    <w:qFormat/>
    <w:uiPriority w:val="0"/>
    <w:rPr>
      <w:rFonts w:eastAsia="宋体"/>
      <w:sz w:val="18"/>
      <w:szCs w:val="18"/>
      <w:lang w:val="zh-CN" w:eastAsia="zh-CN" w:bidi="ar-SA"/>
    </w:rPr>
  </w:style>
  <w:style w:type="character" w:customStyle="1" w:styleId="1698">
    <w:name w:val="Char Char82"/>
    <w:qFormat/>
    <w:uiPriority w:val="0"/>
    <w:rPr>
      <w:rFonts w:ascii="宋体" w:hAnsi="宋体" w:eastAsia="宋体"/>
      <w:sz w:val="24"/>
      <w:szCs w:val="24"/>
      <w:lang w:val="zh-CN" w:eastAsia="zh-CN" w:bidi="ar-SA"/>
    </w:rPr>
  </w:style>
  <w:style w:type="paragraph" w:customStyle="1" w:styleId="1699">
    <w:name w:val="Char Char Char Char Char2 Char Char Char Char3"/>
    <w:basedOn w:val="1"/>
    <w:semiHidden/>
    <w:uiPriority w:val="0"/>
    <w:pPr>
      <w:adjustRightInd w:val="0"/>
      <w:ind w:firstLine="200"/>
      <w:jc w:val="both"/>
    </w:pPr>
    <w:rPr>
      <w:rFonts w:ascii="宋体" w:hAnsi="宋体" w:cs="宋体"/>
      <w:szCs w:val="26"/>
    </w:rPr>
  </w:style>
  <w:style w:type="character" w:customStyle="1" w:styleId="1700">
    <w:name w:val="标题12"/>
    <w:qFormat/>
    <w:uiPriority w:val="0"/>
  </w:style>
  <w:style w:type="paragraph" w:customStyle="1" w:styleId="1701">
    <w:name w:val="Char Char Char Char Char Char Char Char Char Char Char Char Char Char Char Char Char Char2"/>
    <w:basedOn w:val="1"/>
    <w:uiPriority w:val="0"/>
    <w:pPr>
      <w:snapToGrid/>
      <w:spacing w:line="240" w:lineRule="auto"/>
      <w:ind w:firstLine="0" w:firstLineChars="0"/>
      <w:jc w:val="both"/>
    </w:pPr>
    <w:rPr>
      <w:sz w:val="21"/>
    </w:rPr>
  </w:style>
  <w:style w:type="paragraph" w:customStyle="1" w:styleId="1702">
    <w:name w:val="Char Char Char Char Char Char Char Char Char Char2"/>
    <w:basedOn w:val="1"/>
    <w:next w:val="1"/>
    <w:autoRedefine/>
    <w:qFormat/>
    <w:uiPriority w:val="0"/>
    <w:pPr>
      <w:snapToGrid/>
      <w:ind w:firstLine="200"/>
      <w:jc w:val="both"/>
    </w:pPr>
    <w:rPr>
      <w:rFonts w:ascii="宋体" w:hAnsi="宋体" w:cs="宋体"/>
    </w:rPr>
  </w:style>
  <w:style w:type="paragraph" w:customStyle="1" w:styleId="1703">
    <w:name w:val="Char Char Char Char Char Char Char Char Char Char Char Char5"/>
    <w:basedOn w:val="1"/>
    <w:next w:val="1"/>
    <w:uiPriority w:val="0"/>
    <w:pPr>
      <w:snapToGrid/>
      <w:ind w:firstLine="200"/>
      <w:jc w:val="both"/>
    </w:pPr>
    <w:rPr>
      <w:rFonts w:ascii="宋体" w:hAnsi="宋体" w:cs="宋体"/>
    </w:rPr>
  </w:style>
  <w:style w:type="paragraph" w:customStyle="1" w:styleId="1704">
    <w:name w:val="Char Char Char Char Char Char Char Char Char Char Char Char1 Char2"/>
    <w:basedOn w:val="1"/>
    <w:next w:val="1"/>
    <w:uiPriority w:val="0"/>
    <w:pPr>
      <w:snapToGrid/>
      <w:ind w:firstLine="200"/>
      <w:jc w:val="both"/>
    </w:pPr>
    <w:rPr>
      <w:rFonts w:ascii="宋体" w:hAnsi="宋体" w:cs="宋体"/>
    </w:rPr>
  </w:style>
  <w:style w:type="paragraph" w:customStyle="1" w:styleId="1705">
    <w:name w:val="Char Char Char Char Char Char1 Char2"/>
    <w:basedOn w:val="1"/>
    <w:autoRedefine/>
    <w:qFormat/>
    <w:uiPriority w:val="0"/>
    <w:pPr>
      <w:snapToGrid/>
      <w:spacing w:line="240" w:lineRule="auto"/>
      <w:ind w:firstLine="0" w:firstLineChars="0"/>
      <w:jc w:val="both"/>
    </w:pPr>
    <w:rPr>
      <w:sz w:val="21"/>
    </w:rPr>
  </w:style>
  <w:style w:type="paragraph" w:customStyle="1" w:styleId="1706">
    <w:name w:val="Char Char Char Char Char Char Char Char Char Char Char Char Char Char Char Char3"/>
    <w:basedOn w:val="1"/>
    <w:qFormat/>
    <w:uiPriority w:val="0"/>
    <w:pPr>
      <w:snapToGrid/>
      <w:spacing w:line="240" w:lineRule="auto"/>
      <w:ind w:firstLine="0" w:firstLineChars="0"/>
      <w:jc w:val="both"/>
    </w:pPr>
    <w:rPr>
      <w:sz w:val="21"/>
    </w:rPr>
  </w:style>
  <w:style w:type="paragraph" w:customStyle="1" w:styleId="1707">
    <w:name w:val="Char Char Char1 Char Char Char Char Char Char Char Char Char Char Char Char Char Char Char Char Char Char Char2"/>
    <w:basedOn w:val="1"/>
    <w:qFormat/>
    <w:uiPriority w:val="0"/>
    <w:pPr>
      <w:snapToGrid/>
      <w:spacing w:line="240" w:lineRule="auto"/>
      <w:ind w:firstLine="0" w:firstLineChars="0"/>
      <w:jc w:val="both"/>
    </w:pPr>
    <w:rPr>
      <w:sz w:val="21"/>
    </w:rPr>
  </w:style>
  <w:style w:type="paragraph" w:customStyle="1" w:styleId="1708">
    <w:name w:val="Char Char Char Char Char Char Char Char Char Char Char Char Char Char Char Char Char Char Char Char Char Char Char Char Char Char Char Char Char Char Char Char Char Char Char Char Char Char Char2"/>
    <w:basedOn w:val="1"/>
    <w:autoRedefine/>
    <w:qFormat/>
    <w:uiPriority w:val="0"/>
    <w:pPr>
      <w:snapToGrid/>
      <w:spacing w:line="240" w:lineRule="auto"/>
      <w:ind w:firstLine="0" w:firstLineChars="0"/>
      <w:jc w:val="both"/>
    </w:pPr>
    <w:rPr>
      <w:sz w:val="21"/>
    </w:rPr>
  </w:style>
  <w:style w:type="paragraph" w:customStyle="1" w:styleId="1709">
    <w:name w:val="Char Char Char Char Char Char Char Char Char Char Char2"/>
    <w:basedOn w:val="1"/>
    <w:uiPriority w:val="0"/>
    <w:pPr>
      <w:adjustRightInd w:val="0"/>
      <w:snapToGrid/>
      <w:ind w:firstLine="0" w:firstLineChars="0"/>
      <w:jc w:val="both"/>
    </w:pPr>
    <w:rPr>
      <w:kern w:val="0"/>
      <w:szCs w:val="20"/>
    </w:rPr>
  </w:style>
  <w:style w:type="character" w:customStyle="1" w:styleId="1710">
    <w:name w:val="Char Char Char Char Char Char Char Char2"/>
    <w:link w:val="1679"/>
    <w:autoRedefine/>
    <w:uiPriority w:val="0"/>
    <w:rPr>
      <w:kern w:val="2"/>
      <w:sz w:val="21"/>
      <w:szCs w:val="24"/>
    </w:rPr>
  </w:style>
  <w:style w:type="paragraph" w:customStyle="1" w:styleId="1711">
    <w:name w:val="Char Char Char Char Char2 Char3"/>
    <w:basedOn w:val="1"/>
    <w:qFormat/>
    <w:uiPriority w:val="0"/>
    <w:pPr>
      <w:adjustRightInd w:val="0"/>
      <w:ind w:firstLine="200"/>
      <w:jc w:val="both"/>
    </w:pPr>
    <w:rPr>
      <w:sz w:val="21"/>
      <w:szCs w:val="20"/>
    </w:rPr>
  </w:style>
  <w:style w:type="character" w:customStyle="1" w:styleId="1712">
    <w:name w:val="Char Char172"/>
    <w:autoRedefine/>
    <w:uiPriority w:val="0"/>
    <w:rPr>
      <w:rFonts w:eastAsia="宋体"/>
      <w:color w:val="000000"/>
      <w:kern w:val="2"/>
      <w:sz w:val="18"/>
      <w:szCs w:val="18"/>
      <w:lang w:val="en-US" w:eastAsia="zh-CN" w:bidi="ar-SA"/>
    </w:rPr>
  </w:style>
  <w:style w:type="paragraph" w:customStyle="1" w:styleId="1713">
    <w:name w:val="Char Char Char3"/>
    <w:basedOn w:val="1"/>
    <w:autoRedefine/>
    <w:uiPriority w:val="0"/>
    <w:pPr>
      <w:snapToGrid/>
      <w:spacing w:line="240" w:lineRule="auto"/>
      <w:ind w:firstLine="0" w:firstLineChars="0"/>
      <w:jc w:val="both"/>
    </w:pPr>
  </w:style>
  <w:style w:type="character" w:customStyle="1" w:styleId="1714">
    <w:name w:val="Char Char222"/>
    <w:autoRedefine/>
    <w:qFormat/>
    <w:uiPriority w:val="0"/>
    <w:rPr>
      <w:sz w:val="18"/>
      <w:lang w:eastAsia="en-US" w:bidi="en-US"/>
    </w:rPr>
  </w:style>
  <w:style w:type="character" w:customStyle="1" w:styleId="1715">
    <w:name w:val="Char Char212"/>
    <w:autoRedefine/>
    <w:qFormat/>
    <w:uiPriority w:val="0"/>
    <w:rPr>
      <w:rFonts w:eastAsia="宋体"/>
      <w:sz w:val="18"/>
    </w:rPr>
  </w:style>
  <w:style w:type="character" w:customStyle="1" w:styleId="1716">
    <w:name w:val="Char Char202"/>
    <w:autoRedefine/>
    <w:qFormat/>
    <w:uiPriority w:val="0"/>
    <w:rPr>
      <w:rFonts w:eastAsia="宋体"/>
      <w:sz w:val="18"/>
    </w:rPr>
  </w:style>
  <w:style w:type="character" w:customStyle="1" w:styleId="1717">
    <w:name w:val="Char Char192"/>
    <w:qFormat/>
    <w:uiPriority w:val="0"/>
    <w:rPr>
      <w:rFonts w:ascii="Cambria" w:hAnsi="Cambria" w:eastAsia="宋体"/>
      <w:b/>
      <w:kern w:val="28"/>
      <w:sz w:val="32"/>
    </w:rPr>
  </w:style>
  <w:style w:type="character" w:customStyle="1" w:styleId="1718">
    <w:name w:val="Char Char182"/>
    <w:uiPriority w:val="0"/>
    <w:rPr>
      <w:rFonts w:eastAsia="宋体"/>
    </w:rPr>
  </w:style>
  <w:style w:type="character" w:customStyle="1" w:styleId="1719">
    <w:name w:val="Char Char251"/>
    <w:autoRedefine/>
    <w:uiPriority w:val="0"/>
    <w:rPr>
      <w:rFonts w:ascii="Times New Roman" w:hAnsi="Times New Roman" w:eastAsia="宋体" w:cs="Times New Roman"/>
      <w:szCs w:val="24"/>
    </w:rPr>
  </w:style>
  <w:style w:type="paragraph" w:customStyle="1" w:styleId="1720">
    <w:name w:val="Char Char Char1 Char1"/>
    <w:basedOn w:val="1"/>
    <w:qFormat/>
    <w:uiPriority w:val="0"/>
    <w:pPr>
      <w:snapToGrid/>
      <w:spacing w:line="240" w:lineRule="auto"/>
      <w:ind w:firstLine="0" w:firstLineChars="0"/>
      <w:jc w:val="both"/>
    </w:pPr>
    <w:rPr>
      <w:rFonts w:ascii="宋体" w:hAnsi="Tahoma" w:cs="Tahoma"/>
      <w:sz w:val="20"/>
      <w:szCs w:val="21"/>
    </w:rPr>
  </w:style>
  <w:style w:type="paragraph" w:customStyle="1" w:styleId="1721">
    <w:name w:val="Char Char Char Char Char1"/>
    <w:basedOn w:val="1"/>
    <w:autoRedefine/>
    <w:uiPriority w:val="0"/>
    <w:pPr>
      <w:snapToGrid/>
      <w:spacing w:line="240" w:lineRule="auto"/>
      <w:ind w:firstLine="0" w:firstLineChars="0"/>
      <w:jc w:val="both"/>
    </w:pPr>
    <w:rPr>
      <w:sz w:val="21"/>
    </w:rPr>
  </w:style>
  <w:style w:type="paragraph" w:customStyle="1" w:styleId="1722">
    <w:name w:val="Char Char Char Char Char Char Char Char Char Char Char Char Char1"/>
    <w:basedOn w:val="1"/>
    <w:autoRedefine/>
    <w:qFormat/>
    <w:uiPriority w:val="0"/>
    <w:pPr>
      <w:snapToGrid/>
      <w:ind w:firstLine="200"/>
      <w:jc w:val="both"/>
    </w:pPr>
    <w:rPr>
      <w:rFonts w:ascii="宋体" w:hAnsi="宋体" w:cs="宋体"/>
    </w:rPr>
  </w:style>
  <w:style w:type="paragraph" w:customStyle="1" w:styleId="1723">
    <w:name w:val="Char1 Char Char Char Char Char Char1"/>
    <w:basedOn w:val="1"/>
    <w:autoRedefine/>
    <w:qFormat/>
    <w:uiPriority w:val="0"/>
    <w:pPr>
      <w:keepNext/>
      <w:keepLines/>
      <w:snapToGrid/>
      <w:spacing w:line="240" w:lineRule="exact"/>
      <w:ind w:firstLine="0" w:firstLineChars="0"/>
    </w:pPr>
    <w:rPr>
      <w:rFonts w:ascii="宋体" w:hAnsi="宋体"/>
      <w:b/>
      <w:kern w:val="0"/>
      <w:sz w:val="44"/>
      <w:szCs w:val="44"/>
      <w:lang w:eastAsia="en-US"/>
    </w:rPr>
  </w:style>
  <w:style w:type="paragraph" w:customStyle="1" w:styleId="1724">
    <w:name w:val="标题 1红4号2"/>
    <w:basedOn w:val="3"/>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725">
    <w:name w:val="标题 2 蓝四号2"/>
    <w:basedOn w:val="4"/>
    <w:next w:val="1"/>
    <w:semiHidden/>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726">
    <w:name w:val="Char Char231"/>
    <w:uiPriority w:val="0"/>
    <w:rPr>
      <w:rFonts w:ascii="Arial Narrow" w:hAnsi="Arial Narrow" w:eastAsia="仿宋_GB2312"/>
      <w:kern w:val="2"/>
      <w:sz w:val="24"/>
      <w:szCs w:val="24"/>
      <w:lang w:val="en-US" w:eastAsia="zh-CN" w:bidi="ar-SA"/>
    </w:rPr>
  </w:style>
  <w:style w:type="character" w:customStyle="1" w:styleId="1727">
    <w:name w:val="Char Char271"/>
    <w:autoRedefine/>
    <w:uiPriority w:val="0"/>
    <w:rPr>
      <w:rFonts w:eastAsia="宋体"/>
      <w:bCs/>
      <w:color w:val="000000"/>
      <w:sz w:val="24"/>
      <w:szCs w:val="19"/>
      <w:lang w:val="en-US" w:eastAsia="zh-CN" w:bidi="ar-SA"/>
    </w:rPr>
  </w:style>
  <w:style w:type="character" w:customStyle="1" w:styleId="1728">
    <w:name w:val="Char Char321"/>
    <w:qFormat/>
    <w:uiPriority w:val="0"/>
    <w:rPr>
      <w:rFonts w:eastAsia="宋体"/>
      <w:color w:val="000000"/>
      <w:kern w:val="2"/>
      <w:sz w:val="24"/>
      <w:szCs w:val="24"/>
      <w:lang w:val="en-US" w:eastAsia="zh-CN" w:bidi="ar-SA"/>
    </w:rPr>
  </w:style>
  <w:style w:type="character" w:customStyle="1" w:styleId="1729">
    <w:name w:val="Char Char341"/>
    <w:uiPriority w:val="0"/>
    <w:rPr>
      <w:rFonts w:eastAsia="宋体"/>
      <w:kern w:val="2"/>
      <w:sz w:val="21"/>
      <w:szCs w:val="24"/>
      <w:lang w:val="en-US" w:eastAsia="zh-CN" w:bidi="ar-SA"/>
    </w:rPr>
  </w:style>
  <w:style w:type="paragraph" w:customStyle="1" w:styleId="1730">
    <w:name w:val="表格样式"/>
    <w:basedOn w:val="1"/>
    <w:link w:val="1731"/>
    <w:autoRedefine/>
    <w:qFormat/>
    <w:uiPriority w:val="0"/>
    <w:pPr>
      <w:snapToGrid/>
      <w:spacing w:line="320" w:lineRule="exact"/>
      <w:ind w:firstLine="0" w:firstLineChars="0"/>
      <w:contextualSpacing/>
      <w:jc w:val="center"/>
    </w:pPr>
    <w:rPr>
      <w:sz w:val="22"/>
      <w:szCs w:val="22"/>
    </w:rPr>
  </w:style>
  <w:style w:type="character" w:customStyle="1" w:styleId="1731">
    <w:name w:val="表格样式 Char"/>
    <w:link w:val="1730"/>
    <w:autoRedefine/>
    <w:qFormat/>
    <w:uiPriority w:val="0"/>
    <w:rPr>
      <w:kern w:val="2"/>
      <w:sz w:val="22"/>
      <w:szCs w:val="22"/>
    </w:rPr>
  </w:style>
  <w:style w:type="character" w:customStyle="1" w:styleId="1732">
    <w:name w:val="报告 Char"/>
    <w:link w:val="698"/>
    <w:autoRedefine/>
    <w:qFormat/>
    <w:locked/>
    <w:uiPriority w:val="0"/>
    <w:rPr>
      <w:color w:val="000000"/>
      <w:spacing w:val="8"/>
      <w:sz w:val="24"/>
      <w:szCs w:val="28"/>
    </w:rPr>
  </w:style>
  <w:style w:type="paragraph" w:customStyle="1" w:styleId="1733">
    <w:name w:val="1、表内字"/>
    <w:basedOn w:val="1"/>
    <w:autoRedefine/>
    <w:qFormat/>
    <w:uiPriority w:val="0"/>
    <w:pPr>
      <w:snapToGrid/>
      <w:spacing w:line="240" w:lineRule="auto"/>
      <w:ind w:firstLine="0" w:firstLineChars="0"/>
      <w:jc w:val="center"/>
    </w:pPr>
    <w:rPr>
      <w:sz w:val="21"/>
      <w:szCs w:val="21"/>
    </w:rPr>
  </w:style>
  <w:style w:type="paragraph" w:customStyle="1" w:styleId="1734">
    <w:name w:val="1、正文"/>
    <w:basedOn w:val="1"/>
    <w:qFormat/>
    <w:uiPriority w:val="99"/>
    <w:pPr>
      <w:snapToGrid/>
      <w:jc w:val="both"/>
    </w:pPr>
  </w:style>
  <w:style w:type="character" w:customStyle="1" w:styleId="1735">
    <w:name w:val="表格内 Char"/>
    <w:link w:val="674"/>
    <w:uiPriority w:val="0"/>
    <w:rPr>
      <w:rFonts w:ascii="宋体" w:hAnsi="宋体" w:eastAsia="仿宋_GB2312" w:cs="宋体"/>
      <w:sz w:val="24"/>
    </w:rPr>
  </w:style>
  <w:style w:type="character" w:customStyle="1" w:styleId="1736">
    <w:name w:val="sb1"/>
    <w:autoRedefine/>
    <w:qFormat/>
    <w:uiPriority w:val="0"/>
    <w:rPr>
      <w:sz w:val="20"/>
      <w:szCs w:val="20"/>
    </w:rPr>
  </w:style>
  <w:style w:type="character" w:customStyle="1" w:styleId="1737">
    <w:name w:val="排版正文 Char Char"/>
    <w:autoRedefine/>
    <w:qFormat/>
    <w:uiPriority w:val="0"/>
    <w:rPr>
      <w:rFonts w:eastAsia="宋体"/>
      <w:color w:val="000000"/>
      <w:kern w:val="2"/>
      <w:sz w:val="26"/>
      <w:szCs w:val="26"/>
      <w:lang w:val="en-US" w:eastAsia="zh-CN" w:bidi="ar-SA"/>
    </w:rPr>
  </w:style>
  <w:style w:type="character" w:customStyle="1" w:styleId="1738">
    <w:name w:val="样式 小四"/>
    <w:autoRedefine/>
    <w:qFormat/>
    <w:uiPriority w:val="0"/>
    <w:rPr>
      <w:sz w:val="24"/>
    </w:rPr>
  </w:style>
  <w:style w:type="paragraph" w:customStyle="1" w:styleId="1739">
    <w:name w:val="表样式1"/>
    <w:basedOn w:val="1"/>
    <w:qFormat/>
    <w:uiPriority w:val="0"/>
    <w:pPr>
      <w:ind w:left="-21" w:right="-21" w:firstLine="0" w:firstLineChars="0"/>
      <w:jc w:val="center"/>
    </w:pPr>
    <w:rPr>
      <w:bCs/>
      <w:color w:val="000000"/>
      <w:sz w:val="21"/>
      <w:szCs w:val="21"/>
    </w:rPr>
  </w:style>
  <w:style w:type="paragraph" w:customStyle="1" w:styleId="1740">
    <w:name w:val="样式 表名 + 首行缩进:  0.74 厘米"/>
    <w:basedOn w:val="1"/>
    <w:autoRedefine/>
    <w:qFormat/>
    <w:uiPriority w:val="0"/>
    <w:pPr>
      <w:overflowPunct w:val="0"/>
      <w:snapToGrid/>
      <w:ind w:firstLine="0" w:firstLineChars="0"/>
      <w:jc w:val="center"/>
      <w:textAlignment w:val="baseline"/>
    </w:pPr>
    <w:rPr>
      <w:rFonts w:ascii="Arial" w:hAnsi="Arial" w:eastAsia="黑体"/>
      <w:color w:val="000000"/>
      <w:sz w:val="21"/>
      <w:szCs w:val="20"/>
    </w:rPr>
  </w:style>
  <w:style w:type="paragraph" w:customStyle="1" w:styleId="1741">
    <w:name w:val="环正文"/>
    <w:basedOn w:val="1"/>
    <w:uiPriority w:val="0"/>
    <w:pPr>
      <w:widowControl/>
      <w:suppressAutoHyphens/>
      <w:adjustRightInd w:val="0"/>
      <w:snapToGrid/>
      <w:spacing w:line="312" w:lineRule="atLeast"/>
      <w:ind w:firstLine="549"/>
      <w:jc w:val="both"/>
      <w:textAlignment w:val="baseline"/>
    </w:pPr>
    <w:rPr>
      <w:rFonts w:ascii="宋体" w:hAnsi="宋体"/>
      <w:kern w:val="0"/>
      <w:szCs w:val="20"/>
    </w:rPr>
  </w:style>
  <w:style w:type="paragraph" w:customStyle="1" w:styleId="1742">
    <w:name w:val="册除格式 Char Char"/>
    <w:autoRedefine/>
    <w:qFormat/>
    <w:uiPriority w:val="0"/>
    <w:pPr>
      <w:spacing w:line="360" w:lineRule="auto"/>
      <w:ind w:firstLine="482"/>
    </w:pPr>
    <w:rPr>
      <w:rFonts w:ascii="黑体" w:hAnsi="Arial" w:eastAsia="宋体" w:cs="Arial"/>
      <w:snapToGrid w:val="0"/>
      <w:spacing w:val="4"/>
      <w:kern w:val="18"/>
      <w:sz w:val="24"/>
      <w:szCs w:val="28"/>
      <w:lang w:val="en-US" w:eastAsia="zh-CN" w:bidi="ar-SA"/>
    </w:rPr>
  </w:style>
  <w:style w:type="paragraph" w:customStyle="1" w:styleId="1743">
    <w:name w:val="文本框内文字"/>
    <w:basedOn w:val="1"/>
    <w:autoRedefine/>
    <w:qFormat/>
    <w:uiPriority w:val="0"/>
    <w:pPr>
      <w:snapToGrid/>
      <w:spacing w:line="240" w:lineRule="exact"/>
      <w:ind w:left="-120" w:leftChars="-50" w:right="-120" w:rightChars="-50" w:firstLine="0" w:firstLineChars="0"/>
      <w:jc w:val="center"/>
    </w:pPr>
    <w:rPr>
      <w:rFonts w:ascii="仿宋_GB2312" w:eastAsia="仿宋_GB2312"/>
    </w:rPr>
  </w:style>
  <w:style w:type="paragraph" w:customStyle="1" w:styleId="1744">
    <w:name w:val="段标"/>
    <w:basedOn w:val="1"/>
    <w:uiPriority w:val="0"/>
    <w:pPr>
      <w:adjustRightInd w:val="0"/>
      <w:snapToGrid/>
      <w:ind w:firstLine="567" w:firstLineChars="0"/>
      <w:textAlignment w:val="baseline"/>
    </w:pPr>
    <w:rPr>
      <w:kern w:val="0"/>
      <w:sz w:val="28"/>
      <w:szCs w:val="20"/>
    </w:rPr>
  </w:style>
  <w:style w:type="paragraph" w:customStyle="1" w:styleId="1745">
    <w:name w:val="环评标题三级"/>
    <w:basedOn w:val="4"/>
    <w:autoRedefine/>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1746">
    <w:name w:val="td1"/>
    <w:basedOn w:val="1"/>
    <w:autoRedefine/>
    <w:qFormat/>
    <w:uiPriority w:val="0"/>
    <w:pPr>
      <w:widowControl/>
      <w:snapToGrid/>
      <w:spacing w:beforeAutospacing="1" w:afterAutospacing="1" w:line="300" w:lineRule="atLeast"/>
      <w:ind w:firstLine="0" w:firstLineChars="0"/>
    </w:pPr>
    <w:rPr>
      <w:color w:val="000000"/>
      <w:kern w:val="0"/>
      <w:sz w:val="18"/>
      <w:szCs w:val="18"/>
    </w:rPr>
  </w:style>
  <w:style w:type="paragraph" w:customStyle="1" w:styleId="1747">
    <w:name w:val="样式1."/>
    <w:basedOn w:val="1"/>
    <w:autoRedefine/>
    <w:qFormat/>
    <w:uiPriority w:val="0"/>
    <w:pPr>
      <w:adjustRightInd w:val="0"/>
      <w:spacing w:line="460" w:lineRule="exact"/>
      <w:ind w:firstLine="0" w:firstLineChars="0"/>
      <w:jc w:val="both"/>
    </w:pPr>
    <w:rPr>
      <w:rFonts w:ascii="黑体" w:eastAsia="黑体"/>
      <w:b/>
      <w:sz w:val="30"/>
      <w:szCs w:val="20"/>
    </w:rPr>
  </w:style>
  <w:style w:type="paragraph" w:customStyle="1" w:styleId="1748">
    <w:name w:val="正1"/>
    <w:basedOn w:val="1"/>
    <w:autoRedefine/>
    <w:qFormat/>
    <w:uiPriority w:val="0"/>
    <w:pPr>
      <w:snapToGrid/>
      <w:spacing w:line="400" w:lineRule="exact"/>
      <w:ind w:right="32" w:firstLine="612" w:firstLineChars="0"/>
      <w:jc w:val="both"/>
    </w:pPr>
    <w:rPr>
      <w:rFonts w:ascii="宋体"/>
      <w:sz w:val="28"/>
      <w:szCs w:val="20"/>
    </w:rPr>
  </w:style>
  <w:style w:type="paragraph" w:customStyle="1" w:styleId="1749">
    <w:name w:val="环表头"/>
    <w:basedOn w:val="1"/>
    <w:next w:val="1"/>
    <w:autoRedefine/>
    <w:qFormat/>
    <w:uiPriority w:val="0"/>
    <w:pPr>
      <w:widowControl/>
      <w:suppressAutoHyphens/>
      <w:adjustRightInd w:val="0"/>
      <w:snapToGrid/>
      <w:spacing w:line="312" w:lineRule="atLeast"/>
      <w:ind w:right="28" w:firstLine="0" w:firstLineChars="0"/>
      <w:jc w:val="center"/>
      <w:textAlignment w:val="baseline"/>
    </w:pPr>
    <w:rPr>
      <w:rFonts w:ascii="黑体" w:hAnsi="宋体" w:eastAsia="黑体"/>
      <w:kern w:val="0"/>
      <w:szCs w:val="20"/>
    </w:rPr>
  </w:style>
  <w:style w:type="paragraph" w:customStyle="1" w:styleId="1750">
    <w:name w:val="表格后正文"/>
    <w:basedOn w:val="1"/>
    <w:autoRedefine/>
    <w:qFormat/>
    <w:uiPriority w:val="0"/>
    <w:pPr>
      <w:tabs>
        <w:tab w:val="left" w:pos="567"/>
      </w:tabs>
      <w:snapToGrid/>
      <w:ind w:firstLine="567" w:firstLineChars="0"/>
      <w:jc w:val="both"/>
    </w:pPr>
    <w:rPr>
      <w:spacing w:val="20"/>
      <w:szCs w:val="20"/>
    </w:rPr>
  </w:style>
  <w:style w:type="paragraph" w:customStyle="1" w:styleId="1751">
    <w:name w:val="样式1.1.1"/>
    <w:basedOn w:val="1"/>
    <w:uiPriority w:val="0"/>
    <w:pPr>
      <w:snapToGrid/>
      <w:ind w:firstLine="0" w:firstLineChars="0"/>
      <w:jc w:val="both"/>
    </w:pPr>
    <w:rPr>
      <w:rFonts w:hAnsi="宋体"/>
      <w:b/>
      <w:sz w:val="28"/>
      <w:szCs w:val="20"/>
    </w:rPr>
  </w:style>
  <w:style w:type="paragraph" w:customStyle="1" w:styleId="1752">
    <w:name w:val="环评标题一级"/>
    <w:basedOn w:val="3"/>
    <w:autoRedefine/>
    <w:qFormat/>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753">
    <w:name w:val="black12"/>
    <w:basedOn w:val="1"/>
    <w:autoRedefine/>
    <w:qFormat/>
    <w:uiPriority w:val="0"/>
    <w:pPr>
      <w:widowControl/>
      <w:snapToGrid/>
      <w:spacing w:beforeAutospacing="1" w:afterAutospacing="1" w:line="240" w:lineRule="atLeast"/>
      <w:ind w:firstLine="0" w:firstLineChars="0"/>
    </w:pPr>
    <w:rPr>
      <w:rFonts w:ascii="ˎ̥" w:hAnsi="ˎ̥" w:cs="宋体"/>
      <w:color w:val="333333"/>
      <w:kern w:val="0"/>
      <w:sz w:val="18"/>
      <w:szCs w:val="18"/>
    </w:rPr>
  </w:style>
  <w:style w:type="paragraph" w:customStyle="1" w:styleId="1754">
    <w:name w:val="环评标题二级"/>
    <w:basedOn w:val="3"/>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755">
    <w:name w:val="表下注释"/>
    <w:basedOn w:val="224"/>
    <w:autoRedefine/>
    <w:qFormat/>
    <w:uiPriority w:val="0"/>
    <w:pPr>
      <w:keepNext/>
      <w:keepLines/>
      <w:spacing w:beforeLines="0" w:afterLines="0" w:line="240" w:lineRule="exact"/>
      <w:ind w:firstLine="0" w:firstLineChars="0"/>
      <w:jc w:val="center"/>
    </w:pPr>
    <w:rPr>
      <w:rFonts w:ascii="Calibri"/>
      <w:bCs/>
      <w:kern w:val="44"/>
      <w:sz w:val="21"/>
      <w:szCs w:val="44"/>
    </w:rPr>
  </w:style>
  <w:style w:type="paragraph" w:customStyle="1" w:styleId="1756">
    <w:name w:val="aa"/>
    <w:basedOn w:val="1"/>
    <w:autoRedefine/>
    <w:qFormat/>
    <w:uiPriority w:val="0"/>
    <w:pPr>
      <w:adjustRightInd w:val="0"/>
      <w:snapToGrid/>
      <w:spacing w:line="315" w:lineRule="atLeast"/>
      <w:ind w:firstLine="0" w:firstLineChars="0"/>
      <w:textAlignment w:val="baseline"/>
    </w:pPr>
    <w:rPr>
      <w:rFonts w:ascii="宋体"/>
      <w:kern w:val="0"/>
      <w:sz w:val="28"/>
      <w:szCs w:val="28"/>
    </w:rPr>
  </w:style>
  <w:style w:type="paragraph" w:customStyle="1" w:styleId="1757">
    <w:name w:val="标题3.5"/>
    <w:basedOn w:val="1"/>
    <w:autoRedefine/>
    <w:qFormat/>
    <w:uiPriority w:val="0"/>
    <w:pPr>
      <w:snapToGrid/>
      <w:spacing w:line="240" w:lineRule="auto"/>
      <w:ind w:firstLine="0" w:firstLineChars="0"/>
      <w:jc w:val="both"/>
    </w:pPr>
    <w:rPr>
      <w:rFonts w:eastAsia="仿宋_GB2312"/>
    </w:rPr>
  </w:style>
  <w:style w:type="paragraph" w:customStyle="1" w:styleId="1758">
    <w:name w:val="环标3"/>
    <w:basedOn w:val="5"/>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759">
    <w:name w:val="tt"/>
    <w:basedOn w:val="1"/>
    <w:autoRedefine/>
    <w:qFormat/>
    <w:uiPriority w:val="0"/>
    <w:pPr>
      <w:snapToGrid/>
      <w:spacing w:line="460" w:lineRule="atLeast"/>
      <w:ind w:firstLine="200"/>
      <w:jc w:val="both"/>
    </w:pPr>
    <w:rPr>
      <w:rFonts w:ascii="Arial" w:hAnsi="Arial"/>
      <w:lang w:eastAsia="en-US"/>
    </w:rPr>
  </w:style>
  <w:style w:type="character" w:customStyle="1" w:styleId="1760">
    <w:name w:val="表格备注 Char"/>
    <w:link w:val="1761"/>
    <w:autoRedefine/>
    <w:qFormat/>
    <w:uiPriority w:val="0"/>
    <w:rPr>
      <w:rFonts w:eastAsia="仿宋_GB2312"/>
    </w:rPr>
  </w:style>
  <w:style w:type="paragraph" w:customStyle="1" w:styleId="1761">
    <w:name w:val="表格备注"/>
    <w:basedOn w:val="1"/>
    <w:link w:val="1760"/>
    <w:autoRedefine/>
    <w:qFormat/>
    <w:uiPriority w:val="0"/>
    <w:pPr>
      <w:adjustRightInd w:val="0"/>
      <w:spacing w:line="240" w:lineRule="auto"/>
      <w:ind w:firstLine="200"/>
      <w:jc w:val="both"/>
    </w:pPr>
    <w:rPr>
      <w:rFonts w:eastAsia="仿宋_GB2312"/>
      <w:kern w:val="0"/>
      <w:sz w:val="20"/>
      <w:szCs w:val="20"/>
    </w:rPr>
  </w:style>
  <w:style w:type="character" w:customStyle="1" w:styleId="1762">
    <w:name w:val="公式 Char"/>
    <w:link w:val="1763"/>
    <w:autoRedefine/>
    <w:qFormat/>
    <w:uiPriority w:val="0"/>
    <w:rPr>
      <w:sz w:val="28"/>
      <w:szCs w:val="28"/>
    </w:rPr>
  </w:style>
  <w:style w:type="paragraph" w:customStyle="1" w:styleId="1763">
    <w:name w:val="公式"/>
    <w:basedOn w:val="1"/>
    <w:link w:val="1762"/>
    <w:autoRedefine/>
    <w:qFormat/>
    <w:uiPriority w:val="0"/>
    <w:pPr>
      <w:snapToGrid/>
      <w:ind w:firstLine="0" w:firstLineChars="0"/>
      <w:jc w:val="center"/>
    </w:pPr>
    <w:rPr>
      <w:kern w:val="0"/>
      <w:sz w:val="28"/>
      <w:szCs w:val="28"/>
    </w:rPr>
  </w:style>
  <w:style w:type="character" w:customStyle="1" w:styleId="1764">
    <w:name w:val="公式说明 Char"/>
    <w:link w:val="1765"/>
    <w:uiPriority w:val="0"/>
    <w:rPr>
      <w:rFonts w:eastAsia="仿宋_GB2312"/>
      <w:sz w:val="32"/>
    </w:rPr>
  </w:style>
  <w:style w:type="paragraph" w:customStyle="1" w:styleId="1765">
    <w:name w:val="公式说明"/>
    <w:basedOn w:val="1"/>
    <w:link w:val="1764"/>
    <w:autoRedefine/>
    <w:qFormat/>
    <w:uiPriority w:val="0"/>
    <w:pPr>
      <w:tabs>
        <w:tab w:val="left" w:pos="1920"/>
      </w:tabs>
      <w:adjustRightInd w:val="0"/>
      <w:spacing w:line="620" w:lineRule="exact"/>
      <w:ind w:firstLine="200"/>
      <w:jc w:val="both"/>
    </w:pPr>
    <w:rPr>
      <w:rFonts w:eastAsia="仿宋_GB2312"/>
      <w:kern w:val="0"/>
      <w:sz w:val="32"/>
      <w:szCs w:val="20"/>
    </w:rPr>
  </w:style>
  <w:style w:type="paragraph" w:customStyle="1" w:styleId="1766">
    <w:name w:val="1环评正文"/>
    <w:basedOn w:val="1"/>
    <w:autoRedefine/>
    <w:qFormat/>
    <w:uiPriority w:val="0"/>
    <w:pPr>
      <w:widowControl/>
      <w:snapToGrid/>
      <w:ind w:firstLine="200"/>
      <w:jc w:val="both"/>
    </w:pPr>
    <w:rPr>
      <w:rFonts w:cs="宋体"/>
      <w:kern w:val="0"/>
      <w:szCs w:val="20"/>
    </w:rPr>
  </w:style>
  <w:style w:type="paragraph" w:customStyle="1" w:styleId="1767">
    <w:name w:val="3对 标题3"/>
    <w:basedOn w:val="1"/>
    <w:uiPriority w:val="99"/>
    <w:pPr>
      <w:snapToGrid/>
      <w:spacing w:line="384" w:lineRule="auto"/>
      <w:ind w:firstLine="200"/>
      <w:outlineLvl w:val="2"/>
    </w:pPr>
    <w:rPr>
      <w:b/>
      <w:szCs w:val="22"/>
    </w:rPr>
  </w:style>
  <w:style w:type="character" w:customStyle="1" w:styleId="1768">
    <w:name w:val="批注文字 Char1"/>
    <w:autoRedefine/>
    <w:qFormat/>
    <w:uiPriority w:val="99"/>
    <w:rPr>
      <w:rFonts w:ascii="Times New Roman" w:hAnsi="Times New Roman" w:eastAsia="宋体" w:cs="Times New Roman"/>
      <w:kern w:val="0"/>
      <w:sz w:val="24"/>
      <w:szCs w:val="24"/>
    </w:rPr>
  </w:style>
  <w:style w:type="character" w:customStyle="1" w:styleId="1769">
    <w:name w:val="标4lcc Char"/>
    <w:link w:val="1770"/>
    <w:autoRedefine/>
    <w:qFormat/>
    <w:uiPriority w:val="0"/>
    <w:rPr>
      <w:b/>
      <w:bCs/>
      <w:sz w:val="24"/>
      <w:szCs w:val="28"/>
    </w:rPr>
  </w:style>
  <w:style w:type="paragraph" w:customStyle="1" w:styleId="1770">
    <w:name w:val="标4lcc"/>
    <w:basedOn w:val="6"/>
    <w:next w:val="6"/>
    <w:link w:val="1769"/>
    <w:autoRedefine/>
    <w:qFormat/>
    <w:uiPriority w:val="0"/>
    <w:pPr>
      <w:keepNext/>
      <w:keepLines/>
      <w:numPr>
        <w:ilvl w:val="0"/>
        <w:numId w:val="0"/>
      </w:numPr>
      <w:snapToGrid/>
      <w:spacing w:before="280" w:beforeLines="10" w:after="290" w:afterLines="10" w:line="376" w:lineRule="auto"/>
      <w:ind w:left="864" w:hanging="144" w:firstLineChars="200"/>
      <w:jc w:val="both"/>
    </w:pPr>
    <w:rPr>
      <w:kern w:val="0"/>
      <w:szCs w:val="28"/>
    </w:rPr>
  </w:style>
  <w:style w:type="character" w:customStyle="1" w:styleId="1771">
    <w:name w:val="表内容 Char"/>
    <w:link w:val="1772"/>
    <w:qFormat/>
    <w:locked/>
    <w:uiPriority w:val="0"/>
    <w:rPr>
      <w:szCs w:val="21"/>
    </w:rPr>
  </w:style>
  <w:style w:type="paragraph" w:customStyle="1" w:styleId="1772">
    <w:name w:val="表内容"/>
    <w:basedOn w:val="1"/>
    <w:link w:val="1771"/>
    <w:autoRedefine/>
    <w:qFormat/>
    <w:uiPriority w:val="0"/>
    <w:pPr>
      <w:snapToGrid/>
      <w:spacing w:line="240" w:lineRule="auto"/>
      <w:ind w:firstLine="0" w:firstLineChars="0"/>
      <w:jc w:val="center"/>
    </w:pPr>
    <w:rPr>
      <w:kern w:val="0"/>
      <w:sz w:val="20"/>
      <w:szCs w:val="21"/>
    </w:rPr>
  </w:style>
  <w:style w:type="character" w:customStyle="1" w:styleId="1773">
    <w:name w:val="一级 Char"/>
    <w:link w:val="1129"/>
    <w:autoRedefine/>
    <w:qFormat/>
    <w:uiPriority w:val="0"/>
    <w:rPr>
      <w:rFonts w:ascii="楷体_GB2312" w:hAnsi="宋体" w:eastAsia="楷体_GB2312"/>
      <w:b/>
      <w:color w:val="000000"/>
      <w:kern w:val="2"/>
      <w:sz w:val="28"/>
      <w:szCs w:val="28"/>
    </w:rPr>
  </w:style>
  <w:style w:type="character" w:customStyle="1" w:styleId="1774">
    <w:name w:val="四级 Char"/>
    <w:link w:val="1775"/>
    <w:uiPriority w:val="0"/>
    <w:rPr>
      <w:rFonts w:eastAsia="黑体"/>
      <w:sz w:val="24"/>
      <w:szCs w:val="24"/>
    </w:rPr>
  </w:style>
  <w:style w:type="paragraph" w:customStyle="1" w:styleId="1775">
    <w:name w:val="四级"/>
    <w:basedOn w:val="1"/>
    <w:link w:val="1774"/>
    <w:autoRedefine/>
    <w:qFormat/>
    <w:uiPriority w:val="0"/>
    <w:pPr>
      <w:adjustRightInd w:val="0"/>
      <w:ind w:firstLine="0" w:firstLineChars="0"/>
      <w:outlineLvl w:val="3"/>
    </w:pPr>
    <w:rPr>
      <w:rFonts w:eastAsia="黑体"/>
      <w:kern w:val="0"/>
    </w:rPr>
  </w:style>
  <w:style w:type="paragraph" w:customStyle="1" w:styleId="1776">
    <w:name w:val="二级"/>
    <w:basedOn w:val="5"/>
    <w:link w:val="1778"/>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777">
    <w:name w:val="三级"/>
    <w:basedOn w:val="4"/>
    <w:link w:val="1779"/>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1778">
    <w:name w:val="二级 Char"/>
    <w:link w:val="1776"/>
    <w:autoRedefine/>
    <w:qFormat/>
    <w:uiPriority w:val="0"/>
    <w:rPr>
      <w:b/>
      <w:bCs/>
      <w:kern w:val="2"/>
      <w:sz w:val="32"/>
      <w:szCs w:val="32"/>
    </w:rPr>
  </w:style>
  <w:style w:type="character" w:customStyle="1" w:styleId="1779">
    <w:name w:val="三级 Char"/>
    <w:link w:val="1777"/>
    <w:autoRedefine/>
    <w:qFormat/>
    <w:uiPriority w:val="0"/>
    <w:rPr>
      <w:rFonts w:ascii="Cambria" w:hAnsi="Cambria"/>
      <w:b/>
      <w:bCs/>
      <w:kern w:val="2"/>
      <w:sz w:val="32"/>
      <w:szCs w:val="32"/>
    </w:rPr>
  </w:style>
  <w:style w:type="paragraph" w:customStyle="1" w:styleId="1780">
    <w:name w:val="龚艺正文加粗"/>
    <w:basedOn w:val="1"/>
    <w:link w:val="1781"/>
    <w:autoRedefine/>
    <w:qFormat/>
    <w:uiPriority w:val="0"/>
    <w:pPr>
      <w:tabs>
        <w:tab w:val="left" w:pos="8789"/>
      </w:tabs>
      <w:wordWrap w:val="0"/>
      <w:snapToGrid/>
      <w:ind w:firstLine="200"/>
      <w:jc w:val="both"/>
    </w:pPr>
    <w:rPr>
      <w:rFonts w:hAnsi="宋体" w:cs="宋体"/>
      <w:color w:val="000000"/>
    </w:rPr>
  </w:style>
  <w:style w:type="character" w:customStyle="1" w:styleId="1781">
    <w:name w:val="龚艺正文加粗 Char"/>
    <w:link w:val="1780"/>
    <w:autoRedefine/>
    <w:qFormat/>
    <w:uiPriority w:val="0"/>
    <w:rPr>
      <w:rFonts w:hAnsi="宋体" w:cs="宋体"/>
      <w:color w:val="000000"/>
      <w:kern w:val="2"/>
      <w:sz w:val="24"/>
      <w:szCs w:val="24"/>
    </w:rPr>
  </w:style>
  <w:style w:type="paragraph" w:customStyle="1" w:styleId="1782">
    <w:name w:val="正文加粗"/>
    <w:basedOn w:val="70"/>
    <w:link w:val="1783"/>
    <w:autoRedefine/>
    <w:qFormat/>
    <w:uiPriority w:val="0"/>
    <w:pPr>
      <w:spacing w:beforeLines="50" w:afterLines="0"/>
      <w:ind w:left="0" w:leftChars="0" w:firstLine="482"/>
    </w:pPr>
    <w:rPr>
      <w:rFonts w:hAnsi="宋体"/>
      <w:b/>
      <w:color w:val="000000"/>
      <w:sz w:val="24"/>
      <w:szCs w:val="20"/>
    </w:rPr>
  </w:style>
  <w:style w:type="character" w:customStyle="1" w:styleId="1783">
    <w:name w:val="正文加粗 Char"/>
    <w:link w:val="1782"/>
    <w:autoRedefine/>
    <w:qFormat/>
    <w:uiPriority w:val="0"/>
    <w:rPr>
      <w:rFonts w:hAnsi="宋体"/>
      <w:b/>
      <w:color w:val="000000"/>
      <w:kern w:val="2"/>
      <w:sz w:val="24"/>
    </w:rPr>
  </w:style>
  <w:style w:type="paragraph" w:customStyle="1" w:styleId="1784">
    <w:name w:val="龚艺表名"/>
    <w:basedOn w:val="1"/>
    <w:link w:val="1785"/>
    <w:autoRedefine/>
    <w:uiPriority w:val="0"/>
    <w:pPr>
      <w:snapToGrid/>
      <w:spacing w:beforeLines="20"/>
      <w:ind w:firstLine="200"/>
      <w:jc w:val="center"/>
    </w:pPr>
    <w:rPr>
      <w:b/>
      <w:szCs w:val="21"/>
    </w:rPr>
  </w:style>
  <w:style w:type="character" w:customStyle="1" w:styleId="1785">
    <w:name w:val="龚艺表名 Char"/>
    <w:link w:val="1784"/>
    <w:autoRedefine/>
    <w:qFormat/>
    <w:uiPriority w:val="0"/>
    <w:rPr>
      <w:b/>
      <w:kern w:val="2"/>
      <w:sz w:val="24"/>
      <w:szCs w:val="21"/>
    </w:rPr>
  </w:style>
  <w:style w:type="character" w:customStyle="1" w:styleId="1786">
    <w:name w:val="龚艺表名 Char Char"/>
    <w:autoRedefine/>
    <w:qFormat/>
    <w:uiPriority w:val="0"/>
    <w:rPr>
      <w:rFonts w:ascii="Times New Roman" w:hAnsi="Times New Roman" w:eastAsia="宋体" w:cs="Times New Roman"/>
      <w:b/>
    </w:rPr>
  </w:style>
  <w:style w:type="character" w:customStyle="1" w:styleId="1787">
    <w:name w:val="标题 2 Char1"/>
    <w:qFormat/>
    <w:uiPriority w:val="9"/>
    <w:rPr>
      <w:rFonts w:ascii="Arial" w:hAnsi="Arial" w:eastAsia="黑体" w:cs="Times New Roman"/>
      <w:b/>
      <w:kern w:val="0"/>
      <w:sz w:val="32"/>
      <w:szCs w:val="20"/>
    </w:rPr>
  </w:style>
  <w:style w:type="paragraph" w:customStyle="1" w:styleId="1788">
    <w:name w:val="标题1级"/>
    <w:basedOn w:val="1"/>
    <w:link w:val="1789"/>
    <w:autoRedefine/>
    <w:qFormat/>
    <w:uiPriority w:val="0"/>
    <w:pPr>
      <w:snapToGrid/>
      <w:spacing w:beforeLines="50" w:afterLines="50"/>
      <w:ind w:firstLine="0" w:firstLineChars="0"/>
      <w:outlineLvl w:val="0"/>
    </w:pPr>
    <w:rPr>
      <w:b/>
      <w:kern w:val="0"/>
      <w:sz w:val="32"/>
      <w:szCs w:val="20"/>
    </w:rPr>
  </w:style>
  <w:style w:type="character" w:customStyle="1" w:styleId="1789">
    <w:name w:val="标题1级 Char"/>
    <w:link w:val="1788"/>
    <w:autoRedefine/>
    <w:qFormat/>
    <w:uiPriority w:val="0"/>
    <w:rPr>
      <w:b/>
      <w:sz w:val="32"/>
    </w:rPr>
  </w:style>
  <w:style w:type="paragraph" w:customStyle="1" w:styleId="1790">
    <w:name w:val="标题2.2级"/>
    <w:basedOn w:val="1"/>
    <w:link w:val="1791"/>
    <w:autoRedefine/>
    <w:qFormat/>
    <w:uiPriority w:val="0"/>
    <w:pPr>
      <w:snapToGrid/>
      <w:spacing w:beforeLines="30" w:afterLines="30"/>
      <w:ind w:firstLine="0" w:firstLineChars="0"/>
      <w:outlineLvl w:val="1"/>
    </w:pPr>
    <w:rPr>
      <w:b/>
      <w:kern w:val="0"/>
      <w:sz w:val="28"/>
      <w:szCs w:val="20"/>
    </w:rPr>
  </w:style>
  <w:style w:type="character" w:customStyle="1" w:styleId="1791">
    <w:name w:val="标题2.2级 Char"/>
    <w:link w:val="1790"/>
    <w:autoRedefine/>
    <w:qFormat/>
    <w:uiPriority w:val="0"/>
    <w:rPr>
      <w:b/>
      <w:sz w:val="28"/>
    </w:rPr>
  </w:style>
  <w:style w:type="paragraph" w:customStyle="1" w:styleId="1792">
    <w:name w:val="标题3.3.3级"/>
    <w:basedOn w:val="1"/>
    <w:link w:val="1793"/>
    <w:autoRedefine/>
    <w:qFormat/>
    <w:uiPriority w:val="0"/>
    <w:pPr>
      <w:snapToGrid/>
      <w:spacing w:beforeLines="50" w:afterLines="50"/>
      <w:ind w:firstLine="0" w:firstLineChars="0"/>
      <w:outlineLvl w:val="2"/>
    </w:pPr>
    <w:rPr>
      <w:b/>
      <w:kern w:val="0"/>
    </w:rPr>
  </w:style>
  <w:style w:type="character" w:customStyle="1" w:styleId="1793">
    <w:name w:val="标题3.3.3级 Char"/>
    <w:link w:val="1792"/>
    <w:autoRedefine/>
    <w:qFormat/>
    <w:uiPriority w:val="0"/>
    <w:rPr>
      <w:b/>
      <w:sz w:val="24"/>
      <w:szCs w:val="24"/>
    </w:rPr>
  </w:style>
  <w:style w:type="paragraph" w:customStyle="1" w:styleId="1794">
    <w:name w:val="标题4.4.4.4级"/>
    <w:basedOn w:val="1"/>
    <w:link w:val="1795"/>
    <w:qFormat/>
    <w:uiPriority w:val="0"/>
    <w:pPr>
      <w:snapToGrid/>
      <w:ind w:firstLine="0" w:firstLineChars="0"/>
      <w:outlineLvl w:val="3"/>
    </w:pPr>
    <w:rPr>
      <w:b/>
      <w:kern w:val="0"/>
    </w:rPr>
  </w:style>
  <w:style w:type="character" w:customStyle="1" w:styleId="1795">
    <w:name w:val="标题4.4.4.4级 Char"/>
    <w:link w:val="1794"/>
    <w:autoRedefine/>
    <w:qFormat/>
    <w:uiPriority w:val="0"/>
    <w:rPr>
      <w:b/>
      <w:sz w:val="24"/>
      <w:szCs w:val="24"/>
    </w:rPr>
  </w:style>
  <w:style w:type="character" w:customStyle="1" w:styleId="1796">
    <w:name w:val="正文(首行缩进) Char1"/>
    <w:autoRedefine/>
    <w:qFormat/>
    <w:uiPriority w:val="0"/>
    <w:rPr>
      <w:rFonts w:ascii="Times New Roman" w:hAnsi="Times New Roman" w:eastAsia="宋体" w:cs="Times New Roman"/>
      <w:snapToGrid w:val="0"/>
      <w:color w:val="000000"/>
      <w:kern w:val="0"/>
      <w:sz w:val="24"/>
      <w:szCs w:val="24"/>
    </w:rPr>
  </w:style>
  <w:style w:type="paragraph" w:customStyle="1" w:styleId="1797">
    <w:name w:val="方程"/>
    <w:basedOn w:val="1"/>
    <w:autoRedefine/>
    <w:qFormat/>
    <w:uiPriority w:val="0"/>
    <w:pPr>
      <w:widowControl/>
      <w:overflowPunct w:val="0"/>
      <w:adjustRightInd w:val="0"/>
      <w:snapToGrid/>
      <w:spacing w:line="440" w:lineRule="atLeast"/>
      <w:ind w:firstLine="482"/>
      <w:jc w:val="center"/>
      <w:textAlignment w:val="bottom"/>
    </w:pPr>
    <w:rPr>
      <w:rFonts w:ascii="CG Times (W1)" w:hAnsi="CG Times (W1)"/>
      <w:kern w:val="0"/>
      <w:szCs w:val="20"/>
    </w:rPr>
  </w:style>
  <w:style w:type="paragraph" w:customStyle="1" w:styleId="1798">
    <w:name w:val="表、图名"/>
    <w:basedOn w:val="1"/>
    <w:link w:val="1799"/>
    <w:autoRedefine/>
    <w:qFormat/>
    <w:uiPriority w:val="0"/>
    <w:pPr>
      <w:snapToGrid/>
      <w:spacing w:beforeLines="50"/>
      <w:ind w:firstLine="200"/>
      <w:jc w:val="center"/>
    </w:pPr>
    <w:rPr>
      <w:b/>
      <w:kern w:val="0"/>
      <w:sz w:val="21"/>
      <w:szCs w:val="21"/>
    </w:rPr>
  </w:style>
  <w:style w:type="character" w:customStyle="1" w:styleId="1799">
    <w:name w:val="表、图名 Char"/>
    <w:link w:val="1798"/>
    <w:autoRedefine/>
    <w:qFormat/>
    <w:uiPriority w:val="0"/>
    <w:rPr>
      <w:b/>
      <w:sz w:val="21"/>
      <w:szCs w:val="21"/>
    </w:rPr>
  </w:style>
  <w:style w:type="paragraph" w:customStyle="1" w:styleId="1800">
    <w:name w:val="应填表格"/>
    <w:basedOn w:val="1"/>
    <w:autoRedefine/>
    <w:qFormat/>
    <w:uiPriority w:val="0"/>
    <w:pPr>
      <w:adjustRightInd w:val="0"/>
      <w:snapToGrid/>
      <w:ind w:firstLine="200"/>
      <w:textAlignment w:val="baseline"/>
    </w:pPr>
    <w:rPr>
      <w:kern w:val="0"/>
      <w:szCs w:val="20"/>
    </w:rPr>
  </w:style>
  <w:style w:type="paragraph" w:customStyle="1" w:styleId="1801">
    <w:name w:val="已有表格"/>
    <w:basedOn w:val="1"/>
    <w:autoRedefine/>
    <w:qFormat/>
    <w:uiPriority w:val="0"/>
    <w:pPr>
      <w:adjustRightInd w:val="0"/>
      <w:snapToGrid/>
      <w:ind w:firstLine="200"/>
      <w:jc w:val="center"/>
      <w:textAlignment w:val="baseline"/>
    </w:pPr>
    <w:rPr>
      <w:b/>
      <w:kern w:val="0"/>
      <w:szCs w:val="20"/>
    </w:rPr>
  </w:style>
  <w:style w:type="paragraph" w:customStyle="1" w:styleId="1802">
    <w:name w:val="样式 标题 3 + 四号 段前: 0 磅 段后: 0 磅 行距: 单倍行距"/>
    <w:basedOn w:val="5"/>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1803">
    <w:name w:val="样式 样式 左侧:  2 字符 段后: 0.5 行 + 首行缩进:  2 字符 段后: 0.5 行"/>
    <w:basedOn w:val="1"/>
    <w:autoRedefine/>
    <w:qFormat/>
    <w:uiPriority w:val="0"/>
    <w:pPr>
      <w:snapToGrid/>
    </w:pPr>
    <w:rPr>
      <w:rFonts w:eastAsia="仿宋_GB2312"/>
      <w:szCs w:val="20"/>
    </w:rPr>
  </w:style>
  <w:style w:type="paragraph" w:customStyle="1" w:styleId="1804">
    <w:name w:val="Char Char1 Char Char Char Char Char Char Char Char Char Char Char Char Char Char"/>
    <w:basedOn w:val="1"/>
    <w:autoRedefine/>
    <w:qFormat/>
    <w:uiPriority w:val="0"/>
    <w:pPr>
      <w:widowControl/>
      <w:snapToGrid/>
      <w:spacing w:beforeLines="100" w:line="240" w:lineRule="exact"/>
      <w:ind w:firstLine="200"/>
    </w:pPr>
    <w:rPr>
      <w:rFonts w:ascii="Verdana" w:hAnsi="Verdana"/>
      <w:kern w:val="0"/>
      <w:sz w:val="32"/>
      <w:szCs w:val="32"/>
      <w:lang w:eastAsia="en-US"/>
    </w:rPr>
  </w:style>
  <w:style w:type="paragraph" w:customStyle="1" w:styleId="1805">
    <w:name w:val="Char Char2"/>
    <w:basedOn w:val="1"/>
    <w:autoRedefine/>
    <w:qFormat/>
    <w:uiPriority w:val="0"/>
    <w:pPr>
      <w:widowControl/>
      <w:snapToGrid/>
      <w:spacing w:line="240" w:lineRule="exact"/>
      <w:ind w:firstLine="200"/>
    </w:pPr>
    <w:rPr>
      <w:rFonts w:ascii="Verdana" w:hAnsi="Verdana" w:eastAsia="仿宋_GB2312"/>
      <w:kern w:val="0"/>
      <w:szCs w:val="20"/>
      <w:lang w:eastAsia="en-US"/>
    </w:rPr>
  </w:style>
  <w:style w:type="paragraph" w:customStyle="1" w:styleId="1806">
    <w:name w:val="Char Char1"/>
    <w:basedOn w:val="1"/>
    <w:autoRedefine/>
    <w:qFormat/>
    <w:uiPriority w:val="0"/>
    <w:pPr>
      <w:snapToGrid/>
      <w:spacing w:line="300" w:lineRule="auto"/>
      <w:ind w:left="434" w:hanging="432"/>
    </w:pPr>
  </w:style>
  <w:style w:type="paragraph" w:customStyle="1" w:styleId="1807">
    <w:name w:val="textfont"/>
    <w:basedOn w:val="1"/>
    <w:autoRedefine/>
    <w:qFormat/>
    <w:uiPriority w:val="0"/>
    <w:pPr>
      <w:widowControl/>
      <w:snapToGrid/>
      <w:spacing w:beforeAutospacing="1" w:afterAutospacing="1"/>
      <w:ind w:firstLine="200"/>
    </w:pPr>
    <w:rPr>
      <w:rFonts w:ascii="宋体" w:hAnsi="宋体"/>
      <w:kern w:val="0"/>
    </w:rPr>
  </w:style>
  <w:style w:type="paragraph" w:customStyle="1" w:styleId="1808">
    <w:name w:val="8--"/>
    <w:basedOn w:val="1"/>
    <w:autoRedefine/>
    <w:qFormat/>
    <w:uiPriority w:val="0"/>
    <w:pPr>
      <w:adjustRightInd w:val="0"/>
      <w:snapToGrid/>
      <w:spacing w:line="360" w:lineRule="atLeast"/>
      <w:ind w:firstLine="200"/>
      <w:textAlignment w:val="baseline"/>
    </w:pPr>
    <w:rPr>
      <w:kern w:val="0"/>
      <w:szCs w:val="20"/>
    </w:rPr>
  </w:style>
  <w:style w:type="paragraph" w:customStyle="1" w:styleId="1809">
    <w:name w:val="图表说明"/>
    <w:basedOn w:val="1"/>
    <w:autoRedefine/>
    <w:qFormat/>
    <w:uiPriority w:val="0"/>
    <w:pPr>
      <w:adjustRightInd w:val="0"/>
      <w:ind w:firstLine="200"/>
      <w:jc w:val="center"/>
    </w:pPr>
    <w:rPr>
      <w:rFonts w:hAnsi="宋体"/>
      <w:sz w:val="21"/>
      <w:szCs w:val="21"/>
    </w:rPr>
  </w:style>
  <w:style w:type="paragraph" w:customStyle="1" w:styleId="1810">
    <w:name w:val="Char4 Char Char Char Char Char Char1"/>
    <w:basedOn w:val="1"/>
    <w:autoRedefine/>
    <w:qFormat/>
    <w:uiPriority w:val="0"/>
    <w:pPr>
      <w:snapToGrid/>
    </w:pPr>
    <w:rPr>
      <w:rFonts w:ascii="宋体" w:hAnsi="宋体" w:cs="宋体"/>
    </w:rPr>
  </w:style>
  <w:style w:type="paragraph" w:customStyle="1" w:styleId="1811">
    <w:name w:val="+正文"/>
    <w:basedOn w:val="1"/>
    <w:autoRedefine/>
    <w:qFormat/>
    <w:uiPriority w:val="0"/>
    <w:pPr>
      <w:snapToGrid/>
      <w:ind w:firstLine="0" w:firstLineChars="0"/>
    </w:pPr>
  </w:style>
  <w:style w:type="paragraph" w:customStyle="1" w:styleId="1812">
    <w:name w:val="zxz5"/>
    <w:next w:val="1"/>
    <w:autoRedefine/>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1813">
    <w:name w:val="Char1 Char Char"/>
    <w:basedOn w:val="1"/>
    <w:autoRedefine/>
    <w:qFormat/>
    <w:uiPriority w:val="0"/>
    <w:pPr>
      <w:snapToGrid/>
      <w:ind w:firstLine="200"/>
    </w:pPr>
    <w:rPr>
      <w:sz w:val="21"/>
    </w:rPr>
  </w:style>
  <w:style w:type="paragraph" w:customStyle="1" w:styleId="1814">
    <w:name w:val="小表文居中"/>
    <w:basedOn w:val="1"/>
    <w:autoRedefine/>
    <w:qFormat/>
    <w:uiPriority w:val="0"/>
    <w:pPr>
      <w:autoSpaceDE w:val="0"/>
      <w:autoSpaceDN w:val="0"/>
      <w:adjustRightInd w:val="0"/>
      <w:snapToGrid/>
      <w:ind w:firstLine="200"/>
      <w:jc w:val="center"/>
      <w:textAlignment w:val="baseline"/>
    </w:pPr>
    <w:rPr>
      <w:kern w:val="0"/>
      <w:sz w:val="18"/>
      <w:szCs w:val="20"/>
    </w:rPr>
  </w:style>
  <w:style w:type="paragraph" w:customStyle="1" w:styleId="1815">
    <w:name w:val="框图文字1"/>
    <w:basedOn w:val="1"/>
    <w:autoRedefine/>
    <w:qFormat/>
    <w:uiPriority w:val="0"/>
    <w:pPr>
      <w:adjustRightInd w:val="0"/>
      <w:ind w:firstLine="200"/>
      <w:jc w:val="center"/>
    </w:pPr>
    <w:rPr>
      <w:sz w:val="18"/>
      <w:szCs w:val="20"/>
    </w:rPr>
  </w:style>
  <w:style w:type="paragraph" w:customStyle="1" w:styleId="1816">
    <w:name w:val="正文段落"/>
    <w:basedOn w:val="1"/>
    <w:link w:val="2869"/>
    <w:autoRedefine/>
    <w:qFormat/>
    <w:uiPriority w:val="0"/>
    <w:pPr>
      <w:snapToGrid/>
      <w:spacing w:line="360" w:lineRule="exact"/>
      <w:ind w:firstLine="476"/>
    </w:pPr>
    <w:rPr>
      <w:rFonts w:ascii="宋体" w:hAnsi="宋体"/>
      <w:szCs w:val="20"/>
    </w:rPr>
  </w:style>
  <w:style w:type="paragraph" w:customStyle="1" w:styleId="1817">
    <w:name w:val="正文-第几条"/>
    <w:basedOn w:val="1"/>
    <w:autoRedefine/>
    <w:qFormat/>
    <w:uiPriority w:val="0"/>
    <w:pPr>
      <w:tabs>
        <w:tab w:val="left" w:pos="1200"/>
      </w:tabs>
      <w:snapToGrid/>
      <w:ind w:left="1200" w:leftChars="400" w:hanging="360" w:hangingChars="200"/>
    </w:pPr>
  </w:style>
  <w:style w:type="paragraph" w:customStyle="1" w:styleId="1818">
    <w:name w:val="附录二级条标题"/>
    <w:basedOn w:val="1819"/>
    <w:next w:val="1"/>
    <w:autoRedefine/>
    <w:qFormat/>
    <w:uiPriority w:val="0"/>
    <w:pPr>
      <w:tabs>
        <w:tab w:val="left" w:pos="360"/>
        <w:tab w:val="left" w:pos="828"/>
        <w:tab w:val="left" w:pos="1260"/>
        <w:tab w:val="left" w:pos="1680"/>
      </w:tabs>
      <w:ind w:left="360" w:hanging="360"/>
      <w:outlineLvl w:val="3"/>
    </w:pPr>
  </w:style>
  <w:style w:type="paragraph" w:customStyle="1" w:styleId="1819">
    <w:name w:val="附录一级条标题"/>
    <w:basedOn w:val="1820"/>
    <w:next w:val="1"/>
    <w:autoRedefine/>
    <w:qFormat/>
    <w:uiPriority w:val="0"/>
    <w:pPr>
      <w:tabs>
        <w:tab w:val="left" w:pos="828"/>
        <w:tab w:val="left" w:pos="1260"/>
      </w:tabs>
      <w:autoSpaceDN w:val="0"/>
      <w:spacing w:beforeLines="0" w:afterLines="0"/>
      <w:ind w:left="828" w:hanging="240"/>
      <w:outlineLvl w:val="2"/>
    </w:pPr>
  </w:style>
  <w:style w:type="paragraph" w:customStyle="1" w:styleId="1820">
    <w:name w:val="附录章标题"/>
    <w:next w:val="1"/>
    <w:autoRedefine/>
    <w:uiPriority w:val="0"/>
    <w:pPr>
      <w:tabs>
        <w:tab w:val="left" w:pos="840"/>
      </w:tabs>
      <w:wordWrap w:val="0"/>
      <w:overflowPunct w:val="0"/>
      <w:autoSpaceDE w:val="0"/>
      <w:spacing w:beforeLines="50" w:afterLines="50"/>
      <w:ind w:left="840" w:hanging="420"/>
      <w:textAlignment w:val="baseline"/>
      <w:outlineLvl w:val="1"/>
    </w:pPr>
    <w:rPr>
      <w:rFonts w:ascii="黑体" w:hAnsi="Times New Roman" w:eastAsia="黑体" w:cs="Times New Roman"/>
      <w:kern w:val="21"/>
      <w:sz w:val="21"/>
      <w:lang w:val="en-US" w:eastAsia="zh-CN" w:bidi="ar-SA"/>
    </w:rPr>
  </w:style>
  <w:style w:type="paragraph" w:customStyle="1" w:styleId="1821">
    <w:name w:val="附录三级条标题"/>
    <w:basedOn w:val="1818"/>
    <w:next w:val="1"/>
    <w:autoRedefine/>
    <w:qFormat/>
    <w:uiPriority w:val="0"/>
    <w:pPr>
      <w:tabs>
        <w:tab w:val="left" w:pos="1068"/>
        <w:tab w:val="left" w:pos="2100"/>
        <w:tab w:val="clear" w:pos="360"/>
        <w:tab w:val="clear" w:pos="1680"/>
      </w:tabs>
      <w:ind w:left="1068"/>
      <w:outlineLvl w:val="4"/>
    </w:pPr>
  </w:style>
  <w:style w:type="paragraph" w:customStyle="1" w:styleId="1822">
    <w:name w:val="附录四级条标题"/>
    <w:basedOn w:val="1821"/>
    <w:next w:val="1"/>
    <w:autoRedefine/>
    <w:qFormat/>
    <w:uiPriority w:val="0"/>
    <w:pPr>
      <w:tabs>
        <w:tab w:val="left" w:pos="960"/>
        <w:tab w:val="left" w:pos="2520"/>
        <w:tab w:val="clear" w:pos="1068"/>
        <w:tab w:val="clear" w:pos="2100"/>
      </w:tabs>
      <w:ind w:left="960"/>
      <w:outlineLvl w:val="5"/>
    </w:pPr>
  </w:style>
  <w:style w:type="paragraph" w:customStyle="1" w:styleId="1823">
    <w:name w:val="附录五级条标题"/>
    <w:basedOn w:val="1822"/>
    <w:next w:val="1"/>
    <w:autoRedefine/>
    <w:qFormat/>
    <w:uiPriority w:val="0"/>
    <w:pPr>
      <w:tabs>
        <w:tab w:val="left" w:pos="435"/>
        <w:tab w:val="left" w:pos="2940"/>
        <w:tab w:val="clear" w:pos="960"/>
        <w:tab w:val="clear" w:pos="2520"/>
      </w:tabs>
      <w:ind w:left="435" w:hanging="165"/>
      <w:outlineLvl w:val="6"/>
    </w:pPr>
  </w:style>
  <w:style w:type="paragraph" w:customStyle="1" w:styleId="1824">
    <w:name w:val="附录标识"/>
    <w:basedOn w:val="360"/>
    <w:autoRedefine/>
    <w:qFormat/>
    <w:uiPriority w:val="0"/>
    <w:pPr>
      <w:tabs>
        <w:tab w:val="left" w:pos="6405"/>
        <w:tab w:val="clear" w:pos="600"/>
        <w:tab w:val="clear" w:pos="903"/>
      </w:tabs>
      <w:spacing w:after="200"/>
      <w:ind w:left="0" w:firstLine="0"/>
    </w:pPr>
    <w:rPr>
      <w:sz w:val="21"/>
    </w:rPr>
  </w:style>
  <w:style w:type="paragraph" w:customStyle="1" w:styleId="1825">
    <w:name w:val="列项·"/>
    <w:autoRedefine/>
    <w:qFormat/>
    <w:uiPriority w:val="0"/>
    <w:pPr>
      <w:tabs>
        <w:tab w:val="left" w:pos="840"/>
      </w:tabs>
      <w:ind w:left="840" w:leftChars="200" w:hanging="420" w:hangingChars="200"/>
    </w:pPr>
    <w:rPr>
      <w:rFonts w:ascii="宋体" w:hAnsi="Times New Roman" w:eastAsia="宋体" w:cs="Times New Roman"/>
      <w:sz w:val="21"/>
      <w:lang w:val="en-US" w:eastAsia="zh-CN" w:bidi="ar-SA"/>
    </w:rPr>
  </w:style>
  <w:style w:type="paragraph" w:customStyle="1" w:styleId="1826">
    <w:name w:val="正文-叶"/>
    <w:basedOn w:val="1"/>
    <w:autoRedefine/>
    <w:qFormat/>
    <w:uiPriority w:val="0"/>
    <w:pPr>
      <w:topLinePunct/>
      <w:snapToGrid/>
      <w:spacing w:line="312" w:lineRule="auto"/>
      <w:ind w:firstLine="465"/>
    </w:pPr>
    <w:rPr>
      <w:szCs w:val="20"/>
    </w:rPr>
  </w:style>
  <w:style w:type="paragraph" w:customStyle="1" w:styleId="1827">
    <w:name w:val="Item1"/>
    <w:basedOn w:val="1"/>
    <w:qFormat/>
    <w:uiPriority w:val="0"/>
    <w:pPr>
      <w:snapToGrid/>
      <w:ind w:firstLine="200"/>
    </w:pPr>
    <w:rPr>
      <w:sz w:val="21"/>
    </w:rPr>
  </w:style>
  <w:style w:type="paragraph" w:customStyle="1" w:styleId="1828">
    <w:name w:val="ourfont3"/>
    <w:basedOn w:val="1"/>
    <w:autoRedefine/>
    <w:qFormat/>
    <w:uiPriority w:val="0"/>
    <w:pPr>
      <w:widowControl/>
      <w:snapToGrid/>
      <w:spacing w:beforeAutospacing="1" w:afterAutospacing="1"/>
      <w:ind w:firstLine="200"/>
    </w:pPr>
    <w:rPr>
      <w:rFonts w:ascii="宋体" w:hAnsi="宋体" w:cs="宋体"/>
      <w:kern w:val="0"/>
    </w:rPr>
  </w:style>
  <w:style w:type="paragraph" w:customStyle="1" w:styleId="1829">
    <w:name w:val="indent"/>
    <w:basedOn w:val="1"/>
    <w:autoRedefine/>
    <w:qFormat/>
    <w:uiPriority w:val="0"/>
    <w:pPr>
      <w:widowControl/>
      <w:snapToGrid/>
      <w:spacing w:beforeAutospacing="1" w:afterAutospacing="1"/>
      <w:ind w:firstLine="525"/>
    </w:pPr>
    <w:rPr>
      <w:rFonts w:ascii="宋体" w:hAnsi="宋体" w:cs="宋体"/>
      <w:kern w:val="0"/>
    </w:rPr>
  </w:style>
  <w:style w:type="paragraph" w:customStyle="1" w:styleId="1830">
    <w:name w:val="文-7"/>
    <w:basedOn w:val="1"/>
    <w:qFormat/>
    <w:uiPriority w:val="0"/>
    <w:pPr>
      <w:tabs>
        <w:tab w:val="right" w:leader="dot" w:pos="8789"/>
      </w:tabs>
      <w:snapToGrid/>
      <w:ind w:left="1701" w:firstLine="482"/>
    </w:pPr>
  </w:style>
  <w:style w:type="paragraph" w:customStyle="1" w:styleId="1831">
    <w:name w:val="MTDisplayEquation"/>
    <w:basedOn w:val="1"/>
    <w:next w:val="1"/>
    <w:autoRedefine/>
    <w:qFormat/>
    <w:uiPriority w:val="0"/>
    <w:pPr>
      <w:tabs>
        <w:tab w:val="center" w:pos="4160"/>
        <w:tab w:val="right" w:pos="8300"/>
      </w:tabs>
      <w:snapToGrid/>
      <w:spacing w:line="500" w:lineRule="exact"/>
      <w:ind w:firstLine="538" w:firstLineChars="192"/>
    </w:pPr>
    <w:rPr>
      <w:rFonts w:ascii="黑体" w:eastAsia="黑体"/>
    </w:rPr>
  </w:style>
  <w:style w:type="paragraph" w:customStyle="1" w:styleId="1832">
    <w:name w:val="样式 样式 首行缩进:  2 字符 + 首行缩进:  2 字符"/>
    <w:basedOn w:val="1"/>
    <w:autoRedefine/>
    <w:qFormat/>
    <w:uiPriority w:val="0"/>
    <w:pPr>
      <w:snapToGrid/>
    </w:pPr>
    <w:rPr>
      <w:rFonts w:cs="宋体"/>
      <w:sz w:val="21"/>
      <w:szCs w:val="20"/>
    </w:rPr>
  </w:style>
  <w:style w:type="paragraph" w:customStyle="1" w:styleId="1833">
    <w:name w:val="Char Char1 Char Char Char Char Char Char Char Char Char Char Char Char Char Char1"/>
    <w:basedOn w:val="1"/>
    <w:autoRedefine/>
    <w:qFormat/>
    <w:uiPriority w:val="0"/>
    <w:pPr>
      <w:widowControl/>
      <w:snapToGrid/>
      <w:spacing w:beforeLines="100" w:line="240" w:lineRule="exact"/>
      <w:ind w:firstLine="200"/>
    </w:pPr>
    <w:rPr>
      <w:rFonts w:ascii="Verdana" w:hAnsi="Verdana"/>
      <w:kern w:val="0"/>
      <w:sz w:val="32"/>
      <w:szCs w:val="32"/>
      <w:lang w:eastAsia="en-US"/>
    </w:rPr>
  </w:style>
  <w:style w:type="paragraph" w:customStyle="1" w:styleId="1834">
    <w:name w:val="样式 宋体 小四 首行缩进:  0.85 厘米 行距: 多倍行距 1.75 字行"/>
    <w:basedOn w:val="1"/>
    <w:autoRedefine/>
    <w:qFormat/>
    <w:uiPriority w:val="0"/>
    <w:pPr>
      <w:adjustRightInd w:val="0"/>
      <w:snapToGrid/>
      <w:ind w:firstLine="340"/>
    </w:pPr>
    <w:rPr>
      <w:rFonts w:ascii="宋体" w:hAnsi="宋体"/>
      <w:szCs w:val="20"/>
    </w:rPr>
  </w:style>
  <w:style w:type="paragraph" w:customStyle="1" w:styleId="1835">
    <w:name w:val="Char Char2 Char Char"/>
    <w:basedOn w:val="1"/>
    <w:autoRedefine/>
    <w:qFormat/>
    <w:uiPriority w:val="0"/>
    <w:pPr>
      <w:widowControl/>
      <w:snapToGrid/>
      <w:spacing w:line="240" w:lineRule="exact"/>
      <w:ind w:firstLine="200"/>
    </w:pPr>
    <w:rPr>
      <w:rFonts w:ascii="Verdana" w:hAnsi="Verdana" w:eastAsia="仿宋_GB2312"/>
      <w:kern w:val="0"/>
      <w:szCs w:val="20"/>
      <w:lang w:eastAsia="en-US"/>
    </w:rPr>
  </w:style>
  <w:style w:type="paragraph" w:customStyle="1" w:styleId="1836">
    <w:name w:val="Char Char2 Char Char Char Char"/>
    <w:basedOn w:val="1"/>
    <w:autoRedefine/>
    <w:qFormat/>
    <w:uiPriority w:val="0"/>
    <w:pPr>
      <w:widowControl/>
      <w:snapToGrid/>
      <w:spacing w:line="240" w:lineRule="exact"/>
      <w:ind w:firstLine="200"/>
    </w:pPr>
    <w:rPr>
      <w:rFonts w:ascii="Verdana" w:hAnsi="Verdana" w:eastAsia="仿宋_GB2312"/>
      <w:kern w:val="0"/>
      <w:szCs w:val="20"/>
      <w:lang w:eastAsia="en-US"/>
    </w:rPr>
  </w:style>
  <w:style w:type="character" w:customStyle="1" w:styleId="1837">
    <w:name w:val="表标题 Char"/>
    <w:link w:val="415"/>
    <w:qFormat/>
    <w:uiPriority w:val="0"/>
    <w:rPr>
      <w:rFonts w:ascii="Arial Narrow" w:hAnsi="Arial Narrow" w:eastAsia="仿宋_GB2312"/>
      <w:b/>
      <w:bCs/>
      <w:spacing w:val="-4"/>
      <w:sz w:val="24"/>
      <w:szCs w:val="24"/>
    </w:rPr>
  </w:style>
  <w:style w:type="paragraph" w:customStyle="1" w:styleId="1838">
    <w:name w:val="WPS Plain"/>
    <w:autoRedefine/>
    <w:uiPriority w:val="0"/>
    <w:rPr>
      <w:rFonts w:ascii="Times New Roman" w:hAnsi="Times New Roman" w:eastAsia="宋体" w:cs="Times New Roman"/>
      <w:lang w:val="en-US" w:eastAsia="zh-CN" w:bidi="ar-SA"/>
    </w:rPr>
  </w:style>
  <w:style w:type="paragraph" w:customStyle="1" w:styleId="1839">
    <w:name w:val="表格小四"/>
    <w:basedOn w:val="1"/>
    <w:link w:val="1840"/>
    <w:autoRedefine/>
    <w:qFormat/>
    <w:uiPriority w:val="0"/>
    <w:pPr>
      <w:snapToGrid/>
      <w:spacing w:beforeLines="30" w:afterLines="20"/>
      <w:ind w:firstLine="200"/>
      <w:jc w:val="center"/>
    </w:pPr>
    <w:rPr>
      <w:kern w:val="0"/>
      <w:szCs w:val="20"/>
    </w:rPr>
  </w:style>
  <w:style w:type="character" w:customStyle="1" w:styleId="1840">
    <w:name w:val="表格小四 Char"/>
    <w:link w:val="1839"/>
    <w:uiPriority w:val="0"/>
    <w:rPr>
      <w:sz w:val="24"/>
    </w:rPr>
  </w:style>
  <w:style w:type="paragraph" w:customStyle="1" w:styleId="1841">
    <w:name w:val="20100519正文"/>
    <w:link w:val="1842"/>
    <w:autoRedefine/>
    <w:qFormat/>
    <w:uiPriority w:val="0"/>
    <w:pPr>
      <w:spacing w:line="480" w:lineRule="exact"/>
    </w:pPr>
    <w:rPr>
      <w:rFonts w:ascii="Times New Roman" w:hAnsi="Times New Roman" w:eastAsia="宋体" w:cs="Times New Roman"/>
      <w:szCs w:val="28"/>
      <w:lang w:val="en-US" w:eastAsia="zh-CN" w:bidi="ar-SA"/>
    </w:rPr>
  </w:style>
  <w:style w:type="character" w:customStyle="1" w:styleId="1842">
    <w:name w:val="20100519正文 Char Char"/>
    <w:link w:val="1841"/>
    <w:autoRedefine/>
    <w:qFormat/>
    <w:uiPriority w:val="0"/>
    <w:rPr>
      <w:szCs w:val="28"/>
    </w:rPr>
  </w:style>
  <w:style w:type="paragraph" w:customStyle="1" w:styleId="1843">
    <w:name w:val="1正文"/>
    <w:basedOn w:val="1"/>
    <w:link w:val="1844"/>
    <w:autoRedefine/>
    <w:qFormat/>
    <w:uiPriority w:val="0"/>
    <w:pPr>
      <w:adjustRightInd w:val="0"/>
      <w:spacing w:line="480" w:lineRule="exact"/>
      <w:ind w:firstLine="520"/>
    </w:pPr>
    <w:rPr>
      <w:rFonts w:hAnsi="宋体"/>
      <w:kern w:val="0"/>
      <w:sz w:val="26"/>
      <w:szCs w:val="26"/>
    </w:rPr>
  </w:style>
  <w:style w:type="character" w:customStyle="1" w:styleId="1844">
    <w:name w:val="1正文 Char"/>
    <w:link w:val="1843"/>
    <w:autoRedefine/>
    <w:qFormat/>
    <w:uiPriority w:val="0"/>
    <w:rPr>
      <w:rFonts w:hAnsi="宋体"/>
      <w:sz w:val="26"/>
      <w:szCs w:val="26"/>
    </w:rPr>
  </w:style>
  <w:style w:type="paragraph" w:customStyle="1" w:styleId="1845">
    <w:name w:val="03表格文本"/>
    <w:basedOn w:val="1"/>
    <w:link w:val="1846"/>
    <w:autoRedefine/>
    <w:qFormat/>
    <w:uiPriority w:val="0"/>
    <w:pPr>
      <w:adjustRightInd w:val="0"/>
      <w:spacing w:line="360" w:lineRule="exact"/>
      <w:ind w:firstLine="200"/>
      <w:jc w:val="center"/>
    </w:pPr>
    <w:rPr>
      <w:kern w:val="0"/>
      <w:sz w:val="22"/>
      <w:szCs w:val="20"/>
    </w:rPr>
  </w:style>
  <w:style w:type="character" w:customStyle="1" w:styleId="1846">
    <w:name w:val="03表格文本 Char"/>
    <w:link w:val="1845"/>
    <w:autoRedefine/>
    <w:qFormat/>
    <w:uiPriority w:val="0"/>
    <w:rPr>
      <w:sz w:val="22"/>
    </w:rPr>
  </w:style>
  <w:style w:type="paragraph" w:customStyle="1" w:styleId="1847">
    <w:name w:val="02表格标题"/>
    <w:basedOn w:val="1"/>
    <w:autoRedefine/>
    <w:qFormat/>
    <w:uiPriority w:val="0"/>
    <w:pPr>
      <w:adjustRightInd w:val="0"/>
      <w:spacing w:beforeLines="50" w:line="480" w:lineRule="exact"/>
      <w:ind w:firstLine="200"/>
      <w:jc w:val="center"/>
      <w:outlineLvl w:val="4"/>
    </w:pPr>
    <w:rPr>
      <w:sz w:val="26"/>
      <w:szCs w:val="26"/>
    </w:rPr>
  </w:style>
  <w:style w:type="paragraph" w:customStyle="1" w:styleId="1848">
    <w:name w:val="04表格标注"/>
    <w:basedOn w:val="1"/>
    <w:autoRedefine/>
    <w:qFormat/>
    <w:uiPriority w:val="0"/>
    <w:rPr>
      <w:snapToGrid w:val="0"/>
      <w:kern w:val="0"/>
      <w:sz w:val="21"/>
      <w:szCs w:val="21"/>
    </w:rPr>
  </w:style>
  <w:style w:type="paragraph" w:customStyle="1" w:styleId="1849">
    <w:name w:val="05土标题"/>
    <w:basedOn w:val="1847"/>
    <w:autoRedefine/>
    <w:qFormat/>
    <w:uiPriority w:val="0"/>
    <w:pPr>
      <w:spacing w:beforeLines="0" w:afterLines="50"/>
    </w:pPr>
  </w:style>
  <w:style w:type="character" w:customStyle="1" w:styleId="1850">
    <w:name w:val="正文四号 Char1"/>
    <w:autoRedefine/>
    <w:uiPriority w:val="0"/>
    <w:rPr>
      <w:rFonts w:ascii="Times New Roman" w:hAnsi="Times New Roman" w:eastAsia="宋体" w:cs="Times New Roman"/>
      <w:sz w:val="24"/>
      <w:szCs w:val="24"/>
    </w:rPr>
  </w:style>
  <w:style w:type="paragraph" w:customStyle="1" w:styleId="1851">
    <w:name w:val="TOC 标题11"/>
    <w:basedOn w:val="3"/>
    <w:next w:val="1"/>
    <w:autoRedefine/>
    <w:qFormat/>
    <w:uiPriority w:val="39"/>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1852">
    <w:name w:val="样式 首行缩进:  2.57 字符"/>
    <w:basedOn w:val="1"/>
    <w:autoRedefine/>
    <w:qFormat/>
    <w:uiPriority w:val="0"/>
    <w:pPr>
      <w:snapToGrid/>
      <w:spacing w:line="480" w:lineRule="exact"/>
      <w:ind w:firstLine="720" w:firstLineChars="257"/>
    </w:pPr>
    <w:rPr>
      <w:rFonts w:cs="宋体"/>
      <w:szCs w:val="20"/>
    </w:rPr>
  </w:style>
  <w:style w:type="paragraph" w:customStyle="1" w:styleId="1853">
    <w:name w:val="标3lcc"/>
    <w:basedOn w:val="45"/>
    <w:link w:val="1854"/>
    <w:autoRedefine/>
    <w:qFormat/>
    <w:uiPriority w:val="0"/>
    <w:pPr>
      <w:adjustRightInd/>
      <w:spacing w:beforeLines="50" w:afterLines="50" w:line="240" w:lineRule="auto"/>
      <w:ind w:firstLine="0" w:firstLineChars="0"/>
      <w:jc w:val="both"/>
      <w:textAlignment w:val="auto"/>
      <w:outlineLvl w:val="2"/>
    </w:pPr>
    <w:rPr>
      <w:rFonts w:ascii="Times New Roman" w:hAnsi="Times New Roman"/>
      <w:b/>
      <w:color w:val="000000"/>
      <w:kern w:val="0"/>
      <w:sz w:val="21"/>
      <w:szCs w:val="24"/>
    </w:rPr>
  </w:style>
  <w:style w:type="character" w:customStyle="1" w:styleId="1854">
    <w:name w:val="标3lcc Char"/>
    <w:link w:val="1853"/>
    <w:autoRedefine/>
    <w:qFormat/>
    <w:uiPriority w:val="0"/>
    <w:rPr>
      <w:b/>
      <w:color w:val="000000"/>
      <w:sz w:val="21"/>
      <w:szCs w:val="24"/>
    </w:rPr>
  </w:style>
  <w:style w:type="paragraph" w:customStyle="1" w:styleId="1855">
    <w:name w:val="2010可研正文"/>
    <w:link w:val="1856"/>
    <w:autoRedefine/>
    <w:qFormat/>
    <w:uiPriority w:val="0"/>
    <w:pPr>
      <w:spacing w:line="480" w:lineRule="exact"/>
      <w:ind w:firstLine="200" w:firstLineChars="200"/>
      <w:jc w:val="both"/>
    </w:pPr>
    <w:rPr>
      <w:rFonts w:ascii="Times New Roman" w:hAnsi="Times New Roman" w:eastAsia="宋体" w:cs="宋体"/>
      <w:lang w:val="en-US" w:eastAsia="zh-CN" w:bidi="ar-SA"/>
    </w:rPr>
  </w:style>
  <w:style w:type="character" w:customStyle="1" w:styleId="1856">
    <w:name w:val="2010可研正文 Char1"/>
    <w:link w:val="1855"/>
    <w:autoRedefine/>
    <w:qFormat/>
    <w:uiPriority w:val="0"/>
    <w:rPr>
      <w:rFonts w:cs="宋体"/>
    </w:rPr>
  </w:style>
  <w:style w:type="paragraph" w:customStyle="1" w:styleId="1857">
    <w:name w:val="标2lcc"/>
    <w:basedOn w:val="45"/>
    <w:link w:val="1858"/>
    <w:autoRedefine/>
    <w:qFormat/>
    <w:uiPriority w:val="0"/>
    <w:pPr>
      <w:adjustRightInd/>
      <w:spacing w:beforeLines="0" w:afterLines="0"/>
      <w:ind w:firstLine="0" w:firstLineChars="0"/>
      <w:jc w:val="both"/>
      <w:textAlignment w:val="auto"/>
      <w:outlineLvl w:val="1"/>
    </w:pPr>
    <w:rPr>
      <w:rFonts w:ascii="Times New Roman" w:hAnsi="Times New Roman"/>
      <w:b/>
      <w:color w:val="000000"/>
      <w:kern w:val="0"/>
      <w:sz w:val="20"/>
    </w:rPr>
  </w:style>
  <w:style w:type="character" w:customStyle="1" w:styleId="1858">
    <w:name w:val="标2lcc Char"/>
    <w:link w:val="1857"/>
    <w:autoRedefine/>
    <w:qFormat/>
    <w:uiPriority w:val="0"/>
    <w:rPr>
      <w:b/>
      <w:color w:val="000000"/>
    </w:rPr>
  </w:style>
  <w:style w:type="paragraph" w:customStyle="1" w:styleId="1859">
    <w:name w:val="正文lcc"/>
    <w:basedOn w:val="1"/>
    <w:link w:val="1860"/>
    <w:autoRedefine/>
    <w:qFormat/>
    <w:uiPriority w:val="0"/>
    <w:pPr>
      <w:adjustRightInd w:val="0"/>
      <w:ind w:firstLine="200"/>
      <w:jc w:val="both"/>
    </w:pPr>
    <w:rPr>
      <w:rFonts w:eastAsia="Times New Roman"/>
      <w:kern w:val="0"/>
    </w:rPr>
  </w:style>
  <w:style w:type="character" w:customStyle="1" w:styleId="1860">
    <w:name w:val="正文lcc Char"/>
    <w:link w:val="1859"/>
    <w:uiPriority w:val="0"/>
    <w:rPr>
      <w:rFonts w:eastAsia="Times New Roman"/>
      <w:sz w:val="24"/>
      <w:szCs w:val="24"/>
    </w:rPr>
  </w:style>
  <w:style w:type="paragraph" w:customStyle="1" w:styleId="1861">
    <w:name w:val="表格-lcc"/>
    <w:basedOn w:val="1"/>
    <w:next w:val="1"/>
    <w:link w:val="1862"/>
    <w:autoRedefine/>
    <w:qFormat/>
    <w:uiPriority w:val="0"/>
    <w:pPr>
      <w:spacing w:line="240" w:lineRule="auto"/>
      <w:ind w:firstLine="0" w:firstLineChars="0"/>
      <w:jc w:val="center"/>
    </w:pPr>
    <w:rPr>
      <w:b/>
      <w:kern w:val="0"/>
      <w:sz w:val="21"/>
      <w:szCs w:val="21"/>
    </w:rPr>
  </w:style>
  <w:style w:type="character" w:customStyle="1" w:styleId="1862">
    <w:name w:val="表格-lcc Char"/>
    <w:link w:val="1861"/>
    <w:autoRedefine/>
    <w:qFormat/>
    <w:uiPriority w:val="0"/>
    <w:rPr>
      <w:b/>
      <w:sz w:val="21"/>
      <w:szCs w:val="21"/>
    </w:rPr>
  </w:style>
  <w:style w:type="paragraph" w:customStyle="1" w:styleId="1863">
    <w:name w:val="表文lcc"/>
    <w:basedOn w:val="1"/>
    <w:next w:val="1"/>
    <w:link w:val="1864"/>
    <w:autoRedefine/>
    <w:qFormat/>
    <w:uiPriority w:val="0"/>
    <w:pPr>
      <w:snapToGrid/>
      <w:spacing w:line="240" w:lineRule="auto"/>
      <w:ind w:firstLine="0" w:firstLineChars="0"/>
      <w:jc w:val="center"/>
    </w:pPr>
    <w:rPr>
      <w:kern w:val="0"/>
      <w:sz w:val="21"/>
      <w:szCs w:val="18"/>
    </w:rPr>
  </w:style>
  <w:style w:type="character" w:customStyle="1" w:styleId="1864">
    <w:name w:val="表文lcc Char"/>
    <w:link w:val="1863"/>
    <w:autoRedefine/>
    <w:qFormat/>
    <w:uiPriority w:val="0"/>
    <w:rPr>
      <w:sz w:val="21"/>
      <w:szCs w:val="18"/>
    </w:rPr>
  </w:style>
  <w:style w:type="character" w:customStyle="1" w:styleId="1865">
    <w:name w:val="表名 Char"/>
    <w:link w:val="1033"/>
    <w:uiPriority w:val="0"/>
    <w:rPr>
      <w:rFonts w:ascii="Calibri" w:hAnsi="Calibri"/>
      <w:bCs/>
      <w:sz w:val="24"/>
      <w:szCs w:val="22"/>
      <w:lang w:eastAsia="en-US" w:bidi="en-US"/>
    </w:rPr>
  </w:style>
  <w:style w:type="paragraph" w:customStyle="1" w:styleId="1866">
    <w:name w:val="表内居中"/>
    <w:basedOn w:val="1867"/>
    <w:link w:val="1869"/>
    <w:autoRedefine/>
    <w:qFormat/>
    <w:uiPriority w:val="0"/>
    <w:rPr>
      <w:rFonts w:ascii="Times New Roman" w:hAnsi="Times New Roman"/>
    </w:rPr>
  </w:style>
  <w:style w:type="paragraph" w:customStyle="1" w:styleId="1867">
    <w:name w:val="表内容5号"/>
    <w:basedOn w:val="1"/>
    <w:link w:val="1868"/>
    <w:autoRedefine/>
    <w:qFormat/>
    <w:uiPriority w:val="0"/>
    <w:pPr>
      <w:overflowPunct w:val="0"/>
      <w:snapToGrid/>
      <w:spacing w:line="240" w:lineRule="auto"/>
      <w:ind w:firstLine="0" w:firstLineChars="0"/>
      <w:jc w:val="center"/>
    </w:pPr>
    <w:rPr>
      <w:rFonts w:ascii="Calibri" w:hAnsi="Calibri"/>
      <w:kern w:val="0"/>
      <w:sz w:val="21"/>
      <w:szCs w:val="21"/>
    </w:rPr>
  </w:style>
  <w:style w:type="character" w:customStyle="1" w:styleId="1868">
    <w:name w:val="表内容5号 Char Char"/>
    <w:link w:val="1867"/>
    <w:qFormat/>
    <w:uiPriority w:val="0"/>
    <w:rPr>
      <w:rFonts w:ascii="Calibri" w:hAnsi="Calibri"/>
      <w:sz w:val="21"/>
      <w:szCs w:val="21"/>
    </w:rPr>
  </w:style>
  <w:style w:type="character" w:customStyle="1" w:styleId="1869">
    <w:name w:val="表内居中 Char"/>
    <w:link w:val="1866"/>
    <w:autoRedefine/>
    <w:qFormat/>
    <w:uiPriority w:val="0"/>
    <w:rPr>
      <w:sz w:val="21"/>
      <w:szCs w:val="21"/>
    </w:rPr>
  </w:style>
  <w:style w:type="paragraph" w:customStyle="1" w:styleId="1870">
    <w:name w:val="龚正文"/>
    <w:basedOn w:val="1"/>
    <w:link w:val="1871"/>
    <w:autoRedefine/>
    <w:uiPriority w:val="0"/>
    <w:pPr>
      <w:overflowPunct w:val="0"/>
      <w:snapToGrid/>
      <w:jc w:val="both"/>
    </w:pPr>
    <w:rPr>
      <w:rFonts w:ascii="Calibri" w:hAnsi="宋体"/>
      <w:kern w:val="0"/>
      <w:szCs w:val="20"/>
    </w:rPr>
  </w:style>
  <w:style w:type="character" w:customStyle="1" w:styleId="1871">
    <w:name w:val="龚正文 Char Char"/>
    <w:link w:val="1870"/>
    <w:autoRedefine/>
    <w:uiPriority w:val="0"/>
    <w:rPr>
      <w:rFonts w:ascii="Calibri" w:hAnsi="宋体"/>
      <w:sz w:val="24"/>
    </w:rPr>
  </w:style>
  <w:style w:type="character" w:customStyle="1" w:styleId="1872">
    <w:name w:val="3级标题 Char Char"/>
    <w:link w:val="1243"/>
    <w:autoRedefine/>
    <w:qFormat/>
    <w:uiPriority w:val="0"/>
    <w:rPr>
      <w:rFonts w:ascii="Arial" w:hAnsi="Arial"/>
      <w:b/>
      <w:color w:val="000000"/>
      <w:kern w:val="2"/>
      <w:sz w:val="28"/>
      <w:szCs w:val="24"/>
    </w:rPr>
  </w:style>
  <w:style w:type="character" w:customStyle="1" w:styleId="1873">
    <w:name w:val="2级标题 Char Char"/>
    <w:link w:val="1231"/>
    <w:qFormat/>
    <w:uiPriority w:val="0"/>
    <w:rPr>
      <w:rFonts w:ascii="Arial" w:hAnsi="Arial"/>
      <w:b/>
      <w:color w:val="000000"/>
      <w:kern w:val="2"/>
      <w:sz w:val="30"/>
      <w:szCs w:val="24"/>
    </w:rPr>
  </w:style>
  <w:style w:type="paragraph" w:customStyle="1" w:styleId="1874">
    <w:name w:val="表题1"/>
    <w:basedOn w:val="1"/>
    <w:link w:val="1875"/>
    <w:uiPriority w:val="0"/>
    <w:pPr>
      <w:tabs>
        <w:tab w:val="left" w:pos="2800"/>
        <w:tab w:val="left" w:pos="5700"/>
      </w:tabs>
      <w:overflowPunct w:val="0"/>
      <w:snapToGrid/>
      <w:spacing w:beforeLines="50"/>
      <w:ind w:firstLine="0" w:firstLineChars="0"/>
      <w:jc w:val="center"/>
    </w:pPr>
    <w:rPr>
      <w:rFonts w:ascii="Calibri" w:hAnsi="Calibri"/>
      <w:b/>
      <w:kern w:val="0"/>
      <w:sz w:val="21"/>
      <w:szCs w:val="21"/>
    </w:rPr>
  </w:style>
  <w:style w:type="character" w:customStyle="1" w:styleId="1875">
    <w:name w:val="表题1 Char Char"/>
    <w:link w:val="1874"/>
    <w:autoRedefine/>
    <w:qFormat/>
    <w:uiPriority w:val="0"/>
    <w:rPr>
      <w:rFonts w:ascii="Calibri" w:hAnsi="Calibri"/>
      <w:b/>
      <w:sz w:val="21"/>
      <w:szCs w:val="21"/>
    </w:rPr>
  </w:style>
  <w:style w:type="paragraph" w:customStyle="1" w:styleId="1876">
    <w:name w:val="y正文"/>
    <w:uiPriority w:val="0"/>
    <w:pPr>
      <w:spacing w:line="360" w:lineRule="auto"/>
      <w:ind w:firstLine="420" w:firstLineChars="200"/>
      <w:jc w:val="both"/>
    </w:pPr>
    <w:rPr>
      <w:rFonts w:ascii="Times New Roman" w:hAnsi="Times New Roman" w:eastAsia="宋体" w:cs="Calibri"/>
      <w:kern w:val="2"/>
      <w:sz w:val="21"/>
      <w:szCs w:val="21"/>
      <w:lang w:val="en-US" w:eastAsia="zh-CN" w:bidi="ar-SA"/>
    </w:rPr>
  </w:style>
  <w:style w:type="paragraph" w:customStyle="1" w:styleId="1877">
    <w:name w:val="样式 自动A +"/>
    <w:basedOn w:val="1"/>
    <w:link w:val="1878"/>
    <w:autoRedefine/>
    <w:qFormat/>
    <w:uiPriority w:val="0"/>
    <w:pPr>
      <w:overflowPunct w:val="0"/>
      <w:snapToGrid/>
      <w:spacing w:beforeLines="50" w:afterLines="50"/>
      <w:jc w:val="both"/>
    </w:pPr>
    <w:rPr>
      <w:rFonts w:ascii="Calibri" w:hAnsi="Calibri"/>
      <w:color w:val="000000"/>
      <w:kern w:val="0"/>
      <w:szCs w:val="20"/>
    </w:rPr>
  </w:style>
  <w:style w:type="character" w:customStyle="1" w:styleId="1878">
    <w:name w:val="样式 自动A + Char Char"/>
    <w:link w:val="1877"/>
    <w:autoRedefine/>
    <w:qFormat/>
    <w:uiPriority w:val="0"/>
    <w:rPr>
      <w:rFonts w:ascii="Calibri" w:hAnsi="Calibri"/>
      <w:color w:val="000000"/>
      <w:sz w:val="24"/>
    </w:rPr>
  </w:style>
  <w:style w:type="paragraph" w:customStyle="1" w:styleId="1879">
    <w:name w:val="龚表名。"/>
    <w:basedOn w:val="1"/>
    <w:link w:val="1880"/>
    <w:qFormat/>
    <w:uiPriority w:val="0"/>
    <w:pPr>
      <w:overflowPunct w:val="0"/>
      <w:snapToGrid/>
      <w:ind w:firstLine="200"/>
      <w:jc w:val="center"/>
    </w:pPr>
    <w:rPr>
      <w:rFonts w:ascii="Calibri" w:hAnsi="Calibri"/>
      <w:b/>
      <w:kern w:val="0"/>
      <w:sz w:val="21"/>
      <w:szCs w:val="20"/>
    </w:rPr>
  </w:style>
  <w:style w:type="character" w:customStyle="1" w:styleId="1880">
    <w:name w:val="龚表名。 Char Char"/>
    <w:link w:val="1879"/>
    <w:autoRedefine/>
    <w:qFormat/>
    <w:uiPriority w:val="0"/>
    <w:rPr>
      <w:rFonts w:ascii="Calibri" w:hAnsi="Calibri"/>
      <w:b/>
      <w:sz w:val="21"/>
    </w:rPr>
  </w:style>
  <w:style w:type="paragraph" w:customStyle="1" w:styleId="1881">
    <w:name w:val="正文（首行缩进）"/>
    <w:basedOn w:val="1"/>
    <w:link w:val="2511"/>
    <w:autoRedefine/>
    <w:qFormat/>
    <w:uiPriority w:val="0"/>
    <w:pPr>
      <w:widowControl/>
      <w:overflowPunct w:val="0"/>
      <w:snapToGrid/>
      <w:ind w:firstLine="200"/>
    </w:pPr>
    <w:rPr>
      <w:rFonts w:ascii="宋体" w:hAnsi="宋体" w:cs="Calibri"/>
      <w:snapToGrid w:val="0"/>
      <w:color w:val="000000"/>
      <w:szCs w:val="20"/>
    </w:rPr>
  </w:style>
  <w:style w:type="paragraph" w:customStyle="1" w:styleId="1882">
    <w:name w:val="样式 报告书正文 + 首行缩进:  2 字符"/>
    <w:basedOn w:val="1"/>
    <w:link w:val="1883"/>
    <w:autoRedefine/>
    <w:uiPriority w:val="0"/>
    <w:pPr>
      <w:tabs>
        <w:tab w:val="left" w:pos="6300"/>
      </w:tabs>
      <w:snapToGrid/>
      <w:ind w:firstLine="482"/>
      <w:jc w:val="both"/>
    </w:pPr>
    <w:rPr>
      <w:color w:val="000000"/>
      <w:kern w:val="0"/>
    </w:rPr>
  </w:style>
  <w:style w:type="character" w:customStyle="1" w:styleId="1883">
    <w:name w:val="样式 报告书正文 + 首行缩进:  2 字符 Char1"/>
    <w:link w:val="1882"/>
    <w:autoRedefine/>
    <w:qFormat/>
    <w:uiPriority w:val="0"/>
    <w:rPr>
      <w:color w:val="000000"/>
      <w:sz w:val="24"/>
      <w:szCs w:val="24"/>
    </w:rPr>
  </w:style>
  <w:style w:type="paragraph" w:customStyle="1" w:styleId="1884">
    <w:name w:val="龚艺正文"/>
    <w:basedOn w:val="1"/>
    <w:link w:val="1885"/>
    <w:autoRedefine/>
    <w:qFormat/>
    <w:uiPriority w:val="0"/>
    <w:pPr>
      <w:wordWrap w:val="0"/>
      <w:snapToGrid/>
    </w:pPr>
    <w:rPr>
      <w:color w:val="000000"/>
      <w:kern w:val="0"/>
      <w:szCs w:val="20"/>
    </w:rPr>
  </w:style>
  <w:style w:type="character" w:customStyle="1" w:styleId="1885">
    <w:name w:val="龚艺正文 Char"/>
    <w:link w:val="1884"/>
    <w:qFormat/>
    <w:uiPriority w:val="0"/>
    <w:rPr>
      <w:color w:val="000000"/>
      <w:sz w:val="24"/>
    </w:rPr>
  </w:style>
  <w:style w:type="paragraph" w:customStyle="1" w:styleId="1886">
    <w:name w:val="修订1"/>
    <w:autoRedefine/>
    <w:hidden/>
    <w:unhideWhenUsed/>
    <w:qFormat/>
    <w:uiPriority w:val="99"/>
    <w:rPr>
      <w:rFonts w:ascii="Times New Roman" w:hAnsi="Times New Roman" w:eastAsia="宋体" w:cs="Times New Roman"/>
      <w:kern w:val="2"/>
      <w:sz w:val="24"/>
      <w:szCs w:val="24"/>
      <w:lang w:val="en-US" w:eastAsia="zh-CN" w:bidi="ar-SA"/>
    </w:rPr>
  </w:style>
  <w:style w:type="paragraph" w:customStyle="1" w:styleId="1887">
    <w:name w:val="龚艺标题4"/>
    <w:basedOn w:val="1"/>
    <w:link w:val="1888"/>
    <w:autoRedefine/>
    <w:qFormat/>
    <w:uiPriority w:val="0"/>
    <w:pPr>
      <w:overflowPunct w:val="0"/>
      <w:snapToGrid/>
      <w:spacing w:beforeLines="50"/>
      <w:ind w:firstLine="200"/>
      <w:jc w:val="both"/>
      <w:outlineLvl w:val="3"/>
    </w:pPr>
    <w:rPr>
      <w:rFonts w:ascii="Calibri" w:hAnsi="宋体"/>
      <w:color w:val="000000"/>
      <w:kern w:val="0"/>
      <w:szCs w:val="28"/>
    </w:rPr>
  </w:style>
  <w:style w:type="character" w:customStyle="1" w:styleId="1888">
    <w:name w:val="龚艺标题4 Char Char"/>
    <w:link w:val="1887"/>
    <w:qFormat/>
    <w:uiPriority w:val="0"/>
    <w:rPr>
      <w:rFonts w:ascii="Calibri" w:hAnsi="宋体"/>
      <w:color w:val="000000"/>
      <w:sz w:val="24"/>
      <w:szCs w:val="28"/>
    </w:rPr>
  </w:style>
  <w:style w:type="character" w:customStyle="1" w:styleId="1889">
    <w:name w:val="hongse381"/>
    <w:autoRedefine/>
    <w:qFormat/>
    <w:uiPriority w:val="0"/>
    <w:rPr>
      <w:sz w:val="19"/>
      <w:szCs w:val="19"/>
    </w:rPr>
  </w:style>
  <w:style w:type="character" w:customStyle="1" w:styleId="1890">
    <w:name w:val="tt41"/>
    <w:autoRedefine/>
    <w:qFormat/>
    <w:uiPriority w:val="0"/>
  </w:style>
  <w:style w:type="character" w:customStyle="1" w:styleId="1891">
    <w:name w:val="p141"/>
    <w:qFormat/>
    <w:uiPriority w:val="0"/>
    <w:rPr>
      <w:color w:val="000000"/>
      <w:sz w:val="21"/>
      <w:szCs w:val="21"/>
      <w:u w:val="none"/>
    </w:rPr>
  </w:style>
  <w:style w:type="character" w:customStyle="1" w:styleId="1892">
    <w:name w:val="批注主题 Char1"/>
    <w:autoRedefine/>
    <w:qFormat/>
    <w:uiPriority w:val="99"/>
    <w:rPr>
      <w:b/>
      <w:bCs/>
    </w:rPr>
  </w:style>
  <w:style w:type="character" w:customStyle="1" w:styleId="1893">
    <w:name w:val="duanluo2"/>
    <w:autoRedefine/>
    <w:qFormat/>
    <w:uiPriority w:val="0"/>
    <w:rPr>
      <w:rFonts w:hint="default" w:ascii="_GB2312" w:hAnsi="_GB2312"/>
      <w:color w:val="000000"/>
      <w:spacing w:val="432"/>
      <w:sz w:val="21"/>
      <w:szCs w:val="21"/>
    </w:rPr>
  </w:style>
  <w:style w:type="character" w:customStyle="1" w:styleId="1894">
    <w:name w:val="11p1"/>
    <w:uiPriority w:val="0"/>
    <w:rPr>
      <w:sz w:val="23"/>
      <w:szCs w:val="23"/>
    </w:rPr>
  </w:style>
  <w:style w:type="character" w:customStyle="1" w:styleId="1895">
    <w:name w:val="s c c"/>
    <w:autoRedefine/>
    <w:qFormat/>
    <w:uiPriority w:val="0"/>
  </w:style>
  <w:style w:type="character" w:customStyle="1" w:styleId="1896">
    <w:name w:val="css1"/>
    <w:qFormat/>
    <w:uiPriority w:val="0"/>
    <w:rPr>
      <w:sz w:val="20"/>
      <w:szCs w:val="20"/>
      <w:u w:val="none"/>
    </w:rPr>
  </w:style>
  <w:style w:type="character" w:customStyle="1" w:styleId="1897">
    <w:name w:val="white"/>
    <w:qFormat/>
    <w:uiPriority w:val="0"/>
  </w:style>
  <w:style w:type="character" w:customStyle="1" w:styleId="1898">
    <w:name w:val="postbody1"/>
    <w:autoRedefine/>
    <w:qFormat/>
    <w:uiPriority w:val="0"/>
    <w:rPr>
      <w:sz w:val="21"/>
      <w:szCs w:val="21"/>
    </w:rPr>
  </w:style>
  <w:style w:type="character" w:customStyle="1" w:styleId="1899">
    <w:name w:val="u150"/>
    <w:autoRedefine/>
    <w:qFormat/>
    <w:uiPriority w:val="0"/>
  </w:style>
  <w:style w:type="character" w:customStyle="1" w:styleId="1900">
    <w:name w:val="titlefront1"/>
    <w:uiPriority w:val="0"/>
    <w:rPr>
      <w:sz w:val="19"/>
      <w:szCs w:val="19"/>
    </w:rPr>
  </w:style>
  <w:style w:type="character" w:customStyle="1" w:styleId="1901">
    <w:name w:val="style441"/>
    <w:autoRedefine/>
    <w:qFormat/>
    <w:uiPriority w:val="0"/>
    <w:rPr>
      <w:sz w:val="18"/>
      <w:szCs w:val="18"/>
    </w:rPr>
  </w:style>
  <w:style w:type="character" w:customStyle="1" w:styleId="1902">
    <w:name w:val="小标题样式"/>
    <w:uiPriority w:val="0"/>
    <w:rPr>
      <w:rFonts w:ascii="Times New Roman" w:hAnsi="Times New Roman" w:eastAsia="宋体"/>
      <w:kern w:val="2"/>
      <w:sz w:val="28"/>
      <w:szCs w:val="28"/>
      <w:lang w:val="en-US" w:eastAsia="zh-CN" w:bidi="ar-SA"/>
    </w:rPr>
  </w:style>
  <w:style w:type="character" w:customStyle="1" w:styleId="1903">
    <w:name w:val="t1"/>
    <w:qFormat/>
    <w:uiPriority w:val="0"/>
    <w:rPr>
      <w:rFonts w:eastAsia="宋体" w:cs="宋体"/>
      <w:kern w:val="2"/>
      <w:sz w:val="22"/>
      <w:szCs w:val="22"/>
      <w:lang w:val="en-US" w:eastAsia="zh-CN" w:bidi="ar-SA"/>
    </w:rPr>
  </w:style>
  <w:style w:type="character" w:customStyle="1" w:styleId="1904">
    <w:name w:val="明显参考11"/>
    <w:autoRedefine/>
    <w:qFormat/>
    <w:uiPriority w:val="32"/>
    <w:rPr>
      <w:b/>
      <w:bCs/>
      <w:smallCaps/>
      <w:color w:val="C0504D"/>
      <w:spacing w:val="5"/>
      <w:u w:val="single"/>
    </w:rPr>
  </w:style>
  <w:style w:type="character" w:customStyle="1" w:styleId="1905">
    <w:name w:val="样式 样式1 + 首行缩进:  2 字符 Char1"/>
    <w:uiPriority w:val="0"/>
    <w:rPr>
      <w:rFonts w:eastAsia="宋体" w:cs="宋体"/>
      <w:bCs/>
      <w:kern w:val="2"/>
      <w:sz w:val="24"/>
      <w:lang w:val="en-US" w:eastAsia="zh-CN" w:bidi="ar-SA"/>
    </w:rPr>
  </w:style>
  <w:style w:type="character" w:customStyle="1" w:styleId="1906">
    <w:name w:val="报告 Char Char"/>
    <w:qFormat/>
    <w:uiPriority w:val="0"/>
    <w:rPr>
      <w:rFonts w:ascii="TimesNewRoman" w:hAnsi="TimesNewRoman" w:eastAsia="宋体" w:cs="Times New Roman"/>
      <w:kern w:val="0"/>
      <w:sz w:val="24"/>
      <w:szCs w:val="20"/>
    </w:rPr>
  </w:style>
  <w:style w:type="character" w:customStyle="1" w:styleId="1907">
    <w:name w:val="报告表正文 Char Char"/>
    <w:autoRedefine/>
    <w:qFormat/>
    <w:uiPriority w:val="0"/>
    <w:rPr>
      <w:rFonts w:ascii="Times New Roman" w:hAnsi="Times New Roman" w:eastAsia="宋体" w:cs="Times New Roman"/>
      <w:kern w:val="0"/>
      <w:sz w:val="24"/>
      <w:szCs w:val="20"/>
    </w:rPr>
  </w:style>
  <w:style w:type="paragraph" w:customStyle="1" w:styleId="1908">
    <w:name w:val="Table Paragraph"/>
    <w:basedOn w:val="1"/>
    <w:autoRedefine/>
    <w:qFormat/>
    <w:uiPriority w:val="1"/>
    <w:pPr>
      <w:snapToGrid/>
      <w:spacing w:line="240" w:lineRule="auto"/>
      <w:ind w:firstLine="0" w:firstLineChars="0"/>
    </w:pPr>
    <w:rPr>
      <w:rFonts w:ascii="Calibri" w:hAnsi="Calibri"/>
      <w:kern w:val="0"/>
      <w:sz w:val="22"/>
      <w:szCs w:val="22"/>
      <w:lang w:eastAsia="en-US"/>
    </w:rPr>
  </w:style>
  <w:style w:type="character" w:customStyle="1" w:styleId="1909">
    <w:name w:val="title-text"/>
    <w:uiPriority w:val="0"/>
  </w:style>
  <w:style w:type="character" w:customStyle="1" w:styleId="1910">
    <w:name w:val="正文0 Char"/>
    <w:link w:val="1911"/>
    <w:autoRedefine/>
    <w:qFormat/>
    <w:uiPriority w:val="0"/>
    <w:rPr>
      <w:rFonts w:hAnsi="宋体"/>
      <w:sz w:val="24"/>
      <w:szCs w:val="24"/>
    </w:rPr>
  </w:style>
  <w:style w:type="paragraph" w:customStyle="1" w:styleId="1911">
    <w:name w:val="正文0"/>
    <w:basedOn w:val="1"/>
    <w:next w:val="1"/>
    <w:link w:val="1910"/>
    <w:uiPriority w:val="0"/>
    <w:pPr>
      <w:adjustRightInd w:val="0"/>
      <w:spacing w:line="480" w:lineRule="exact"/>
      <w:jc w:val="both"/>
    </w:pPr>
    <w:rPr>
      <w:rFonts w:hAnsi="宋体"/>
      <w:kern w:val="0"/>
    </w:rPr>
  </w:style>
  <w:style w:type="character" w:customStyle="1" w:styleId="1912">
    <w:name w:val="style391"/>
    <w:autoRedefine/>
    <w:qFormat/>
    <w:uiPriority w:val="0"/>
    <w:rPr>
      <w:b/>
      <w:bCs/>
      <w:color w:val="287D3C"/>
      <w:sz w:val="21"/>
      <w:szCs w:val="21"/>
    </w:rPr>
  </w:style>
  <w:style w:type="character" w:customStyle="1" w:styleId="1913">
    <w:name w:val="style421"/>
    <w:autoRedefine/>
    <w:qFormat/>
    <w:uiPriority w:val="0"/>
    <w:rPr>
      <w:color w:val="287D3C"/>
      <w:sz w:val="21"/>
      <w:szCs w:val="21"/>
    </w:rPr>
  </w:style>
  <w:style w:type="character" w:customStyle="1" w:styleId="1914">
    <w:name w:val="标题3l Char"/>
    <w:link w:val="1915"/>
    <w:autoRedefine/>
    <w:qFormat/>
    <w:uiPriority w:val="0"/>
    <w:rPr>
      <w:b/>
      <w:color w:val="000000"/>
      <w:sz w:val="24"/>
    </w:rPr>
  </w:style>
  <w:style w:type="paragraph" w:customStyle="1" w:styleId="1915">
    <w:name w:val="标题3l"/>
    <w:basedOn w:val="1"/>
    <w:link w:val="1914"/>
    <w:uiPriority w:val="0"/>
    <w:pPr>
      <w:adjustRightInd w:val="0"/>
      <w:ind w:firstLine="0" w:firstLineChars="0"/>
      <w:jc w:val="both"/>
      <w:outlineLvl w:val="2"/>
    </w:pPr>
    <w:rPr>
      <w:b/>
      <w:color w:val="000000"/>
      <w:kern w:val="0"/>
      <w:szCs w:val="20"/>
    </w:rPr>
  </w:style>
  <w:style w:type="character" w:customStyle="1" w:styleId="1916">
    <w:name w:val="p31"/>
    <w:autoRedefine/>
    <w:qFormat/>
    <w:uiPriority w:val="0"/>
    <w:rPr>
      <w:rFonts w:hint="default"/>
      <w:spacing w:val="360"/>
      <w:sz w:val="18"/>
      <w:szCs w:val="18"/>
    </w:rPr>
  </w:style>
  <w:style w:type="character" w:customStyle="1" w:styleId="1917">
    <w:name w:val="【表中文字】 Char"/>
    <w:link w:val="1918"/>
    <w:uiPriority w:val="0"/>
    <w:rPr>
      <w:rFonts w:ascii="Calibri" w:hAnsi="Calibri"/>
      <w:sz w:val="24"/>
    </w:rPr>
  </w:style>
  <w:style w:type="paragraph" w:customStyle="1" w:styleId="1918">
    <w:name w:val="【表中文字】"/>
    <w:basedOn w:val="1"/>
    <w:link w:val="1917"/>
    <w:autoRedefine/>
    <w:qFormat/>
    <w:uiPriority w:val="0"/>
    <w:pPr>
      <w:snapToGrid/>
      <w:ind w:firstLine="200"/>
      <w:jc w:val="center"/>
    </w:pPr>
    <w:rPr>
      <w:rFonts w:ascii="Calibri" w:hAnsi="Calibri"/>
      <w:kern w:val="0"/>
      <w:szCs w:val="20"/>
    </w:rPr>
  </w:style>
  <w:style w:type="character" w:customStyle="1" w:styleId="1919">
    <w:name w:val="15"/>
    <w:autoRedefine/>
    <w:qFormat/>
    <w:uiPriority w:val="0"/>
    <w:rPr>
      <w:rFonts w:hint="default" w:ascii="Times New Roman" w:hAnsi="Times New Roman" w:cs="Times New Roman"/>
      <w:sz w:val="18"/>
      <w:szCs w:val="18"/>
    </w:rPr>
  </w:style>
  <w:style w:type="character" w:customStyle="1" w:styleId="1920">
    <w:name w:val="标题1l Char"/>
    <w:link w:val="1921"/>
    <w:autoRedefine/>
    <w:uiPriority w:val="0"/>
    <w:rPr>
      <w:b/>
      <w:color w:val="000000"/>
      <w:sz w:val="30"/>
      <w:szCs w:val="30"/>
    </w:rPr>
  </w:style>
  <w:style w:type="paragraph" w:customStyle="1" w:styleId="1921">
    <w:name w:val="标题1l"/>
    <w:basedOn w:val="1"/>
    <w:link w:val="1920"/>
    <w:autoRedefine/>
    <w:qFormat/>
    <w:uiPriority w:val="0"/>
    <w:pPr>
      <w:snapToGrid/>
      <w:ind w:firstLine="0" w:firstLineChars="0"/>
      <w:outlineLvl w:val="0"/>
    </w:pPr>
    <w:rPr>
      <w:b/>
      <w:color w:val="000000"/>
      <w:kern w:val="0"/>
      <w:sz w:val="30"/>
      <w:szCs w:val="30"/>
    </w:rPr>
  </w:style>
  <w:style w:type="character" w:customStyle="1" w:styleId="1922">
    <w:name w:val="样式44 Char"/>
    <w:link w:val="1923"/>
    <w:autoRedefine/>
    <w:qFormat/>
    <w:uiPriority w:val="0"/>
    <w:rPr>
      <w:color w:val="000000"/>
      <w:sz w:val="24"/>
    </w:rPr>
  </w:style>
  <w:style w:type="paragraph" w:customStyle="1" w:styleId="1923">
    <w:name w:val="样式44"/>
    <w:basedOn w:val="1"/>
    <w:link w:val="1922"/>
    <w:autoRedefine/>
    <w:uiPriority w:val="0"/>
    <w:pPr>
      <w:snapToGrid/>
      <w:jc w:val="both"/>
    </w:pPr>
    <w:rPr>
      <w:color w:val="000000"/>
      <w:kern w:val="0"/>
      <w:szCs w:val="20"/>
    </w:rPr>
  </w:style>
  <w:style w:type="character" w:customStyle="1" w:styleId="1924">
    <w:name w:val="标题1lcc Char"/>
    <w:link w:val="1925"/>
    <w:autoRedefine/>
    <w:qFormat/>
    <w:uiPriority w:val="0"/>
    <w:rPr>
      <w:b/>
      <w:bCs/>
      <w:kern w:val="44"/>
      <w:sz w:val="32"/>
      <w:szCs w:val="24"/>
    </w:rPr>
  </w:style>
  <w:style w:type="paragraph" w:customStyle="1" w:styleId="1925">
    <w:name w:val="标题1lcc"/>
    <w:basedOn w:val="3"/>
    <w:link w:val="1924"/>
    <w:autoRedefine/>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32"/>
      <w:szCs w:val="24"/>
    </w:rPr>
  </w:style>
  <w:style w:type="paragraph" w:customStyle="1" w:styleId="1926">
    <w:name w:val="style44"/>
    <w:basedOn w:val="1"/>
    <w:autoRedefine/>
    <w:qFormat/>
    <w:uiPriority w:val="0"/>
    <w:pPr>
      <w:widowControl/>
      <w:snapToGrid/>
      <w:spacing w:beforeAutospacing="1" w:afterAutospacing="1" w:line="240" w:lineRule="auto"/>
      <w:ind w:firstLine="0" w:firstLineChars="0"/>
    </w:pPr>
    <w:rPr>
      <w:rFonts w:ascii="宋体" w:hAnsi="宋体" w:cs="宋体"/>
      <w:kern w:val="0"/>
      <w:sz w:val="18"/>
      <w:szCs w:val="18"/>
    </w:rPr>
  </w:style>
  <w:style w:type="paragraph" w:customStyle="1" w:styleId="1927">
    <w:name w:val="Char23"/>
    <w:basedOn w:val="1"/>
    <w:autoRedefine/>
    <w:qFormat/>
    <w:uiPriority w:val="0"/>
    <w:pPr>
      <w:snapToGrid/>
      <w:spacing w:line="240" w:lineRule="auto"/>
      <w:ind w:firstLine="0" w:firstLineChars="0"/>
      <w:jc w:val="both"/>
    </w:pPr>
    <w:rPr>
      <w:sz w:val="21"/>
      <w:szCs w:val="20"/>
    </w:rPr>
  </w:style>
  <w:style w:type="paragraph" w:customStyle="1" w:styleId="1928">
    <w:name w:val="1 Char Char Char Char Char Char Char Char Char Char Char Char Char"/>
    <w:basedOn w:val="1"/>
    <w:autoRedefine/>
    <w:semiHidden/>
    <w:uiPriority w:val="0"/>
    <w:pPr>
      <w:snapToGrid/>
      <w:spacing w:line="240" w:lineRule="auto"/>
      <w:ind w:firstLine="0" w:firstLineChars="0"/>
      <w:jc w:val="both"/>
    </w:pPr>
    <w:rPr>
      <w:sz w:val="21"/>
    </w:rPr>
  </w:style>
  <w:style w:type="paragraph" w:customStyle="1" w:styleId="1929">
    <w:name w:val="p16"/>
    <w:basedOn w:val="1"/>
    <w:autoRedefine/>
    <w:qFormat/>
    <w:uiPriority w:val="0"/>
    <w:pPr>
      <w:widowControl/>
      <w:snapToGrid/>
      <w:spacing w:line="240" w:lineRule="auto"/>
      <w:ind w:firstLine="0" w:firstLineChars="0"/>
      <w:jc w:val="both"/>
    </w:pPr>
    <w:rPr>
      <w:kern w:val="0"/>
      <w:sz w:val="21"/>
      <w:szCs w:val="21"/>
    </w:rPr>
  </w:style>
  <w:style w:type="paragraph" w:customStyle="1" w:styleId="1930">
    <w:name w:val="正文样式1"/>
    <w:basedOn w:val="1"/>
    <w:autoRedefine/>
    <w:qFormat/>
    <w:uiPriority w:val="0"/>
    <w:pPr>
      <w:adjustRightInd w:val="0"/>
      <w:snapToGrid/>
      <w:spacing w:beforeLines="10" w:afterLines="10" w:line="264" w:lineRule="auto"/>
      <w:ind w:firstLine="454" w:firstLineChars="0"/>
      <w:jc w:val="both"/>
      <w:textAlignment w:val="baseline"/>
    </w:pPr>
    <w:rPr>
      <w:snapToGrid w:val="0"/>
      <w:kern w:val="0"/>
      <w:position w:val="-12"/>
      <w:szCs w:val="20"/>
    </w:rPr>
  </w:style>
  <w:style w:type="table" w:customStyle="1" w:styleId="1931">
    <w:name w:val="AAA"/>
    <w:basedOn w:val="89"/>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32">
    <w:name w:val="三级标题0"/>
    <w:basedOn w:val="5"/>
    <w:next w:val="1"/>
    <w:link w:val="1933"/>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1933">
    <w:name w:val="三级标题0 Char"/>
    <w:link w:val="1932"/>
    <w:autoRedefine/>
    <w:uiPriority w:val="0"/>
    <w:rPr>
      <w:b/>
      <w:bCs/>
      <w:kern w:val="2"/>
      <w:sz w:val="32"/>
      <w:szCs w:val="32"/>
    </w:rPr>
  </w:style>
  <w:style w:type="paragraph" w:customStyle="1" w:styleId="1934">
    <w:name w:val="11表名"/>
    <w:basedOn w:val="77"/>
    <w:uiPriority w:val="0"/>
    <w:pPr>
      <w:adjustRightInd w:val="0"/>
      <w:ind w:left="0" w:leftChars="0" w:firstLine="0" w:firstLineChars="0"/>
      <w:jc w:val="center"/>
      <w:textAlignment w:val="baseline"/>
    </w:pPr>
    <w:rPr>
      <w:b/>
      <w:kern w:val="0"/>
    </w:rPr>
  </w:style>
  <w:style w:type="paragraph" w:customStyle="1" w:styleId="1935">
    <w:name w:val="11表内字"/>
    <w:basedOn w:val="1"/>
    <w:autoRedefine/>
    <w:qFormat/>
    <w:uiPriority w:val="0"/>
    <w:pPr>
      <w:autoSpaceDE w:val="0"/>
      <w:autoSpaceDN w:val="0"/>
      <w:snapToGrid/>
      <w:spacing w:line="240" w:lineRule="auto"/>
      <w:ind w:firstLine="0" w:firstLineChars="0"/>
      <w:jc w:val="center"/>
    </w:pPr>
    <w:rPr>
      <w:sz w:val="21"/>
      <w:szCs w:val="20"/>
    </w:rPr>
  </w:style>
  <w:style w:type="paragraph" w:customStyle="1" w:styleId="1936">
    <w:name w:val="表名、图名"/>
    <w:basedOn w:val="1"/>
    <w:uiPriority w:val="0"/>
    <w:pPr>
      <w:snapToGrid/>
      <w:spacing w:line="240" w:lineRule="auto"/>
      <w:ind w:firstLine="0" w:firstLineChars="0"/>
      <w:jc w:val="center"/>
    </w:pPr>
    <w:rPr>
      <w:b/>
      <w:bCs/>
      <w:sz w:val="21"/>
      <w:szCs w:val="18"/>
    </w:rPr>
  </w:style>
  <w:style w:type="paragraph" w:customStyle="1" w:styleId="1937">
    <w:name w:val="龚4级标题"/>
    <w:basedOn w:val="1"/>
    <w:link w:val="1940"/>
    <w:autoRedefine/>
    <w:qFormat/>
    <w:uiPriority w:val="0"/>
    <w:pPr>
      <w:snapToGrid/>
      <w:spacing w:beforeLines="50"/>
      <w:ind w:firstLine="0" w:firstLineChars="0"/>
      <w:jc w:val="both"/>
      <w:outlineLvl w:val="3"/>
    </w:pPr>
    <w:rPr>
      <w:b/>
      <w:kern w:val="0"/>
    </w:rPr>
  </w:style>
  <w:style w:type="paragraph" w:customStyle="1" w:styleId="1938">
    <w:name w:val="正文l"/>
    <w:basedOn w:val="1"/>
    <w:link w:val="1941"/>
    <w:autoRedefine/>
    <w:qFormat/>
    <w:uiPriority w:val="0"/>
    <w:pPr>
      <w:autoSpaceDE w:val="0"/>
      <w:autoSpaceDN w:val="0"/>
      <w:adjustRightInd w:val="0"/>
      <w:snapToGrid/>
      <w:ind w:firstLine="200"/>
      <w:jc w:val="both"/>
    </w:pPr>
    <w:rPr>
      <w:rFonts w:eastAsia="Times New Roman"/>
      <w:kern w:val="0"/>
    </w:rPr>
  </w:style>
  <w:style w:type="paragraph" w:customStyle="1" w:styleId="1939">
    <w:name w:val="小四+首行缩进"/>
    <w:basedOn w:val="1"/>
    <w:link w:val="1942"/>
    <w:uiPriority w:val="0"/>
    <w:pPr>
      <w:snapToGrid/>
      <w:ind w:firstLine="482" w:firstLineChars="0"/>
      <w:jc w:val="both"/>
    </w:pPr>
    <w:rPr>
      <w:rFonts w:ascii="宋体" w:hAnsi="宋体"/>
      <w:kern w:val="0"/>
      <w:szCs w:val="20"/>
    </w:rPr>
  </w:style>
  <w:style w:type="character" w:customStyle="1" w:styleId="1940">
    <w:name w:val="龚4级标题 Char"/>
    <w:link w:val="1937"/>
    <w:autoRedefine/>
    <w:qFormat/>
    <w:locked/>
    <w:uiPriority w:val="0"/>
    <w:rPr>
      <w:b/>
      <w:sz w:val="24"/>
      <w:szCs w:val="24"/>
    </w:rPr>
  </w:style>
  <w:style w:type="character" w:customStyle="1" w:styleId="1941">
    <w:name w:val="正文l Char"/>
    <w:link w:val="1938"/>
    <w:autoRedefine/>
    <w:qFormat/>
    <w:uiPriority w:val="0"/>
    <w:rPr>
      <w:rFonts w:eastAsia="Times New Roman"/>
      <w:sz w:val="24"/>
      <w:szCs w:val="24"/>
    </w:rPr>
  </w:style>
  <w:style w:type="character" w:customStyle="1" w:styleId="1942">
    <w:name w:val="小四+首行缩进 Char2"/>
    <w:link w:val="1939"/>
    <w:uiPriority w:val="0"/>
    <w:rPr>
      <w:rFonts w:ascii="宋体" w:hAnsi="宋体"/>
      <w:sz w:val="24"/>
    </w:rPr>
  </w:style>
  <w:style w:type="character" w:customStyle="1" w:styleId="1943">
    <w:name w:val="报告表格 Char Char"/>
    <w:link w:val="1255"/>
    <w:autoRedefine/>
    <w:uiPriority w:val="0"/>
    <w:rPr>
      <w:sz w:val="21"/>
    </w:rPr>
  </w:style>
  <w:style w:type="character" w:customStyle="1" w:styleId="1944">
    <w:name w:val="MTEquationSection"/>
    <w:autoRedefine/>
    <w:qFormat/>
    <w:uiPriority w:val="0"/>
    <w:rPr>
      <w:rFonts w:ascii="Tahoma" w:hAnsi="Tahoma" w:eastAsia="微软雅黑"/>
      <w:b/>
      <w:vanish/>
      <w:color w:val="FF0000"/>
      <w:kern w:val="0"/>
      <w:sz w:val="22"/>
      <w:szCs w:val="24"/>
    </w:rPr>
  </w:style>
  <w:style w:type="paragraph" w:customStyle="1" w:styleId="1945">
    <w:name w:val="xl93"/>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46">
    <w:name w:val="xl94"/>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color w:val="FF0000"/>
      <w:kern w:val="0"/>
      <w:sz w:val="22"/>
      <w:szCs w:val="22"/>
    </w:rPr>
  </w:style>
  <w:style w:type="paragraph" w:customStyle="1" w:styleId="1947">
    <w:name w:val="xl95"/>
    <w:basedOn w:val="1"/>
    <w:autoRedefine/>
    <w:qFormat/>
    <w:uiPriority w:val="0"/>
    <w:pPr>
      <w:widowControl/>
      <w:pBdr>
        <w:top w:val="single" w:color="auto" w:sz="4" w:space="0"/>
        <w:left w:val="single" w:color="auto" w:sz="4" w:space="0"/>
        <w:right w:val="single" w:color="auto" w:sz="4" w:space="0"/>
      </w:pBdr>
      <w:snapToGrid/>
      <w:spacing w:beforeAutospacing="1" w:afterAutospacing="1" w:line="240" w:lineRule="auto"/>
      <w:ind w:firstLine="0" w:firstLineChars="0"/>
    </w:pPr>
    <w:rPr>
      <w:kern w:val="0"/>
      <w:sz w:val="22"/>
      <w:szCs w:val="22"/>
    </w:rPr>
  </w:style>
  <w:style w:type="paragraph" w:customStyle="1" w:styleId="1948">
    <w:name w:val="xl96"/>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pPr>
    <w:rPr>
      <w:color w:val="FF0000"/>
      <w:kern w:val="0"/>
      <w:sz w:val="22"/>
      <w:szCs w:val="22"/>
    </w:rPr>
  </w:style>
  <w:style w:type="paragraph" w:customStyle="1" w:styleId="1949">
    <w:name w:val="xl97"/>
    <w:basedOn w:val="1"/>
    <w:qFormat/>
    <w:uiPriority w:val="0"/>
    <w:pPr>
      <w:widowControl/>
      <w:pBdr>
        <w:top w:val="single" w:color="auto" w:sz="4" w:space="0"/>
        <w:left w:val="single" w:color="auto" w:sz="4" w:space="0"/>
        <w:right w:val="single" w:color="auto" w:sz="4" w:space="0"/>
      </w:pBdr>
      <w:snapToGrid/>
      <w:spacing w:beforeAutospacing="1" w:afterAutospacing="1" w:line="240" w:lineRule="auto"/>
      <w:ind w:firstLine="0" w:firstLineChars="0"/>
    </w:pPr>
    <w:rPr>
      <w:color w:val="FF0000"/>
      <w:kern w:val="0"/>
      <w:sz w:val="22"/>
      <w:szCs w:val="22"/>
    </w:rPr>
  </w:style>
  <w:style w:type="paragraph" w:customStyle="1" w:styleId="1950">
    <w:name w:val="xl98"/>
    <w:basedOn w:val="1"/>
    <w:autoRedefine/>
    <w:qFormat/>
    <w:uiPriority w:val="0"/>
    <w:pPr>
      <w:widowControl/>
      <w:pBdr>
        <w:top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51">
    <w:name w:val="xl99"/>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52">
    <w:name w:val="xl100"/>
    <w:basedOn w:val="1"/>
    <w:autoRedefine/>
    <w:qFormat/>
    <w:uiPriority w:val="0"/>
    <w:pPr>
      <w:widowControl/>
      <w:pBdr>
        <w:left w:val="single" w:color="auto" w:sz="4" w:space="0"/>
        <w:bottom w:val="single" w:color="auto" w:sz="4" w:space="0"/>
        <w:right w:val="single" w:color="auto" w:sz="4" w:space="0"/>
      </w:pBdr>
      <w:snapToGrid/>
      <w:spacing w:beforeAutospacing="1" w:afterAutospacing="1" w:line="240" w:lineRule="auto"/>
      <w:ind w:firstLine="0" w:firstLineChars="0"/>
    </w:pPr>
    <w:rPr>
      <w:color w:val="FF0000"/>
      <w:kern w:val="0"/>
      <w:sz w:val="22"/>
      <w:szCs w:val="22"/>
    </w:rPr>
  </w:style>
  <w:style w:type="paragraph" w:customStyle="1" w:styleId="1953">
    <w:name w:val="xl101"/>
    <w:basedOn w:val="1"/>
    <w:autoRedefine/>
    <w:uiPriority w:val="0"/>
    <w:pPr>
      <w:widowControl/>
      <w:pBdr>
        <w:bottom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54">
    <w:name w:val="xl102"/>
    <w:basedOn w:val="1"/>
    <w:autoRedefine/>
    <w:uiPriority w:val="0"/>
    <w:pPr>
      <w:widowControl/>
      <w:pBdr>
        <w:left w:val="single" w:color="auto" w:sz="4" w:space="0"/>
        <w:bottom w:val="single" w:color="auto" w:sz="4" w:space="0"/>
      </w:pBdr>
      <w:snapToGrid/>
      <w:spacing w:beforeAutospacing="1" w:afterAutospacing="1" w:line="240" w:lineRule="auto"/>
      <w:ind w:firstLine="0" w:firstLineChars="0"/>
    </w:pPr>
    <w:rPr>
      <w:kern w:val="0"/>
      <w:sz w:val="22"/>
      <w:szCs w:val="22"/>
    </w:rPr>
  </w:style>
  <w:style w:type="paragraph" w:customStyle="1" w:styleId="1955">
    <w:name w:val="xl103"/>
    <w:basedOn w:val="1"/>
    <w:autoRedefine/>
    <w:qFormat/>
    <w:uiPriority w:val="0"/>
    <w:pPr>
      <w:widowControl/>
      <w:pBdr>
        <w:left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56">
    <w:name w:val="xl104"/>
    <w:basedOn w:val="1"/>
    <w:autoRedefine/>
    <w:qFormat/>
    <w:uiPriority w:val="0"/>
    <w:pPr>
      <w:widowControl/>
      <w:pBdr>
        <w:left w:val="single" w:color="auto" w:sz="4" w:space="0"/>
        <w:bottom w:val="single" w:color="auto" w:sz="4" w:space="0"/>
        <w:right w:val="single" w:color="auto" w:sz="4" w:space="0"/>
      </w:pBdr>
      <w:snapToGrid/>
      <w:spacing w:beforeAutospacing="1" w:afterAutospacing="1" w:line="240" w:lineRule="auto"/>
      <w:ind w:firstLine="0" w:firstLineChars="0"/>
    </w:pPr>
    <w:rPr>
      <w:kern w:val="0"/>
      <w:sz w:val="22"/>
      <w:szCs w:val="22"/>
    </w:rPr>
  </w:style>
  <w:style w:type="paragraph" w:customStyle="1" w:styleId="1957">
    <w:name w:val="xl105"/>
    <w:basedOn w:val="1"/>
    <w:uiPriority w:val="0"/>
    <w:pPr>
      <w:widowControl/>
      <w:pBdr>
        <w:top w:val="single" w:color="auto" w:sz="4" w:space="0"/>
        <w:bottom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58">
    <w:name w:val="xl106"/>
    <w:basedOn w:val="1"/>
    <w:autoRedefine/>
    <w:qFormat/>
    <w:uiPriority w:val="0"/>
    <w:pPr>
      <w:widowControl/>
      <w:pBdr>
        <w:left w:val="single" w:color="auto" w:sz="8" w:space="0"/>
        <w:bottom w:val="single" w:color="auto" w:sz="4" w:space="0"/>
        <w:right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59">
    <w:name w:val="xl107"/>
    <w:basedOn w:val="1"/>
    <w:uiPriority w:val="0"/>
    <w:pPr>
      <w:widowControl/>
      <w:pBdr>
        <w:left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60">
    <w:name w:val="xl108"/>
    <w:basedOn w:val="1"/>
    <w:autoRedefine/>
    <w:qFormat/>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61">
    <w:name w:val="xl109"/>
    <w:basedOn w:val="1"/>
    <w:qFormat/>
    <w:uiPriority w:val="0"/>
    <w:pPr>
      <w:widowControl/>
      <w:pBdr>
        <w:left w:val="single" w:color="auto" w:sz="8" w:space="0"/>
        <w:right w:val="single" w:color="auto" w:sz="4" w:space="0"/>
      </w:pBdr>
      <w:snapToGrid/>
      <w:spacing w:beforeAutospacing="1" w:afterAutospacing="1" w:line="240" w:lineRule="auto"/>
      <w:ind w:firstLine="0" w:firstLineChars="0"/>
    </w:pPr>
    <w:rPr>
      <w:kern w:val="0"/>
      <w:sz w:val="22"/>
      <w:szCs w:val="22"/>
    </w:rPr>
  </w:style>
  <w:style w:type="paragraph" w:customStyle="1" w:styleId="1962">
    <w:name w:val="xl110"/>
    <w:basedOn w:val="1"/>
    <w:autoRedefine/>
    <w:qFormat/>
    <w:uiPriority w:val="0"/>
    <w:pPr>
      <w:widowControl/>
      <w:pBdr>
        <w:top w:val="single" w:color="auto" w:sz="4" w:space="0"/>
        <w:left w:val="single" w:color="auto" w:sz="4" w:space="0"/>
        <w:right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63">
    <w:name w:val="xl111"/>
    <w:basedOn w:val="1"/>
    <w:uiPriority w:val="0"/>
    <w:pPr>
      <w:widowControl/>
      <w:pBdr>
        <w:right w:val="single" w:color="auto" w:sz="4" w:space="0"/>
      </w:pBdr>
      <w:snapToGrid/>
      <w:spacing w:beforeAutospacing="1" w:afterAutospacing="1" w:line="240" w:lineRule="auto"/>
      <w:ind w:firstLine="0" w:firstLineChars="0"/>
    </w:pPr>
    <w:rPr>
      <w:kern w:val="0"/>
      <w:sz w:val="22"/>
      <w:szCs w:val="22"/>
    </w:rPr>
  </w:style>
  <w:style w:type="paragraph" w:customStyle="1" w:styleId="1964">
    <w:name w:val="xl112"/>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pPr>
    <w:rPr>
      <w:kern w:val="0"/>
      <w:sz w:val="22"/>
      <w:szCs w:val="22"/>
    </w:rPr>
  </w:style>
  <w:style w:type="paragraph" w:customStyle="1" w:styleId="1965">
    <w:name w:val="xl113"/>
    <w:basedOn w:val="1"/>
    <w:uiPriority w:val="0"/>
    <w:pPr>
      <w:widowControl/>
      <w:pBdr>
        <w:top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66">
    <w:name w:val="xl114"/>
    <w:basedOn w:val="1"/>
    <w:autoRedefine/>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pPr>
    <w:rPr>
      <w:b/>
      <w:bCs/>
      <w:kern w:val="0"/>
      <w:sz w:val="22"/>
      <w:szCs w:val="22"/>
    </w:rPr>
  </w:style>
  <w:style w:type="paragraph" w:customStyle="1" w:styleId="1967">
    <w:name w:val="xl115"/>
    <w:basedOn w:val="1"/>
    <w:qFormat/>
    <w:uiPriority w:val="0"/>
    <w:pPr>
      <w:widowControl/>
      <w:pBdr>
        <w:left w:val="single" w:color="auto" w:sz="4" w:space="0"/>
      </w:pBdr>
      <w:snapToGrid/>
      <w:spacing w:beforeAutospacing="1" w:afterAutospacing="1" w:line="240" w:lineRule="auto"/>
      <w:ind w:firstLine="0" w:firstLineChars="0"/>
    </w:pPr>
    <w:rPr>
      <w:rFonts w:ascii="宋体" w:hAnsi="宋体" w:cs="宋体"/>
      <w:b/>
      <w:bCs/>
      <w:kern w:val="0"/>
      <w:sz w:val="22"/>
      <w:szCs w:val="22"/>
    </w:rPr>
  </w:style>
  <w:style w:type="paragraph" w:customStyle="1" w:styleId="1968">
    <w:name w:val="xl116"/>
    <w:basedOn w:val="1"/>
    <w:autoRedefine/>
    <w:qFormat/>
    <w:uiPriority w:val="0"/>
    <w:pPr>
      <w:widowControl/>
      <w:pBdr>
        <w:right w:val="single" w:color="auto" w:sz="4" w:space="0"/>
      </w:pBdr>
      <w:snapToGrid/>
      <w:spacing w:beforeAutospacing="1" w:afterAutospacing="1" w:line="240" w:lineRule="auto"/>
      <w:ind w:firstLine="0" w:firstLineChars="0"/>
    </w:pPr>
    <w:rPr>
      <w:b/>
      <w:bCs/>
      <w:kern w:val="0"/>
      <w:sz w:val="22"/>
      <w:szCs w:val="22"/>
    </w:rPr>
  </w:style>
  <w:style w:type="paragraph" w:customStyle="1" w:styleId="1969">
    <w:name w:val="xl117"/>
    <w:basedOn w:val="1"/>
    <w:qFormat/>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b/>
      <w:bCs/>
      <w:kern w:val="0"/>
      <w:sz w:val="22"/>
      <w:szCs w:val="22"/>
    </w:rPr>
  </w:style>
  <w:style w:type="paragraph" w:customStyle="1" w:styleId="1970">
    <w:name w:val="xl118"/>
    <w:basedOn w:val="1"/>
    <w:qFormat/>
    <w:uiPriority w:val="0"/>
    <w:pPr>
      <w:widowControl/>
      <w:pBdr>
        <w:bottom w:val="single" w:color="auto" w:sz="4" w:space="0"/>
      </w:pBdr>
      <w:snapToGrid/>
      <w:spacing w:beforeAutospacing="1" w:afterAutospacing="1" w:line="240" w:lineRule="auto"/>
      <w:ind w:firstLine="0" w:firstLineChars="0"/>
    </w:pPr>
    <w:rPr>
      <w:rFonts w:ascii="宋体" w:hAnsi="宋体" w:cs="宋体"/>
      <w:b/>
      <w:bCs/>
      <w:kern w:val="0"/>
      <w:sz w:val="22"/>
      <w:szCs w:val="22"/>
    </w:rPr>
  </w:style>
  <w:style w:type="paragraph" w:customStyle="1" w:styleId="1971">
    <w:name w:val="xl119"/>
    <w:basedOn w:val="1"/>
    <w:uiPriority w:val="0"/>
    <w:pPr>
      <w:widowControl/>
      <w:pBdr>
        <w:left w:val="single" w:color="auto" w:sz="4" w:space="0"/>
        <w:bottom w:val="single" w:color="auto" w:sz="4" w:space="0"/>
      </w:pBdr>
      <w:snapToGrid/>
      <w:spacing w:beforeAutospacing="1" w:afterAutospacing="1" w:line="240" w:lineRule="auto"/>
      <w:ind w:firstLine="0" w:firstLineChars="0"/>
    </w:pPr>
    <w:rPr>
      <w:rFonts w:ascii="宋体" w:hAnsi="宋体" w:cs="宋体"/>
      <w:kern w:val="0"/>
      <w:sz w:val="22"/>
      <w:szCs w:val="22"/>
    </w:rPr>
  </w:style>
  <w:style w:type="paragraph" w:customStyle="1" w:styleId="1972">
    <w:name w:val="xl120"/>
    <w:basedOn w:val="1"/>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color w:val="333333"/>
      <w:kern w:val="0"/>
      <w:sz w:val="22"/>
      <w:szCs w:val="22"/>
    </w:rPr>
  </w:style>
  <w:style w:type="paragraph" w:customStyle="1" w:styleId="1973">
    <w:name w:val="表内l"/>
    <w:basedOn w:val="1"/>
    <w:link w:val="1974"/>
    <w:autoRedefine/>
    <w:uiPriority w:val="0"/>
    <w:pPr>
      <w:snapToGrid/>
      <w:spacing w:line="240" w:lineRule="auto"/>
      <w:ind w:firstLine="0" w:firstLineChars="0"/>
      <w:jc w:val="center"/>
    </w:pPr>
    <w:rPr>
      <w:bCs/>
      <w:sz w:val="21"/>
      <w:szCs w:val="21"/>
    </w:rPr>
  </w:style>
  <w:style w:type="character" w:customStyle="1" w:styleId="1974">
    <w:name w:val="表内l Char"/>
    <w:link w:val="1973"/>
    <w:uiPriority w:val="0"/>
    <w:rPr>
      <w:bCs/>
      <w:kern w:val="2"/>
      <w:sz w:val="21"/>
      <w:szCs w:val="21"/>
    </w:rPr>
  </w:style>
  <w:style w:type="table" w:customStyle="1" w:styleId="1975">
    <w:name w:val="Table Normal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1976">
    <w:name w:val="专业网格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77">
    <w:name w:val="biao 2"/>
    <w:basedOn w:val="1"/>
    <w:link w:val="1978"/>
    <w:qFormat/>
    <w:uiPriority w:val="0"/>
    <w:pPr>
      <w:keepNext/>
      <w:keepLines/>
      <w:adjustRightInd w:val="0"/>
      <w:ind w:firstLine="0" w:firstLineChars="0"/>
      <w:jc w:val="both"/>
      <w:outlineLvl w:val="1"/>
    </w:pPr>
    <w:rPr>
      <w:b/>
      <w:bCs/>
      <w:color w:val="000000"/>
      <w:sz w:val="28"/>
      <w:szCs w:val="28"/>
      <w:lang w:val="zh-CN"/>
    </w:rPr>
  </w:style>
  <w:style w:type="character" w:customStyle="1" w:styleId="1978">
    <w:name w:val="biao 2 Char"/>
    <w:link w:val="1977"/>
    <w:qFormat/>
    <w:uiPriority w:val="0"/>
    <w:rPr>
      <w:b/>
      <w:bCs/>
      <w:color w:val="000000"/>
      <w:kern w:val="2"/>
      <w:sz w:val="28"/>
      <w:szCs w:val="28"/>
      <w:lang w:val="zh-CN"/>
    </w:rPr>
  </w:style>
  <w:style w:type="paragraph" w:customStyle="1" w:styleId="1979">
    <w:name w:val="列出段落2"/>
    <w:basedOn w:val="1"/>
    <w:autoRedefine/>
    <w:qFormat/>
    <w:uiPriority w:val="34"/>
    <w:pPr>
      <w:snapToGrid/>
      <w:spacing w:line="240" w:lineRule="auto"/>
      <w:ind w:firstLine="420"/>
      <w:jc w:val="both"/>
    </w:pPr>
    <w:rPr>
      <w:rFonts w:ascii="Calibri" w:hAnsi="Calibri"/>
      <w:sz w:val="21"/>
      <w:szCs w:val="22"/>
    </w:rPr>
  </w:style>
  <w:style w:type="character" w:customStyle="1" w:styleId="1980">
    <w:name w:val="图表内容 Char"/>
    <w:link w:val="1981"/>
    <w:qFormat/>
    <w:uiPriority w:val="0"/>
    <w:rPr>
      <w:rFonts w:eastAsia="仿宋_GB2312"/>
    </w:rPr>
  </w:style>
  <w:style w:type="paragraph" w:customStyle="1" w:styleId="1981">
    <w:name w:val="图表内容"/>
    <w:basedOn w:val="1"/>
    <w:link w:val="1980"/>
    <w:autoRedefine/>
    <w:qFormat/>
    <w:uiPriority w:val="0"/>
    <w:pPr>
      <w:adjustRightInd w:val="0"/>
      <w:spacing w:line="240" w:lineRule="auto"/>
      <w:ind w:firstLine="0" w:firstLineChars="0"/>
      <w:jc w:val="center"/>
    </w:pPr>
    <w:rPr>
      <w:rFonts w:eastAsia="仿宋_GB2312"/>
      <w:kern w:val="0"/>
      <w:sz w:val="20"/>
      <w:szCs w:val="20"/>
    </w:rPr>
  </w:style>
  <w:style w:type="character" w:customStyle="1" w:styleId="1982">
    <w:name w:val="样式 (西文) 仿宋_GB2312 (中文) 仿宋_GB2312 Char"/>
    <w:link w:val="1983"/>
    <w:uiPriority w:val="0"/>
    <w:rPr>
      <w:rFonts w:ascii="仿宋_GB2312" w:eastAsia="仿宋_GB2312"/>
      <w:sz w:val="28"/>
      <w:szCs w:val="30"/>
    </w:rPr>
  </w:style>
  <w:style w:type="paragraph" w:customStyle="1" w:styleId="1983">
    <w:name w:val="样式 (西文) 仿宋_GB2312 (中文) 仿宋_GB2312"/>
    <w:basedOn w:val="1"/>
    <w:link w:val="1982"/>
    <w:autoRedefine/>
    <w:qFormat/>
    <w:uiPriority w:val="0"/>
    <w:pPr>
      <w:adjustRightInd w:val="0"/>
      <w:spacing w:afterLines="100" w:line="300" w:lineRule="auto"/>
      <w:ind w:firstLine="200"/>
      <w:contextualSpacing/>
      <w:jc w:val="both"/>
    </w:pPr>
    <w:rPr>
      <w:rFonts w:ascii="仿宋_GB2312" w:eastAsia="仿宋_GB2312"/>
      <w:kern w:val="0"/>
      <w:sz w:val="28"/>
      <w:szCs w:val="30"/>
    </w:rPr>
  </w:style>
  <w:style w:type="character" w:customStyle="1" w:styleId="1984">
    <w:name w:val="ask-title"/>
    <w:uiPriority w:val="0"/>
  </w:style>
  <w:style w:type="character" w:customStyle="1" w:styleId="1985">
    <w:name w:val="表注 Char"/>
    <w:link w:val="1986"/>
    <w:autoRedefine/>
    <w:qFormat/>
    <w:uiPriority w:val="0"/>
    <w:rPr>
      <w:rFonts w:eastAsia="仿宋"/>
      <w:color w:val="000000"/>
      <w:kern w:val="16"/>
      <w:sz w:val="16"/>
      <w:szCs w:val="16"/>
    </w:rPr>
  </w:style>
  <w:style w:type="paragraph" w:customStyle="1" w:styleId="1986">
    <w:name w:val="表注"/>
    <w:link w:val="1985"/>
    <w:uiPriority w:val="0"/>
    <w:pPr>
      <w:widowControl w:val="0"/>
      <w:topLinePunct/>
      <w:adjustRightInd w:val="0"/>
      <w:spacing w:line="240" w:lineRule="exact"/>
      <w:jc w:val="both"/>
    </w:pPr>
    <w:rPr>
      <w:rFonts w:ascii="Times New Roman" w:hAnsi="Times New Roman" w:eastAsia="仿宋" w:cs="Times New Roman"/>
      <w:color w:val="000000"/>
      <w:kern w:val="16"/>
      <w:sz w:val="16"/>
      <w:szCs w:val="16"/>
      <w:lang w:val="en-US" w:eastAsia="zh-CN" w:bidi="ar-SA"/>
    </w:rPr>
  </w:style>
  <w:style w:type="character" w:customStyle="1" w:styleId="1987">
    <w:name w:val="文档结构图 Char1"/>
    <w:autoRedefine/>
    <w:semiHidden/>
    <w:qFormat/>
    <w:uiPriority w:val="99"/>
    <w:rPr>
      <w:rFonts w:ascii="Microsoft YaHei UI" w:eastAsia="Microsoft YaHei UI"/>
      <w:kern w:val="2"/>
      <w:sz w:val="18"/>
      <w:szCs w:val="18"/>
    </w:rPr>
  </w:style>
  <w:style w:type="character" w:customStyle="1" w:styleId="1988">
    <w:name w:val="日期 Char1"/>
    <w:semiHidden/>
    <w:uiPriority w:val="99"/>
    <w:rPr>
      <w:kern w:val="2"/>
      <w:sz w:val="21"/>
      <w:szCs w:val="24"/>
    </w:rPr>
  </w:style>
  <w:style w:type="character" w:customStyle="1" w:styleId="1989">
    <w:name w:val="正文文本 Char1"/>
    <w:autoRedefine/>
    <w:qFormat/>
    <w:uiPriority w:val="0"/>
    <w:rPr>
      <w:kern w:val="2"/>
      <w:sz w:val="21"/>
      <w:szCs w:val="24"/>
    </w:rPr>
  </w:style>
  <w:style w:type="character" w:customStyle="1" w:styleId="1990">
    <w:name w:val="页眉 Char1"/>
    <w:autoRedefine/>
    <w:qFormat/>
    <w:uiPriority w:val="0"/>
    <w:rPr>
      <w:kern w:val="2"/>
      <w:sz w:val="18"/>
      <w:szCs w:val="18"/>
    </w:rPr>
  </w:style>
  <w:style w:type="character" w:customStyle="1" w:styleId="1991">
    <w:name w:val="批注框文本 Char1"/>
    <w:autoRedefine/>
    <w:semiHidden/>
    <w:qFormat/>
    <w:uiPriority w:val="99"/>
    <w:rPr>
      <w:kern w:val="2"/>
      <w:sz w:val="18"/>
      <w:szCs w:val="18"/>
    </w:rPr>
  </w:style>
  <w:style w:type="character" w:customStyle="1" w:styleId="1992">
    <w:name w:val="页脚 Char1"/>
    <w:autoRedefine/>
    <w:qFormat/>
    <w:uiPriority w:val="99"/>
    <w:rPr>
      <w:kern w:val="2"/>
      <w:sz w:val="18"/>
      <w:szCs w:val="18"/>
    </w:rPr>
  </w:style>
  <w:style w:type="paragraph" w:customStyle="1" w:styleId="1993">
    <w:name w:val="zhang"/>
    <w:basedOn w:val="1"/>
    <w:autoRedefine/>
    <w:qFormat/>
    <w:uiPriority w:val="99"/>
    <w:pPr>
      <w:widowControl/>
      <w:snapToGrid/>
      <w:spacing w:beforeAutospacing="1" w:afterAutospacing="1" w:line="240" w:lineRule="auto"/>
      <w:ind w:firstLine="0" w:firstLineChars="0"/>
    </w:pPr>
    <w:rPr>
      <w:rFonts w:ascii="宋体" w:hAnsi="宋体" w:cs="宋体"/>
      <w:color w:val="000000"/>
      <w:kern w:val="0"/>
    </w:rPr>
  </w:style>
  <w:style w:type="paragraph" w:customStyle="1" w:styleId="1994">
    <w:name w:val="S-正文"/>
    <w:basedOn w:val="1"/>
    <w:autoRedefine/>
    <w:qFormat/>
    <w:uiPriority w:val="0"/>
    <w:pPr>
      <w:widowControl/>
      <w:snapToGrid/>
      <w:ind w:firstLine="200"/>
    </w:pPr>
    <w:rPr>
      <w:rFonts w:ascii="仿宋_GB2312" w:hAnsi="Calibri" w:eastAsia="仿宋_GB2312" w:cs="仿宋_GB2312"/>
      <w:sz w:val="28"/>
    </w:rPr>
  </w:style>
  <w:style w:type="paragraph" w:customStyle="1" w:styleId="1995">
    <w:name w:val="CM7"/>
    <w:basedOn w:val="1"/>
    <w:next w:val="1"/>
    <w:autoRedefine/>
    <w:qFormat/>
    <w:uiPriority w:val="99"/>
    <w:pPr>
      <w:autoSpaceDE w:val="0"/>
      <w:autoSpaceDN w:val="0"/>
      <w:adjustRightInd w:val="0"/>
      <w:snapToGrid/>
      <w:spacing w:line="591" w:lineRule="atLeast"/>
      <w:ind w:firstLine="0" w:firstLineChars="0"/>
    </w:pPr>
    <w:rPr>
      <w:rFonts w:ascii="黑体" w:eastAsia="黑体"/>
      <w:kern w:val="0"/>
    </w:rPr>
  </w:style>
  <w:style w:type="paragraph" w:customStyle="1" w:styleId="1996">
    <w:name w:val="列出段落3"/>
    <w:basedOn w:val="1"/>
    <w:autoRedefine/>
    <w:qFormat/>
    <w:uiPriority w:val="34"/>
    <w:pPr>
      <w:snapToGrid/>
      <w:ind w:firstLine="420"/>
      <w:jc w:val="both"/>
    </w:pPr>
    <w:rPr>
      <w:sz w:val="21"/>
    </w:rPr>
  </w:style>
  <w:style w:type="paragraph" w:customStyle="1" w:styleId="1997">
    <w:name w:val="标题 4　1.1.1"/>
    <w:basedOn w:val="6"/>
    <w:autoRedefine/>
    <w:qFormat/>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1998">
    <w:name w:val="图号"/>
    <w:basedOn w:val="1"/>
    <w:autoRedefine/>
    <w:qFormat/>
    <w:uiPriority w:val="0"/>
    <w:pPr>
      <w:autoSpaceDE w:val="0"/>
      <w:autoSpaceDN w:val="0"/>
      <w:adjustRightInd w:val="0"/>
      <w:ind w:firstLine="0" w:firstLineChars="0"/>
      <w:jc w:val="center"/>
    </w:pPr>
    <w:rPr>
      <w:rFonts w:ascii="宋体" w:hAnsi="宋体"/>
      <w:b/>
      <w:bCs/>
      <w:sz w:val="21"/>
      <w:szCs w:val="21"/>
      <w:lang w:val="zh-CN"/>
    </w:rPr>
  </w:style>
  <w:style w:type="paragraph" w:customStyle="1" w:styleId="1999">
    <w:name w:val="jb仿宋_GB2312"/>
    <w:basedOn w:val="1"/>
    <w:autoRedefine/>
    <w:qFormat/>
    <w:uiPriority w:val="0"/>
    <w:pPr>
      <w:tabs>
        <w:tab w:val="left" w:pos="446"/>
      </w:tabs>
      <w:snapToGrid/>
      <w:jc w:val="both"/>
    </w:pPr>
    <w:rPr>
      <w:rFonts w:ascii="宋体" w:hAnsi="宋体"/>
    </w:rPr>
  </w:style>
  <w:style w:type="paragraph" w:customStyle="1" w:styleId="2000">
    <w:name w:val="标题 2标题 1.1"/>
    <w:basedOn w:val="4"/>
    <w:autoRedefine/>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2001">
    <w:name w:val="jb仿宋_GB2312 Char"/>
    <w:autoRedefine/>
    <w:qFormat/>
    <w:uiPriority w:val="0"/>
    <w:rPr>
      <w:rFonts w:hAnsi="仿宋_GB2312" w:eastAsia="仿宋_GB2312"/>
      <w:kern w:val="2"/>
      <w:sz w:val="28"/>
      <w:lang w:val="en-US" w:eastAsia="zh-CN" w:bidi="ar-SA"/>
    </w:rPr>
  </w:style>
  <w:style w:type="paragraph" w:customStyle="1" w:styleId="2002">
    <w:name w:val="样式 王向东正文 + 首行缩进:  2 字符"/>
    <w:basedOn w:val="366"/>
    <w:autoRedefine/>
    <w:qFormat/>
    <w:uiPriority w:val="0"/>
    <w:pPr>
      <w:spacing w:line="360" w:lineRule="auto"/>
      <w:ind w:right="0" w:rightChars="0" w:firstLine="560"/>
      <w:jc w:val="both"/>
    </w:pPr>
    <w:rPr>
      <w:rFonts w:ascii="Times New Roman" w:hAnsi="Times New Roman" w:eastAsia="仿宋_GB2312" w:cs="Times New Roman"/>
      <w:sz w:val="28"/>
      <w:szCs w:val="20"/>
    </w:rPr>
  </w:style>
  <w:style w:type="character" w:customStyle="1" w:styleId="2003">
    <w:name w:val="表 Char1"/>
    <w:autoRedefine/>
    <w:qFormat/>
    <w:uiPriority w:val="0"/>
    <w:rPr>
      <w:rFonts w:ascii="宋体" w:hAnsi="宋体" w:eastAsia="宋体" w:cs="Times New Roman"/>
      <w:color w:val="FF0000"/>
      <w:sz w:val="18"/>
      <w:szCs w:val="18"/>
    </w:rPr>
  </w:style>
  <w:style w:type="paragraph" w:customStyle="1" w:styleId="2004">
    <w:name w:val="样式 正文文本 + 首行缩进:  2 字符4"/>
    <w:basedOn w:val="34"/>
    <w:autoRedefine/>
    <w:qFormat/>
    <w:uiPriority w:val="0"/>
    <w:pPr>
      <w:widowControl w:val="0"/>
      <w:adjustRightInd w:val="0"/>
      <w:snapToGrid/>
      <w:spacing w:before="0" w:after="120" w:line="280" w:lineRule="exact"/>
      <w:ind w:right="-42" w:firstLine="0" w:firstLineChars="0"/>
      <w:jc w:val="both"/>
      <w:textAlignment w:val="baseline"/>
    </w:pPr>
    <w:rPr>
      <w:rFonts w:hAnsi="宋体" w:cs="宋体"/>
      <w:kern w:val="2"/>
      <w:sz w:val="21"/>
      <w:szCs w:val="21"/>
    </w:rPr>
  </w:style>
  <w:style w:type="paragraph" w:customStyle="1" w:styleId="2005">
    <w:name w:val="样式 标题 4 + 段前: 7.8 磅"/>
    <w:basedOn w:val="6"/>
    <w:autoRedefine/>
    <w:qFormat/>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2006">
    <w:name w:val="正文表格文字"/>
    <w:basedOn w:val="1"/>
    <w:autoRedefine/>
    <w:qFormat/>
    <w:uiPriority w:val="0"/>
    <w:pPr>
      <w:widowControl/>
      <w:snapToGrid/>
      <w:spacing w:line="400" w:lineRule="exact"/>
      <w:ind w:firstLine="0" w:firstLineChars="0"/>
    </w:pPr>
    <w:rPr>
      <w:kern w:val="0"/>
      <w:sz w:val="21"/>
      <w:szCs w:val="20"/>
    </w:rPr>
  </w:style>
  <w:style w:type="character" w:customStyle="1" w:styleId="2007">
    <w:name w:val="z1"/>
    <w:autoRedefine/>
    <w:qFormat/>
    <w:uiPriority w:val="0"/>
    <w:rPr>
      <w:spacing w:val="400"/>
      <w:sz w:val="18"/>
      <w:szCs w:val="18"/>
    </w:rPr>
  </w:style>
  <w:style w:type="paragraph" w:customStyle="1" w:styleId="2008">
    <w:name w:val="正文条目a"/>
    <w:basedOn w:val="1"/>
    <w:autoRedefine/>
    <w:qFormat/>
    <w:uiPriority w:val="0"/>
    <w:pPr>
      <w:snapToGrid/>
      <w:spacing w:line="240" w:lineRule="auto"/>
      <w:ind w:left="400" w:leftChars="300" w:hanging="100" w:hangingChars="100"/>
      <w:jc w:val="both"/>
    </w:pPr>
    <w:rPr>
      <w:rFonts w:ascii="宋体"/>
    </w:rPr>
  </w:style>
  <w:style w:type="table" w:customStyle="1" w:styleId="2009">
    <w:name w:val="专业网格2"/>
    <w:basedOn w:val="88"/>
    <w:autoRedefine/>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0">
    <w:name w:val="网格型111"/>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11">
    <w:name w:val="表格内容1"/>
    <w:basedOn w:val="1"/>
    <w:autoRedefine/>
    <w:qFormat/>
    <w:uiPriority w:val="0"/>
    <w:pPr>
      <w:adjustRightInd w:val="0"/>
      <w:spacing w:line="240" w:lineRule="atLeast"/>
      <w:ind w:firstLine="0" w:firstLineChars="0"/>
      <w:jc w:val="center"/>
    </w:pPr>
    <w:rPr>
      <w:snapToGrid w:val="0"/>
      <w:kern w:val="0"/>
      <w:sz w:val="21"/>
    </w:rPr>
  </w:style>
  <w:style w:type="paragraph" w:customStyle="1" w:styleId="2012">
    <w:name w:val="样式 标题 3 + (西文)粗体"/>
    <w:basedOn w:val="5"/>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2013">
    <w:name w:val="海港表格文字"/>
    <w:basedOn w:val="358"/>
    <w:autoRedefine/>
    <w:qFormat/>
    <w:uiPriority w:val="0"/>
    <w:pPr>
      <w:snapToGrid w:val="0"/>
      <w:spacing w:line="300" w:lineRule="exact"/>
      <w:ind w:left="-56" w:leftChars="-30" w:right="-56" w:rightChars="-30" w:firstLine="19"/>
      <w:jc w:val="center"/>
    </w:pPr>
    <w:rPr>
      <w:rFonts w:ascii="宋体" w:hAnsi="宋体" w:eastAsia="宋体"/>
      <w:color w:val="FF0000"/>
      <w:spacing w:val="0"/>
      <w:sz w:val="18"/>
    </w:rPr>
  </w:style>
  <w:style w:type="character" w:customStyle="1" w:styleId="2014">
    <w:name w:val="cucd-0 Char"/>
    <w:link w:val="2015"/>
    <w:autoRedefine/>
    <w:qFormat/>
    <w:uiPriority w:val="0"/>
    <w:rPr>
      <w:sz w:val="24"/>
    </w:rPr>
  </w:style>
  <w:style w:type="paragraph" w:customStyle="1" w:styleId="2015">
    <w:name w:val="cucd-0"/>
    <w:link w:val="2014"/>
    <w:autoRedefine/>
    <w:qFormat/>
    <w:uiPriority w:val="0"/>
    <w:pPr>
      <w:spacing w:line="360" w:lineRule="auto"/>
      <w:ind w:firstLine="480" w:firstLineChars="200"/>
    </w:pPr>
    <w:rPr>
      <w:rFonts w:ascii="Times New Roman" w:hAnsi="Times New Roman" w:eastAsia="宋体" w:cs="Times New Roman"/>
      <w:sz w:val="24"/>
      <w:lang w:val="en-US" w:eastAsia="zh-CN" w:bidi="ar-SA"/>
    </w:rPr>
  </w:style>
  <w:style w:type="character" w:customStyle="1" w:styleId="2016">
    <w:name w:val="cucd-TB Char"/>
    <w:link w:val="1127"/>
    <w:autoRedefine/>
    <w:qFormat/>
    <w:uiPriority w:val="0"/>
    <w:rPr>
      <w:kern w:val="2"/>
      <w:sz w:val="21"/>
      <w:szCs w:val="24"/>
    </w:rPr>
  </w:style>
  <w:style w:type="paragraph" w:customStyle="1" w:styleId="2017">
    <w:name w:val="cucd-TB-Head"/>
    <w:basedOn w:val="1"/>
    <w:next w:val="2015"/>
    <w:link w:val="2018"/>
    <w:autoRedefine/>
    <w:qFormat/>
    <w:uiPriority w:val="0"/>
    <w:pPr>
      <w:snapToGrid/>
      <w:spacing w:beforeLines="50"/>
      <w:ind w:firstLine="0" w:firstLineChars="0"/>
      <w:jc w:val="center"/>
    </w:pPr>
    <w:rPr>
      <w:rFonts w:eastAsia="黑体"/>
      <w:color w:val="0000FF"/>
    </w:rPr>
  </w:style>
  <w:style w:type="character" w:customStyle="1" w:styleId="2018">
    <w:name w:val="cucd-TB-Head Char"/>
    <w:link w:val="2017"/>
    <w:autoRedefine/>
    <w:qFormat/>
    <w:uiPriority w:val="0"/>
    <w:rPr>
      <w:rFonts w:eastAsia="黑体"/>
      <w:color w:val="0000FF"/>
      <w:kern w:val="2"/>
      <w:sz w:val="24"/>
      <w:szCs w:val="24"/>
    </w:rPr>
  </w:style>
  <w:style w:type="table" w:customStyle="1" w:styleId="2019">
    <w:name w:val="cucd-table"/>
    <w:basedOn w:val="88"/>
    <w:autoRedefine/>
    <w:qFormat/>
    <w:uiPriority w:val="0"/>
    <w:pPr>
      <w:jc w:val="center"/>
    </w:pPr>
    <w:tblP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
    <w:tcPr>
      <w:vAlign w:val="center"/>
    </w:tcPr>
    <w:tblStylePr w:type="firstRow">
      <w:rPr>
        <w:b/>
        <w:i w:val="0"/>
      </w:rPr>
      <w:tcPr>
        <w:tcBorders>
          <w:top w:val="thinThickSmallGap" w:color="auto" w:sz="12" w:space="0"/>
          <w:left w:val="thinThickSmallGap" w:color="auto" w:sz="12" w:space="0"/>
          <w:bottom w:val="single" w:color="auto" w:sz="4" w:space="0"/>
          <w:right w:val="thickThinSmallGap" w:color="auto" w:sz="12" w:space="0"/>
          <w:insideH w:val="single" w:sz="6" w:space="0"/>
          <w:insideV w:val="single" w:sz="6" w:space="0"/>
          <w:tl2br w:val="nil"/>
          <w:tr2bl w:val="nil"/>
        </w:tcBorders>
        <w:shd w:val="clear" w:color="auto" w:fill="D9D9D9"/>
      </w:tcPr>
    </w:tblStylePr>
  </w:style>
  <w:style w:type="paragraph" w:customStyle="1" w:styleId="2020">
    <w:name w:val="cucd-2"/>
    <w:next w:val="2021"/>
    <w:autoRedefine/>
    <w:qFormat/>
    <w:uiPriority w:val="0"/>
    <w:pPr>
      <w:tabs>
        <w:tab w:val="left" w:pos="567"/>
      </w:tabs>
      <w:spacing w:line="360" w:lineRule="auto"/>
      <w:ind w:left="567" w:hanging="567"/>
      <w:outlineLvl w:val="1"/>
    </w:pPr>
    <w:rPr>
      <w:rFonts w:ascii="Times New Roman" w:hAnsi="Times New Roman" w:eastAsia="黑体" w:cs="Times New Roman"/>
      <w:b/>
      <w:kern w:val="2"/>
      <w:sz w:val="30"/>
      <w:szCs w:val="24"/>
      <w:lang w:val="en-US" w:eastAsia="zh-CN" w:bidi="ar-SA"/>
    </w:rPr>
  </w:style>
  <w:style w:type="paragraph" w:customStyle="1" w:styleId="2021">
    <w:name w:val="cucd-3"/>
    <w:next w:val="2022"/>
    <w:link w:val="2023"/>
    <w:autoRedefine/>
    <w:qFormat/>
    <w:uiPriority w:val="0"/>
    <w:pPr>
      <w:tabs>
        <w:tab w:val="left" w:pos="709"/>
      </w:tabs>
      <w:spacing w:line="360" w:lineRule="auto"/>
      <w:ind w:left="709" w:hanging="709"/>
      <w:outlineLvl w:val="2"/>
    </w:pPr>
    <w:rPr>
      <w:rFonts w:ascii="Times New Roman" w:hAnsi="Times New Roman" w:eastAsia="宋体" w:cs="Times New Roman"/>
      <w:b/>
      <w:kern w:val="2"/>
      <w:sz w:val="28"/>
      <w:szCs w:val="24"/>
      <w:lang w:val="en-US" w:eastAsia="zh-CN" w:bidi="ar-SA"/>
    </w:rPr>
  </w:style>
  <w:style w:type="paragraph" w:customStyle="1" w:styleId="2022">
    <w:name w:val="cucd-4"/>
    <w:next w:val="2015"/>
    <w:autoRedefine/>
    <w:qFormat/>
    <w:uiPriority w:val="0"/>
    <w:pPr>
      <w:tabs>
        <w:tab w:val="left" w:pos="851"/>
      </w:tabs>
      <w:spacing w:line="360" w:lineRule="auto"/>
      <w:ind w:left="851" w:hanging="851"/>
      <w:outlineLvl w:val="3"/>
    </w:pPr>
    <w:rPr>
      <w:rFonts w:ascii="Times New Roman" w:hAnsi="Times New Roman" w:eastAsia="宋体" w:cs="Times New Roman"/>
      <w:b/>
      <w:kern w:val="2"/>
      <w:sz w:val="24"/>
      <w:szCs w:val="24"/>
      <w:lang w:val="en-US" w:eastAsia="zh-CN" w:bidi="ar-SA"/>
    </w:rPr>
  </w:style>
  <w:style w:type="character" w:customStyle="1" w:styleId="2023">
    <w:name w:val="cucd-3 Char"/>
    <w:link w:val="2021"/>
    <w:autoRedefine/>
    <w:qFormat/>
    <w:uiPriority w:val="0"/>
    <w:rPr>
      <w:b/>
      <w:kern w:val="2"/>
      <w:sz w:val="28"/>
      <w:szCs w:val="24"/>
    </w:rPr>
  </w:style>
  <w:style w:type="paragraph" w:customStyle="1" w:styleId="2024">
    <w:name w:val="CM71"/>
    <w:basedOn w:val="1"/>
    <w:next w:val="1"/>
    <w:autoRedefine/>
    <w:qFormat/>
    <w:uiPriority w:val="0"/>
    <w:pPr>
      <w:autoSpaceDE w:val="0"/>
      <w:autoSpaceDN w:val="0"/>
      <w:adjustRightInd w:val="0"/>
      <w:snapToGrid/>
      <w:spacing w:line="240" w:lineRule="auto"/>
      <w:ind w:firstLine="0" w:firstLineChars="0"/>
    </w:pPr>
    <w:rPr>
      <w:rFonts w:ascii="宋体"/>
      <w:kern w:val="0"/>
    </w:rPr>
  </w:style>
  <w:style w:type="paragraph" w:customStyle="1" w:styleId="2025">
    <w:name w:val="CM19"/>
    <w:basedOn w:val="180"/>
    <w:next w:val="180"/>
    <w:autoRedefine/>
    <w:qFormat/>
    <w:uiPriority w:val="0"/>
    <w:pPr>
      <w:suppressAutoHyphens w:val="0"/>
      <w:adjustRightInd w:val="0"/>
      <w:textAlignment w:val="auto"/>
    </w:pPr>
    <w:rPr>
      <w:rFonts w:hAnsi="Times New Roman" w:cs="Times New Roman"/>
      <w:color w:val="auto"/>
    </w:rPr>
  </w:style>
  <w:style w:type="character" w:customStyle="1" w:styleId="2026">
    <w:name w:val="样式 样式1 + 首行缩进:  2 字符 Char"/>
    <w:autoRedefine/>
    <w:qFormat/>
    <w:uiPriority w:val="0"/>
    <w:rPr>
      <w:rFonts w:eastAsia="宋体" w:cs="宋体"/>
      <w:bCs/>
      <w:kern w:val="2"/>
      <w:sz w:val="24"/>
      <w:lang w:val="en-US" w:eastAsia="zh-CN" w:bidi="ar-SA"/>
    </w:rPr>
  </w:style>
  <w:style w:type="paragraph" w:customStyle="1" w:styleId="2027">
    <w:name w:val="bw1"/>
    <w:basedOn w:val="1"/>
    <w:autoRedefine/>
    <w:qFormat/>
    <w:uiPriority w:val="0"/>
    <w:pPr>
      <w:adjustRightInd w:val="0"/>
      <w:spacing w:line="240" w:lineRule="atLeast"/>
      <w:ind w:left="-57" w:right="-57" w:firstLine="0" w:firstLineChars="0"/>
      <w:jc w:val="center"/>
    </w:pPr>
    <w:rPr>
      <w:rFonts w:ascii="Arial Narrow" w:hAnsi="Arial Narrow" w:eastAsia="楷体_GB2312"/>
      <w:w w:val="90"/>
      <w:sz w:val="18"/>
      <w:szCs w:val="20"/>
    </w:rPr>
  </w:style>
  <w:style w:type="paragraph" w:customStyle="1" w:styleId="2028">
    <w:name w:val="样式 样式 样式1 + 首行缩进:  2 字符 + 首行缩进:  2 字符"/>
    <w:basedOn w:val="317"/>
    <w:autoRedefine/>
    <w:qFormat/>
    <w:uiPriority w:val="0"/>
    <w:pPr>
      <w:spacing w:line="440" w:lineRule="exact"/>
      <w:ind w:firstLine="480" w:firstLineChars="200"/>
    </w:pPr>
    <w:rPr>
      <w:rFonts w:cs="宋体"/>
      <w:szCs w:val="20"/>
    </w:rPr>
  </w:style>
  <w:style w:type="paragraph" w:customStyle="1" w:styleId="2029">
    <w:name w:val="3 Char Char Char Char Char Char Char Char Char1 Char Char Char Char"/>
    <w:basedOn w:val="1"/>
    <w:autoRedefine/>
    <w:qFormat/>
    <w:uiPriority w:val="0"/>
    <w:pPr>
      <w:ind w:firstLine="200"/>
      <w:jc w:val="both"/>
    </w:pPr>
    <w:rPr>
      <w:rFonts w:eastAsia="仿宋_GB2312"/>
    </w:rPr>
  </w:style>
  <w:style w:type="paragraph" w:customStyle="1" w:styleId="2030">
    <w:name w:val="标题2编号"/>
    <w:basedOn w:val="4"/>
    <w:next w:val="1"/>
    <w:autoRedefine/>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2031">
    <w:name w:val="纯咖啡正文"/>
    <w:autoRedefine/>
    <w:qFormat/>
    <w:uiPriority w:val="0"/>
    <w:pPr>
      <w:spacing w:line="360" w:lineRule="auto"/>
      <w:ind w:firstLine="200" w:firstLineChars="200"/>
    </w:pPr>
    <w:rPr>
      <w:rFonts w:ascii="宋体" w:hAnsi="Times New Roman" w:eastAsia="宋体" w:cs="Times New Roman"/>
      <w:bCs/>
      <w:sz w:val="24"/>
      <w:szCs w:val="24"/>
      <w:lang w:val="en-US" w:eastAsia="zh-CN" w:bidi="ar-SA"/>
    </w:rPr>
  </w:style>
  <w:style w:type="paragraph" w:customStyle="1" w:styleId="2032">
    <w:name w:val="正式"/>
    <w:basedOn w:val="1"/>
    <w:autoRedefine/>
    <w:qFormat/>
    <w:uiPriority w:val="0"/>
    <w:pPr>
      <w:snapToGrid/>
      <w:spacing w:beforeLines="50" w:afterLines="50"/>
      <w:ind w:firstLine="200"/>
    </w:pPr>
    <w:rPr>
      <w:rFonts w:hAnsi="宋体"/>
      <w:kern w:val="0"/>
      <w:szCs w:val="21"/>
    </w:rPr>
  </w:style>
  <w:style w:type="paragraph" w:customStyle="1" w:styleId="2033">
    <w:name w:val="BG"/>
    <w:basedOn w:val="1"/>
    <w:autoRedefine/>
    <w:qFormat/>
    <w:uiPriority w:val="0"/>
    <w:pPr>
      <w:snapToGrid/>
      <w:spacing w:line="240" w:lineRule="auto"/>
      <w:ind w:firstLine="0" w:firstLineChars="0"/>
      <w:jc w:val="center"/>
    </w:pPr>
    <w:rPr>
      <w:sz w:val="21"/>
      <w:szCs w:val="21"/>
    </w:rPr>
  </w:style>
  <w:style w:type="paragraph" w:customStyle="1" w:styleId="2034">
    <w:name w:val="标题51"/>
    <w:basedOn w:val="21"/>
    <w:autoRedefine/>
    <w:qFormat/>
    <w:uiPriority w:val="0"/>
    <w:pPr>
      <w:tabs>
        <w:tab w:val="left" w:pos="900"/>
      </w:tabs>
      <w:ind w:left="900" w:hanging="900" w:firstLineChars="0"/>
    </w:pPr>
    <w:rPr>
      <w:b/>
      <w:spacing w:val="10"/>
      <w:sz w:val="28"/>
    </w:rPr>
  </w:style>
  <w:style w:type="paragraph" w:customStyle="1" w:styleId="2035">
    <w:name w:val="a)"/>
    <w:basedOn w:val="1"/>
    <w:autoRedefine/>
    <w:qFormat/>
    <w:uiPriority w:val="0"/>
    <w:pPr>
      <w:adjustRightInd w:val="0"/>
      <w:snapToGrid/>
      <w:ind w:firstLine="567" w:firstLineChars="0"/>
      <w:jc w:val="both"/>
      <w:textAlignment w:val="baseline"/>
    </w:pPr>
    <w:rPr>
      <w:kern w:val="0"/>
      <w:sz w:val="28"/>
      <w:szCs w:val="20"/>
    </w:rPr>
  </w:style>
  <w:style w:type="paragraph" w:customStyle="1" w:styleId="2036">
    <w:name w:val="表样式2"/>
    <w:basedOn w:val="1"/>
    <w:autoRedefine/>
    <w:qFormat/>
    <w:uiPriority w:val="0"/>
    <w:pPr>
      <w:snapToGrid/>
      <w:spacing w:line="240" w:lineRule="auto"/>
      <w:ind w:firstLine="0" w:firstLineChars="0"/>
      <w:jc w:val="center"/>
    </w:pPr>
    <w:rPr>
      <w:rFonts w:ascii="宋体" w:hAnsi="宋体"/>
      <w:bCs/>
      <w:sz w:val="21"/>
    </w:rPr>
  </w:style>
  <w:style w:type="character" w:customStyle="1" w:styleId="2037">
    <w:name w:val="样式 宋体 四号"/>
    <w:autoRedefine/>
    <w:qFormat/>
    <w:uiPriority w:val="0"/>
    <w:rPr>
      <w:rFonts w:ascii="宋体" w:hAnsi="宋体"/>
      <w:sz w:val="24"/>
    </w:rPr>
  </w:style>
  <w:style w:type="paragraph" w:customStyle="1" w:styleId="2038">
    <w:name w:val="表格内容格式"/>
    <w:basedOn w:val="1"/>
    <w:autoRedefine/>
    <w:qFormat/>
    <w:uiPriority w:val="0"/>
    <w:pPr>
      <w:adjustRightInd w:val="0"/>
      <w:snapToGrid/>
      <w:spacing w:line="360" w:lineRule="exact"/>
      <w:ind w:firstLine="0" w:firstLineChars="0"/>
      <w:jc w:val="both"/>
      <w:textAlignment w:val="baseline"/>
    </w:pPr>
    <w:rPr>
      <w:rFonts w:hAnsi="宋体"/>
      <w:snapToGrid w:val="0"/>
      <w:color w:val="000000"/>
      <w:kern w:val="0"/>
      <w:sz w:val="21"/>
      <w:szCs w:val="21"/>
    </w:rPr>
  </w:style>
  <w:style w:type="character" w:customStyle="1" w:styleId="2039">
    <w:name w:val="tit2"/>
    <w:autoRedefine/>
    <w:qFormat/>
    <w:uiPriority w:val="0"/>
    <w:rPr>
      <w:rFonts w:hint="default"/>
      <w:b/>
      <w:bCs/>
      <w:spacing w:val="432"/>
      <w:sz w:val="48"/>
      <w:szCs w:val="48"/>
    </w:rPr>
  </w:style>
  <w:style w:type="paragraph" w:customStyle="1" w:styleId="2040">
    <w:name w:val="正文样式"/>
    <w:basedOn w:val="1"/>
    <w:link w:val="2041"/>
    <w:autoRedefine/>
    <w:qFormat/>
    <w:uiPriority w:val="0"/>
    <w:pPr>
      <w:snapToGrid/>
      <w:jc w:val="both"/>
    </w:pPr>
    <w:rPr>
      <w:rFonts w:ascii="宋体" w:hAnsi="宋体"/>
      <w:color w:val="000000"/>
    </w:rPr>
  </w:style>
  <w:style w:type="character" w:customStyle="1" w:styleId="2041">
    <w:name w:val="正文样式 Char1"/>
    <w:link w:val="2040"/>
    <w:autoRedefine/>
    <w:qFormat/>
    <w:uiPriority w:val="0"/>
    <w:rPr>
      <w:rFonts w:ascii="宋体" w:hAnsi="宋体"/>
      <w:color w:val="000000"/>
      <w:kern w:val="2"/>
      <w:sz w:val="24"/>
      <w:szCs w:val="24"/>
    </w:rPr>
  </w:style>
  <w:style w:type="paragraph" w:customStyle="1" w:styleId="2042">
    <w:name w:val="PSPSPSPS"/>
    <w:basedOn w:val="1"/>
    <w:autoRedefine/>
    <w:qFormat/>
    <w:uiPriority w:val="0"/>
    <w:pPr>
      <w:adjustRightInd w:val="0"/>
      <w:snapToGrid/>
      <w:spacing w:line="600" w:lineRule="atLeast"/>
      <w:ind w:firstLine="0" w:firstLineChars="0"/>
      <w:jc w:val="both"/>
      <w:textAlignment w:val="baseline"/>
    </w:pPr>
    <w:rPr>
      <w:kern w:val="0"/>
      <w:sz w:val="28"/>
      <w:szCs w:val="20"/>
    </w:rPr>
  </w:style>
  <w:style w:type="paragraph" w:customStyle="1" w:styleId="2043">
    <w:name w:val="样式 样式 样式 样式1 + 首行缩进:  2 字符 + 首行缩进:  2 字符 + 四号 首行缩进:  2 字符"/>
    <w:basedOn w:val="2028"/>
    <w:autoRedefine/>
    <w:qFormat/>
    <w:uiPriority w:val="0"/>
    <w:pPr>
      <w:ind w:firstLine="560"/>
    </w:pPr>
    <w:rPr>
      <w:sz w:val="28"/>
    </w:rPr>
  </w:style>
  <w:style w:type="character" w:customStyle="1" w:styleId="2044">
    <w:name w:val="style6"/>
    <w:autoRedefine/>
    <w:qFormat/>
    <w:uiPriority w:val="0"/>
  </w:style>
  <w:style w:type="character" w:customStyle="1" w:styleId="2045">
    <w:name w:val="样式 样式 样式1 + 首行缩进:  2 字符 + 首行缩进:  2 字符 Char"/>
    <w:autoRedefine/>
    <w:qFormat/>
    <w:uiPriority w:val="0"/>
    <w:rPr>
      <w:rFonts w:eastAsia="宋体" w:cs="宋体"/>
      <w:bCs/>
      <w:kern w:val="2"/>
      <w:sz w:val="24"/>
      <w:lang w:val="en-US" w:eastAsia="zh-CN" w:bidi="ar-SA"/>
    </w:rPr>
  </w:style>
  <w:style w:type="paragraph" w:customStyle="1" w:styleId="2046">
    <w:name w:val="bt1"/>
    <w:basedOn w:val="1"/>
    <w:autoRedefine/>
    <w:qFormat/>
    <w:uiPriority w:val="0"/>
    <w:pPr>
      <w:adjustRightInd w:val="0"/>
      <w:spacing w:beforeLines="75" w:line="500" w:lineRule="exact"/>
      <w:ind w:firstLine="0" w:firstLineChars="0"/>
      <w:jc w:val="center"/>
    </w:pPr>
    <w:rPr>
      <w:rFonts w:ascii="Arial Narrow" w:hAnsi="Arial Narrow" w:eastAsia="黑体" w:cs="Arial Narrow"/>
      <w:color w:val="000000"/>
      <w:kern w:val="27"/>
      <w:sz w:val="26"/>
      <w:szCs w:val="26"/>
    </w:rPr>
  </w:style>
  <w:style w:type="character" w:customStyle="1" w:styleId="2047">
    <w:name w:val="样式 样式1 + 首行缩进:  2 字符 Char2"/>
    <w:autoRedefine/>
    <w:qFormat/>
    <w:uiPriority w:val="0"/>
    <w:rPr>
      <w:rFonts w:eastAsia="宋体" w:cs="宋体"/>
      <w:bCs/>
      <w:kern w:val="2"/>
      <w:sz w:val="24"/>
      <w:lang w:val="en-US" w:eastAsia="zh-CN" w:bidi="ar-SA"/>
    </w:rPr>
  </w:style>
  <w:style w:type="paragraph" w:customStyle="1" w:styleId="2048">
    <w:name w:val="表图标题"/>
    <w:basedOn w:val="1"/>
    <w:autoRedefine/>
    <w:qFormat/>
    <w:uiPriority w:val="0"/>
    <w:pPr>
      <w:snapToGrid/>
      <w:spacing w:line="240" w:lineRule="exact"/>
      <w:ind w:firstLine="0" w:firstLineChars="0"/>
      <w:jc w:val="center"/>
    </w:pPr>
    <w:rPr>
      <w:sz w:val="18"/>
      <w:szCs w:val="18"/>
    </w:rPr>
  </w:style>
  <w:style w:type="paragraph" w:customStyle="1" w:styleId="2049">
    <w:name w:val="style0"/>
    <w:basedOn w:val="1"/>
    <w:autoRedefine/>
    <w:qFormat/>
    <w:uiPriority w:val="0"/>
    <w:pPr>
      <w:widowControl/>
      <w:snapToGrid/>
      <w:spacing w:beforeAutospacing="1" w:afterAutospacing="1" w:line="240" w:lineRule="auto"/>
      <w:ind w:firstLine="0" w:firstLineChars="0"/>
      <w:textAlignment w:val="bottom"/>
    </w:pPr>
    <w:rPr>
      <w:kern w:val="0"/>
    </w:rPr>
  </w:style>
  <w:style w:type="character" w:customStyle="1" w:styleId="2050">
    <w:name w:val="hei1"/>
    <w:autoRedefine/>
    <w:qFormat/>
    <w:uiPriority w:val="0"/>
    <w:rPr>
      <w:spacing w:val="405"/>
      <w:sz w:val="20"/>
      <w:szCs w:val="20"/>
    </w:rPr>
  </w:style>
  <w:style w:type="paragraph" w:customStyle="1" w:styleId="2051">
    <w:name w:val="表号1"/>
    <w:basedOn w:val="1"/>
    <w:autoRedefine/>
    <w:qFormat/>
    <w:uiPriority w:val="0"/>
    <w:pPr>
      <w:snapToGrid/>
      <w:spacing w:line="240" w:lineRule="auto"/>
      <w:ind w:firstLine="0" w:firstLineChars="0"/>
    </w:pPr>
    <w:rPr>
      <w:color w:val="000000"/>
      <w:sz w:val="21"/>
      <w:szCs w:val="20"/>
    </w:rPr>
  </w:style>
  <w:style w:type="paragraph" w:customStyle="1" w:styleId="2052">
    <w:name w:val="表格左对齐"/>
    <w:basedOn w:val="35"/>
    <w:autoRedefine/>
    <w:qFormat/>
    <w:uiPriority w:val="0"/>
    <w:pPr>
      <w:adjustRightInd w:val="0"/>
      <w:snapToGrid/>
      <w:spacing w:line="240" w:lineRule="auto"/>
      <w:ind w:left="0" w:leftChars="0" w:firstLine="0" w:firstLineChars="0"/>
      <w:textAlignment w:val="baseline"/>
    </w:pPr>
    <w:rPr>
      <w:sz w:val="21"/>
    </w:rPr>
  </w:style>
  <w:style w:type="paragraph" w:customStyle="1" w:styleId="2053">
    <w:name w:val="表头编号"/>
    <w:basedOn w:val="1"/>
    <w:autoRedefine/>
    <w:qFormat/>
    <w:uiPriority w:val="0"/>
    <w:pPr>
      <w:tabs>
        <w:tab w:val="left" w:pos="8610"/>
        <w:tab w:val="left" w:pos="8820"/>
      </w:tabs>
      <w:snapToGrid/>
      <w:spacing w:line="240" w:lineRule="atLeast"/>
      <w:ind w:right="3" w:firstLine="0" w:firstLineChars="0"/>
      <w:jc w:val="center"/>
    </w:pPr>
    <w:rPr>
      <w:b/>
      <w:szCs w:val="20"/>
    </w:rPr>
  </w:style>
  <w:style w:type="paragraph" w:customStyle="1" w:styleId="2054">
    <w:name w:val="多文字表"/>
    <w:basedOn w:val="1432"/>
    <w:autoRedefine/>
    <w:qFormat/>
    <w:uiPriority w:val="0"/>
    <w:pPr>
      <w:adjustRightInd/>
      <w:snapToGrid/>
      <w:spacing w:line="360" w:lineRule="auto"/>
      <w:ind w:firstLine="200"/>
      <w:jc w:val="both"/>
    </w:pPr>
    <w:rPr>
      <w:bCs w:val="0"/>
      <w:sz w:val="18"/>
      <w:szCs w:val="20"/>
    </w:rPr>
  </w:style>
  <w:style w:type="paragraph" w:customStyle="1" w:styleId="2055">
    <w:name w:val="黑宋体"/>
    <w:basedOn w:val="6"/>
    <w:autoRedefine/>
    <w:qFormat/>
    <w:uiPriority w:val="0"/>
    <w:pPr>
      <w:keepNext/>
      <w:keepLines/>
      <w:numPr>
        <w:ilvl w:val="0"/>
        <w:numId w:val="0"/>
      </w:numPr>
      <w:snapToGrid/>
      <w:spacing w:before="280" w:beforeLines="10" w:after="290" w:afterLines="10" w:line="376" w:lineRule="auto"/>
      <w:ind w:left="864" w:hanging="144" w:firstLineChars="200"/>
      <w:jc w:val="both"/>
    </w:pPr>
    <w:rPr>
      <w:rFonts w:ascii="Cambria" w:hAnsi="Cambria"/>
      <w:sz w:val="28"/>
      <w:szCs w:val="28"/>
    </w:rPr>
  </w:style>
  <w:style w:type="paragraph" w:customStyle="1" w:styleId="2056">
    <w:name w:val="数字表格"/>
    <w:basedOn w:val="1"/>
    <w:autoRedefine/>
    <w:qFormat/>
    <w:uiPriority w:val="0"/>
    <w:pPr>
      <w:snapToGrid/>
      <w:spacing w:beforeLines="10" w:afterLines="10"/>
      <w:ind w:firstLine="200"/>
      <w:jc w:val="both"/>
    </w:pPr>
    <w:rPr>
      <w:szCs w:val="22"/>
    </w:rPr>
  </w:style>
  <w:style w:type="paragraph" w:customStyle="1" w:styleId="2057">
    <w:name w:val="图文1"/>
    <w:basedOn w:val="287"/>
    <w:autoRedefine/>
    <w:qFormat/>
    <w:uiPriority w:val="0"/>
    <w:pPr>
      <w:tabs>
        <w:tab w:val="clear" w:pos="4060"/>
        <w:tab w:val="clear" w:pos="8261"/>
      </w:tabs>
      <w:suppressAutoHyphens w:val="0"/>
      <w:snapToGrid w:val="0"/>
      <w:spacing w:line="440" w:lineRule="exact"/>
      <w:ind w:firstLine="0" w:firstLineChars="0"/>
      <w:jc w:val="center"/>
    </w:pPr>
    <w:rPr>
      <w:bCs/>
      <w:spacing w:val="8"/>
      <w:kern w:val="2"/>
      <w:sz w:val="28"/>
      <w:szCs w:val="21"/>
    </w:rPr>
  </w:style>
  <w:style w:type="paragraph" w:customStyle="1" w:styleId="2058">
    <w:name w:val="正文2000"/>
    <w:basedOn w:val="1"/>
    <w:autoRedefine/>
    <w:qFormat/>
    <w:uiPriority w:val="0"/>
    <w:pPr>
      <w:snapToGrid/>
      <w:ind w:firstLine="0" w:firstLineChars="0"/>
      <w:jc w:val="both"/>
    </w:pPr>
    <w:rPr>
      <w:rFonts w:ascii="宋体" w:hAnsi="宋体"/>
      <w:b/>
      <w:szCs w:val="20"/>
    </w:rPr>
  </w:style>
  <w:style w:type="paragraph" w:customStyle="1" w:styleId="2059">
    <w:name w:val="表框1"/>
    <w:basedOn w:val="1"/>
    <w:autoRedefine/>
    <w:qFormat/>
    <w:uiPriority w:val="0"/>
    <w:pPr>
      <w:pBdr>
        <w:top w:val="single" w:color="auto" w:sz="12" w:space="1"/>
        <w:left w:val="single" w:color="auto" w:sz="12" w:space="1"/>
        <w:bottom w:val="single" w:color="auto" w:sz="12" w:space="1"/>
        <w:right w:val="single" w:color="auto" w:sz="12" w:space="1"/>
      </w:pBdr>
      <w:snapToGrid/>
      <w:ind w:firstLine="0" w:firstLineChars="0"/>
    </w:pPr>
    <w:rPr>
      <w:szCs w:val="20"/>
    </w:rPr>
  </w:style>
  <w:style w:type="paragraph" w:customStyle="1" w:styleId="2060">
    <w:name w:val="表框2"/>
    <w:basedOn w:val="1"/>
    <w:autoRedefine/>
    <w:qFormat/>
    <w:uiPriority w:val="0"/>
    <w:pPr>
      <w:framePr w:hSpace="181" w:vSpace="181" w:wrap="notBeside" w:vAnchor="text" w:hAnchor="text" w:y="1"/>
      <w:pBdr>
        <w:top w:val="single" w:color="auto" w:sz="4" w:space="1"/>
        <w:left w:val="single" w:color="auto" w:sz="4" w:space="4"/>
        <w:bottom w:val="single" w:color="auto" w:sz="4" w:space="1"/>
        <w:right w:val="single" w:color="auto" w:sz="4" w:space="4"/>
      </w:pBdr>
      <w:snapToGrid/>
      <w:ind w:firstLine="0" w:firstLineChars="0"/>
    </w:pPr>
    <w:rPr>
      <w:szCs w:val="20"/>
    </w:rPr>
  </w:style>
  <w:style w:type="paragraph" w:customStyle="1" w:styleId="2061">
    <w:name w:val="PP 行"/>
    <w:basedOn w:val="58"/>
    <w:autoRedefine/>
    <w:qFormat/>
    <w:uiPriority w:val="0"/>
    <w:pPr>
      <w:spacing w:line="360" w:lineRule="auto"/>
      <w:ind w:left="0" w:leftChars="0" w:firstLine="200"/>
      <w:jc w:val="left"/>
    </w:pPr>
    <w:rPr>
      <w:sz w:val="24"/>
      <w:szCs w:val="20"/>
    </w:rPr>
  </w:style>
  <w:style w:type="paragraph" w:customStyle="1" w:styleId="2062">
    <w:name w:val="样式 标题 3 + 浅蓝1"/>
    <w:basedOn w:val="5"/>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2063">
    <w:name w:val="表biao"/>
    <w:basedOn w:val="1"/>
    <w:autoRedefine/>
    <w:qFormat/>
    <w:uiPriority w:val="0"/>
    <w:pPr>
      <w:snapToGrid/>
      <w:spacing w:line="280" w:lineRule="exact"/>
      <w:ind w:firstLine="0" w:firstLineChars="0"/>
      <w:jc w:val="center"/>
    </w:pPr>
    <w:rPr>
      <w:sz w:val="21"/>
      <w:szCs w:val="21"/>
    </w:rPr>
  </w:style>
  <w:style w:type="paragraph" w:customStyle="1" w:styleId="2064">
    <w:name w:val="!正文(alt+c)"/>
    <w:autoRedefine/>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2065">
    <w:name w:val="!表格(alt+t)"/>
    <w:next w:val="2064"/>
    <w:autoRedefine/>
    <w:qFormat/>
    <w:uiPriority w:val="0"/>
    <w:pPr>
      <w:adjustRightInd w:val="0"/>
      <w:spacing w:line="360" w:lineRule="exact"/>
      <w:jc w:val="center"/>
      <w:textAlignment w:val="center"/>
    </w:pPr>
    <w:rPr>
      <w:rFonts w:ascii="Times New Roman" w:hAnsi="Times New Roman" w:eastAsia="宋体" w:cs="Times New Roman"/>
      <w:sz w:val="21"/>
      <w:szCs w:val="18"/>
      <w:lang w:val="en-US" w:eastAsia="zh-CN" w:bidi="ar-SA"/>
    </w:rPr>
  </w:style>
  <w:style w:type="paragraph" w:customStyle="1" w:styleId="2066">
    <w:name w:val="!章名(alt+m)"/>
    <w:next w:val="1"/>
    <w:autoRedefine/>
    <w:qFormat/>
    <w:uiPriority w:val="0"/>
    <w:pPr>
      <w:spacing w:line="500" w:lineRule="exact"/>
      <w:jc w:val="center"/>
      <w:outlineLvl w:val="0"/>
    </w:pPr>
    <w:rPr>
      <w:rFonts w:ascii="Arial" w:hAnsi="Arial" w:eastAsia="黑体" w:cs="Times New Roman"/>
      <w:spacing w:val="-5"/>
      <w:sz w:val="32"/>
      <w:szCs w:val="32"/>
      <w:lang w:val="en-US" w:eastAsia="zh-CN" w:bidi="ar-SA"/>
    </w:rPr>
  </w:style>
  <w:style w:type="paragraph" w:customStyle="1" w:styleId="2067">
    <w:name w:val="文章副标题"/>
    <w:basedOn w:val="1"/>
    <w:next w:val="3"/>
    <w:autoRedefine/>
    <w:qFormat/>
    <w:uiPriority w:val="0"/>
    <w:pPr>
      <w:widowControl/>
      <w:snapToGrid/>
      <w:spacing w:line="374" w:lineRule="atLeast"/>
      <w:ind w:firstLine="0" w:firstLineChars="0"/>
      <w:jc w:val="center"/>
      <w:textAlignment w:val="baseline"/>
    </w:pPr>
    <w:rPr>
      <w:color w:val="000000"/>
      <w:kern w:val="0"/>
      <w:sz w:val="36"/>
      <w:szCs w:val="20"/>
      <w:u w:color="000000"/>
    </w:rPr>
  </w:style>
  <w:style w:type="paragraph" w:customStyle="1" w:styleId="2068">
    <w:name w:val="标题 12"/>
    <w:basedOn w:val="1"/>
    <w:next w:val="2069"/>
    <w:autoRedefine/>
    <w:qFormat/>
    <w:uiPriority w:val="0"/>
    <w:pPr>
      <w:widowControl/>
      <w:snapToGrid/>
      <w:spacing w:line="788" w:lineRule="atLeast"/>
      <w:ind w:firstLine="0" w:firstLineChars="0"/>
      <w:jc w:val="center"/>
      <w:textAlignment w:val="baseline"/>
    </w:pPr>
    <w:rPr>
      <w:rFonts w:ascii="Arial" w:eastAsia="黑体"/>
      <w:color w:val="000000"/>
      <w:kern w:val="0"/>
      <w:sz w:val="31"/>
      <w:szCs w:val="20"/>
      <w:u w:color="000000"/>
    </w:rPr>
  </w:style>
  <w:style w:type="paragraph" w:customStyle="1" w:styleId="2069">
    <w:name w:val="标题 22"/>
    <w:basedOn w:val="1"/>
    <w:next w:val="1"/>
    <w:autoRedefine/>
    <w:qFormat/>
    <w:uiPriority w:val="0"/>
    <w:pPr>
      <w:widowControl/>
      <w:snapToGrid/>
      <w:spacing w:line="1054" w:lineRule="atLeast"/>
      <w:ind w:firstLine="419" w:firstLineChars="0"/>
      <w:jc w:val="both"/>
      <w:textAlignment w:val="baseline"/>
    </w:pPr>
    <w:rPr>
      <w:rFonts w:ascii="Arial" w:eastAsia="黑体"/>
      <w:color w:val="000000"/>
      <w:kern w:val="0"/>
      <w:sz w:val="30"/>
      <w:szCs w:val="20"/>
      <w:u w:color="000000"/>
    </w:rPr>
  </w:style>
  <w:style w:type="paragraph" w:customStyle="1" w:styleId="2070">
    <w:name w:val="标题 32"/>
    <w:basedOn w:val="1"/>
    <w:autoRedefine/>
    <w:qFormat/>
    <w:uiPriority w:val="0"/>
    <w:pPr>
      <w:widowControl/>
      <w:snapToGrid/>
      <w:spacing w:line="640" w:lineRule="atLeast"/>
      <w:ind w:firstLine="419" w:firstLineChars="0"/>
      <w:jc w:val="both"/>
      <w:textAlignment w:val="baseline"/>
    </w:pPr>
    <w:rPr>
      <w:color w:val="000000"/>
      <w:kern w:val="0"/>
      <w:sz w:val="28"/>
      <w:szCs w:val="20"/>
      <w:u w:color="000000"/>
    </w:rPr>
  </w:style>
  <w:style w:type="paragraph" w:customStyle="1" w:styleId="2071">
    <w:name w:val="标题 61"/>
    <w:basedOn w:val="1"/>
    <w:next w:val="1"/>
    <w:autoRedefine/>
    <w:qFormat/>
    <w:uiPriority w:val="0"/>
    <w:pPr>
      <w:widowControl/>
      <w:snapToGrid/>
      <w:spacing w:line="606" w:lineRule="atLeast"/>
      <w:ind w:firstLine="419" w:firstLineChars="0"/>
      <w:jc w:val="both"/>
      <w:textAlignment w:val="baseline"/>
    </w:pPr>
    <w:rPr>
      <w:color w:val="000000"/>
      <w:kern w:val="0"/>
      <w:szCs w:val="20"/>
      <w:u w:color="000000"/>
    </w:rPr>
  </w:style>
  <w:style w:type="paragraph" w:customStyle="1" w:styleId="2072">
    <w:name w:val="标题 71"/>
    <w:basedOn w:val="1"/>
    <w:next w:val="1"/>
    <w:autoRedefine/>
    <w:qFormat/>
    <w:uiPriority w:val="0"/>
    <w:pPr>
      <w:widowControl/>
      <w:snapToGrid/>
      <w:spacing w:line="606" w:lineRule="atLeast"/>
      <w:ind w:firstLine="419" w:firstLineChars="0"/>
      <w:jc w:val="both"/>
      <w:textAlignment w:val="baseline"/>
    </w:pPr>
    <w:rPr>
      <w:color w:val="000000"/>
      <w:kern w:val="0"/>
      <w:szCs w:val="20"/>
      <w:u w:color="000000"/>
    </w:rPr>
  </w:style>
  <w:style w:type="paragraph" w:customStyle="1" w:styleId="2073">
    <w:name w:val="标题 81"/>
    <w:basedOn w:val="1"/>
    <w:next w:val="1"/>
    <w:autoRedefine/>
    <w:qFormat/>
    <w:uiPriority w:val="0"/>
    <w:pPr>
      <w:widowControl/>
      <w:snapToGrid/>
      <w:spacing w:line="606" w:lineRule="atLeast"/>
      <w:ind w:firstLine="419" w:firstLineChars="0"/>
      <w:jc w:val="both"/>
      <w:textAlignment w:val="baseline"/>
    </w:pPr>
    <w:rPr>
      <w:color w:val="000000"/>
      <w:kern w:val="0"/>
      <w:szCs w:val="20"/>
      <w:u w:color="000000"/>
    </w:rPr>
  </w:style>
  <w:style w:type="paragraph" w:customStyle="1" w:styleId="2074">
    <w:name w:val="标题 91"/>
    <w:basedOn w:val="1"/>
    <w:next w:val="1"/>
    <w:qFormat/>
    <w:uiPriority w:val="0"/>
    <w:pPr>
      <w:widowControl/>
      <w:snapToGrid/>
      <w:spacing w:line="606" w:lineRule="atLeast"/>
      <w:ind w:firstLine="419" w:firstLineChars="0"/>
      <w:jc w:val="both"/>
      <w:textAlignment w:val="baseline"/>
    </w:pPr>
    <w:rPr>
      <w:color w:val="000000"/>
      <w:kern w:val="0"/>
      <w:szCs w:val="20"/>
      <w:u w:color="000000"/>
    </w:rPr>
  </w:style>
  <w:style w:type="character" w:customStyle="1" w:styleId="2075">
    <w:name w:val="默认段落字体1"/>
    <w:autoRedefine/>
    <w:semiHidden/>
    <w:qFormat/>
    <w:uiPriority w:val="0"/>
    <w:rPr>
      <w:rFonts w:ascii="Times New Roman" w:eastAsia="宋体"/>
      <w:color w:val="000000"/>
      <w:spacing w:val="0"/>
      <w:w w:val="100"/>
      <w:sz w:val="21"/>
      <w:u w:val="none" w:color="000000"/>
      <w:vertAlign w:val="baseline"/>
      <w:lang w:val="en-US" w:eastAsia="zh-CN"/>
    </w:rPr>
  </w:style>
  <w:style w:type="paragraph" w:customStyle="1" w:styleId="2076">
    <w:name w:val="图形中文字"/>
    <w:basedOn w:val="1"/>
    <w:autoRedefine/>
    <w:qFormat/>
    <w:uiPriority w:val="0"/>
    <w:pPr>
      <w:widowControl/>
      <w:snapToGrid/>
      <w:spacing w:line="606" w:lineRule="atLeast"/>
      <w:ind w:firstLine="419" w:firstLineChars="0"/>
      <w:jc w:val="center"/>
      <w:textAlignment w:val="baseline"/>
    </w:pPr>
    <w:rPr>
      <w:rFonts w:ascii="宋体"/>
      <w:color w:val="000000"/>
      <w:kern w:val="0"/>
      <w:szCs w:val="20"/>
      <w:u w:color="000000"/>
    </w:rPr>
  </w:style>
  <w:style w:type="paragraph" w:customStyle="1" w:styleId="2077">
    <w:name w:val="font14"/>
    <w:basedOn w:val="1"/>
    <w:autoRedefine/>
    <w:qFormat/>
    <w:uiPriority w:val="0"/>
    <w:pPr>
      <w:widowControl/>
      <w:snapToGrid/>
      <w:spacing w:line="351" w:lineRule="atLeast"/>
      <w:ind w:firstLine="419" w:firstLineChars="0"/>
      <w:textAlignment w:val="baseline"/>
    </w:pPr>
    <w:rPr>
      <w:rFonts w:ascii="宋体"/>
      <w:color w:val="00FF00"/>
      <w:kern w:val="0"/>
      <w:sz w:val="21"/>
      <w:szCs w:val="20"/>
      <w:u w:color="000000"/>
    </w:rPr>
  </w:style>
  <w:style w:type="paragraph" w:customStyle="1" w:styleId="2078">
    <w:name w:val="font15"/>
    <w:basedOn w:val="1"/>
    <w:autoRedefine/>
    <w:qFormat/>
    <w:uiPriority w:val="0"/>
    <w:pPr>
      <w:widowControl/>
      <w:snapToGrid/>
      <w:spacing w:line="351" w:lineRule="atLeast"/>
      <w:ind w:firstLine="419" w:firstLineChars="0"/>
      <w:textAlignment w:val="baseline"/>
    </w:pPr>
    <w:rPr>
      <w:color w:val="00FF00"/>
      <w:kern w:val="0"/>
      <w:sz w:val="21"/>
      <w:szCs w:val="20"/>
      <w:u w:color="000000"/>
    </w:rPr>
  </w:style>
  <w:style w:type="paragraph" w:customStyle="1" w:styleId="2079">
    <w:name w:val="font16"/>
    <w:basedOn w:val="1"/>
    <w:autoRedefine/>
    <w:qFormat/>
    <w:uiPriority w:val="0"/>
    <w:pPr>
      <w:widowControl/>
      <w:snapToGrid/>
      <w:spacing w:line="351" w:lineRule="atLeast"/>
      <w:ind w:firstLine="419" w:firstLineChars="0"/>
      <w:textAlignment w:val="baseline"/>
    </w:pPr>
    <w:rPr>
      <w:color w:val="000000"/>
      <w:kern w:val="0"/>
      <w:sz w:val="21"/>
      <w:szCs w:val="20"/>
      <w:u w:color="000000"/>
    </w:rPr>
  </w:style>
  <w:style w:type="paragraph" w:customStyle="1" w:styleId="2080">
    <w:name w:val="图表头"/>
    <w:basedOn w:val="1"/>
    <w:next w:val="1"/>
    <w:qFormat/>
    <w:uiPriority w:val="0"/>
    <w:pPr>
      <w:widowControl/>
      <w:snapToGrid/>
      <w:spacing w:line="708" w:lineRule="atLeast"/>
      <w:ind w:firstLine="419" w:firstLineChars="0"/>
      <w:jc w:val="center"/>
      <w:textAlignment w:val="baseline"/>
    </w:pPr>
    <w:rPr>
      <w:rFonts w:ascii="宋体"/>
      <w:b/>
      <w:color w:val="000000"/>
      <w:kern w:val="0"/>
      <w:szCs w:val="20"/>
      <w:u w:color="000000"/>
    </w:rPr>
  </w:style>
  <w:style w:type="paragraph" w:customStyle="1" w:styleId="2081">
    <w:name w:val="表格_dg"/>
    <w:basedOn w:val="1"/>
    <w:autoRedefine/>
    <w:uiPriority w:val="0"/>
    <w:pPr>
      <w:widowControl/>
      <w:snapToGrid/>
      <w:spacing w:line="572" w:lineRule="atLeast"/>
      <w:ind w:firstLine="419" w:firstLineChars="0"/>
      <w:jc w:val="center"/>
      <w:textAlignment w:val="center"/>
    </w:pPr>
    <w:rPr>
      <w:rFonts w:ascii="宋体"/>
      <w:color w:val="000000"/>
      <w:kern w:val="0"/>
      <w:sz w:val="21"/>
      <w:szCs w:val="20"/>
      <w:u w:color="000000"/>
    </w:rPr>
  </w:style>
  <w:style w:type="paragraph" w:customStyle="1" w:styleId="2082">
    <w:name w:val="!标题1(alt+1)"/>
    <w:basedOn w:val="2066"/>
    <w:next w:val="1"/>
    <w:autoRedefine/>
    <w:qFormat/>
    <w:uiPriority w:val="0"/>
    <w:pPr>
      <w:spacing w:line="440" w:lineRule="exact"/>
      <w:jc w:val="both"/>
      <w:outlineLvl w:val="9"/>
    </w:pPr>
    <w:rPr>
      <w:rFonts w:ascii="Times New Roman" w:hAnsi="Times New Roman" w:eastAsia="宋体"/>
      <w:b/>
      <w:sz w:val="24"/>
    </w:rPr>
  </w:style>
  <w:style w:type="paragraph" w:customStyle="1" w:styleId="2083">
    <w:name w:val="!标题2(alt+2)"/>
    <w:next w:val="1"/>
    <w:qFormat/>
    <w:uiPriority w:val="0"/>
    <w:pPr>
      <w:jc w:val="both"/>
    </w:pPr>
    <w:rPr>
      <w:rFonts w:ascii="Times New Roman" w:hAnsi="Times New Roman" w:eastAsia="宋体" w:cs="Times New Roman"/>
      <w:b/>
      <w:bCs/>
      <w:color w:val="000000"/>
      <w:sz w:val="24"/>
      <w:szCs w:val="24"/>
      <w:lang w:val="en-US" w:eastAsia="zh-CN" w:bidi="ar-SA"/>
    </w:rPr>
  </w:style>
  <w:style w:type="character" w:customStyle="1" w:styleId="2084">
    <w:name w:val="!标题2(alt+2) Char Char"/>
    <w:autoRedefine/>
    <w:qFormat/>
    <w:uiPriority w:val="0"/>
    <w:rPr>
      <w:rFonts w:eastAsia="宋体"/>
      <w:kern w:val="2"/>
      <w:sz w:val="30"/>
      <w:szCs w:val="30"/>
      <w:lang w:val="en-US" w:eastAsia="zh-CN" w:bidi="ar-SA"/>
    </w:rPr>
  </w:style>
  <w:style w:type="paragraph" w:customStyle="1" w:styleId="2085">
    <w:name w:val="!标题3(alt+3)"/>
    <w:next w:val="1"/>
    <w:uiPriority w:val="0"/>
    <w:pPr>
      <w:spacing w:before="120" w:after="80" w:line="500" w:lineRule="exact"/>
      <w:outlineLvl w:val="2"/>
    </w:pPr>
    <w:rPr>
      <w:rFonts w:ascii="Times New Roman" w:hAnsi="Times New Roman" w:eastAsia="黑体" w:cs="Times New Roman"/>
      <w:kern w:val="2"/>
      <w:sz w:val="24"/>
      <w:szCs w:val="24"/>
      <w:lang w:val="en-US" w:eastAsia="zh-CN" w:bidi="ar-SA"/>
    </w:rPr>
  </w:style>
  <w:style w:type="character" w:customStyle="1" w:styleId="2086">
    <w:name w:val="!标题3(alt+3) Char Char"/>
    <w:uiPriority w:val="0"/>
    <w:rPr>
      <w:rFonts w:eastAsia="黑体"/>
      <w:kern w:val="2"/>
      <w:sz w:val="24"/>
      <w:szCs w:val="24"/>
      <w:lang w:val="en-US" w:eastAsia="zh-CN" w:bidi="ar-SA"/>
    </w:rPr>
  </w:style>
  <w:style w:type="paragraph" w:customStyle="1" w:styleId="2087">
    <w:name w:val="!标题4(alt+4)"/>
    <w:basedOn w:val="1"/>
    <w:autoRedefine/>
    <w:qFormat/>
    <w:uiPriority w:val="0"/>
    <w:pPr>
      <w:tabs>
        <w:tab w:val="left" w:pos="1825"/>
      </w:tabs>
      <w:snapToGrid/>
      <w:spacing w:line="420" w:lineRule="exact"/>
      <w:ind w:left="1825" w:hanging="420" w:firstLineChars="0"/>
      <w:jc w:val="both"/>
      <w:outlineLvl w:val="3"/>
    </w:pPr>
  </w:style>
  <w:style w:type="paragraph" w:customStyle="1" w:styleId="2088">
    <w:name w:val="!表标题(alt+h)"/>
    <w:next w:val="1"/>
    <w:autoRedefine/>
    <w:qFormat/>
    <w:uiPriority w:val="0"/>
    <w:pPr>
      <w:spacing w:after="78" w:line="440" w:lineRule="exact"/>
      <w:ind w:firstLine="480" w:firstLineChars="200"/>
      <w:jc w:val="center"/>
    </w:pPr>
    <w:rPr>
      <w:rFonts w:ascii="黑体" w:hAnsi="黑体" w:eastAsia="黑体" w:cs="Times New Roman"/>
      <w:bCs/>
      <w:sz w:val="24"/>
      <w:szCs w:val="28"/>
      <w:lang w:val="en-US" w:eastAsia="zh-CN" w:bidi="ar-SA"/>
    </w:rPr>
  </w:style>
  <w:style w:type="character" w:customStyle="1" w:styleId="2089">
    <w:name w:val="!表标题(alt+h) Char"/>
    <w:autoRedefine/>
    <w:qFormat/>
    <w:uiPriority w:val="0"/>
    <w:rPr>
      <w:rFonts w:eastAsia="黑体"/>
      <w:sz w:val="24"/>
      <w:szCs w:val="24"/>
      <w:lang w:val="en-US" w:eastAsia="zh-CN" w:bidi="ar-SA"/>
    </w:rPr>
  </w:style>
  <w:style w:type="character" w:customStyle="1" w:styleId="2090">
    <w:name w:val="!表格(alt+t) Char"/>
    <w:autoRedefine/>
    <w:qFormat/>
    <w:uiPriority w:val="0"/>
    <w:rPr>
      <w:rFonts w:eastAsia="宋体"/>
      <w:sz w:val="21"/>
      <w:szCs w:val="21"/>
      <w:lang w:val="en-US" w:eastAsia="zh-CN" w:bidi="ar-SA"/>
    </w:rPr>
  </w:style>
  <w:style w:type="character" w:customStyle="1" w:styleId="2091">
    <w:name w:val="!正文(alt+c) Char"/>
    <w:autoRedefine/>
    <w:qFormat/>
    <w:uiPriority w:val="0"/>
    <w:rPr>
      <w:rFonts w:eastAsia="宋体"/>
      <w:sz w:val="24"/>
      <w:szCs w:val="24"/>
      <w:lang w:val="en-US" w:eastAsia="zh-CN" w:bidi="ar-SA"/>
    </w:rPr>
  </w:style>
  <w:style w:type="character" w:customStyle="1" w:styleId="2092">
    <w:name w:val="!注_字符(alt+p)"/>
    <w:autoRedefine/>
    <w:qFormat/>
    <w:uiPriority w:val="0"/>
    <w:rPr>
      <w:rFonts w:eastAsia="宋体"/>
      <w:sz w:val="21"/>
    </w:rPr>
  </w:style>
  <w:style w:type="paragraph" w:customStyle="1" w:styleId="2093">
    <w:name w:val="gg_body"/>
    <w:basedOn w:val="1"/>
    <w:uiPriority w:val="0"/>
    <w:pPr>
      <w:snapToGrid/>
      <w:spacing w:line="460" w:lineRule="exact"/>
      <w:ind w:firstLine="200"/>
      <w:jc w:val="both"/>
    </w:pPr>
    <w:rPr>
      <w:rFonts w:ascii="宋体" w:hAnsi="宋体"/>
    </w:rPr>
  </w:style>
  <w:style w:type="character" w:customStyle="1" w:styleId="2094">
    <w:name w:val="!正文(alt+c) Char1"/>
    <w:uiPriority w:val="0"/>
    <w:rPr>
      <w:rFonts w:eastAsia="宋体"/>
      <w:sz w:val="24"/>
      <w:szCs w:val="24"/>
      <w:lang w:val="en-US" w:eastAsia="zh-CN" w:bidi="ar-SA"/>
    </w:rPr>
  </w:style>
  <w:style w:type="character" w:customStyle="1" w:styleId="2095">
    <w:name w:val="!表标题(alt+h) Char2"/>
    <w:uiPriority w:val="0"/>
    <w:rPr>
      <w:rFonts w:hint="eastAsia" w:ascii="黑体" w:eastAsia="黑体"/>
      <w:color w:val="000000"/>
      <w:sz w:val="24"/>
      <w:szCs w:val="24"/>
      <w:lang w:val="en-US" w:eastAsia="zh-CN" w:bidi="ar-SA"/>
    </w:rPr>
  </w:style>
  <w:style w:type="character" w:customStyle="1" w:styleId="2096">
    <w:name w:val="!表标题(alt+h) Char1"/>
    <w:uiPriority w:val="0"/>
    <w:rPr>
      <w:rFonts w:eastAsia="黑体"/>
      <w:sz w:val="24"/>
      <w:szCs w:val="24"/>
      <w:lang w:val="en-US" w:eastAsia="zh-CN" w:bidi="ar-SA"/>
    </w:rPr>
  </w:style>
  <w:style w:type="paragraph" w:customStyle="1" w:styleId="2097">
    <w:name w:val="样式 !正文(alt+c) + 首行缩进:  2 字符"/>
    <w:basedOn w:val="2064"/>
    <w:uiPriority w:val="0"/>
    <w:pPr>
      <w:spacing w:line="440" w:lineRule="exact"/>
    </w:pPr>
    <w:rPr>
      <w:color w:val="000000"/>
      <w:szCs w:val="20"/>
    </w:rPr>
  </w:style>
  <w:style w:type="paragraph" w:customStyle="1" w:styleId="2098">
    <w:name w:val="表5号字"/>
    <w:uiPriority w:val="0"/>
    <w:pPr>
      <w:keepNext/>
      <w:widowControl w:val="0"/>
      <w:adjustRightInd w:val="0"/>
      <w:spacing w:before="120" w:line="60" w:lineRule="atLeast"/>
      <w:jc w:val="center"/>
      <w:textAlignment w:val="baseline"/>
    </w:pPr>
    <w:rPr>
      <w:rFonts w:ascii="Times New Roman" w:hAnsi="Times New Roman" w:eastAsia="宋体" w:cs="Times New Roman"/>
      <w:sz w:val="21"/>
      <w:lang w:val="en-US" w:eastAsia="zh-CN" w:bidi="ar-SA"/>
    </w:rPr>
  </w:style>
  <w:style w:type="character" w:customStyle="1" w:styleId="2099">
    <w:name w:val="正文4号 Char Char"/>
    <w:uiPriority w:val="0"/>
    <w:rPr>
      <w:rFonts w:eastAsia="宋体"/>
      <w:kern w:val="2"/>
      <w:sz w:val="24"/>
      <w:lang w:val="en-US" w:eastAsia="zh-CN" w:bidi="ar-SA"/>
    </w:rPr>
  </w:style>
  <w:style w:type="paragraph" w:customStyle="1" w:styleId="2100">
    <w:name w:val="pa-4"/>
    <w:basedOn w:val="1"/>
    <w:qFormat/>
    <w:uiPriority w:val="0"/>
    <w:pPr>
      <w:widowControl/>
      <w:snapToGrid/>
      <w:spacing w:beforeAutospacing="1" w:afterAutospacing="1" w:line="240" w:lineRule="auto"/>
      <w:ind w:firstLine="0" w:firstLineChars="0"/>
    </w:pPr>
    <w:rPr>
      <w:rFonts w:ascii="宋体" w:hAnsi="宋体" w:cs="宋体"/>
      <w:kern w:val="0"/>
    </w:rPr>
  </w:style>
  <w:style w:type="character" w:customStyle="1" w:styleId="2101">
    <w:name w:val="ca-51"/>
    <w:autoRedefine/>
    <w:qFormat/>
    <w:uiPriority w:val="0"/>
  </w:style>
  <w:style w:type="paragraph" w:customStyle="1" w:styleId="2102">
    <w:name w:val="样式 行距: 固定值 18 磅 首行缩进:  2 字符"/>
    <w:basedOn w:val="1"/>
    <w:autoRedefine/>
    <w:qFormat/>
    <w:uiPriority w:val="0"/>
    <w:pPr>
      <w:snapToGrid/>
      <w:ind w:firstLine="420"/>
      <w:jc w:val="both"/>
    </w:pPr>
    <w:rPr>
      <w:rFonts w:cs="宋体"/>
      <w:szCs w:val="20"/>
    </w:rPr>
  </w:style>
  <w:style w:type="paragraph" w:customStyle="1" w:styleId="2103">
    <w:name w:val="Char11"/>
    <w:basedOn w:val="1"/>
    <w:autoRedefine/>
    <w:qFormat/>
    <w:uiPriority w:val="0"/>
    <w:pPr>
      <w:snapToGrid/>
      <w:spacing w:line="240" w:lineRule="auto"/>
      <w:ind w:left="510" w:firstLine="0" w:firstLineChars="0"/>
      <w:jc w:val="both"/>
    </w:pPr>
    <w:rPr>
      <w:sz w:val="21"/>
      <w:szCs w:val="21"/>
    </w:rPr>
  </w:style>
  <w:style w:type="paragraph" w:customStyle="1" w:styleId="2104">
    <w:name w:val="Char Char Char1 Char Char Char Char"/>
    <w:basedOn w:val="1"/>
    <w:autoRedefine/>
    <w:semiHidden/>
    <w:qFormat/>
    <w:uiPriority w:val="0"/>
    <w:pPr>
      <w:adjustRightInd w:val="0"/>
      <w:ind w:firstLine="200"/>
      <w:jc w:val="both"/>
    </w:pPr>
    <w:rPr>
      <w:rFonts w:ascii="宋体" w:hAnsi="宋体" w:cs="宋体"/>
      <w:szCs w:val="26"/>
    </w:rPr>
  </w:style>
  <w:style w:type="character" w:customStyle="1" w:styleId="2105">
    <w:name w:val="question-title2"/>
    <w:autoRedefine/>
    <w:qFormat/>
    <w:uiPriority w:val="0"/>
  </w:style>
  <w:style w:type="paragraph" w:customStyle="1" w:styleId="2106">
    <w:name w:val="cucd-1"/>
    <w:next w:val="2020"/>
    <w:autoRedefine/>
    <w:qFormat/>
    <w:uiPriority w:val="0"/>
    <w:pPr>
      <w:pageBreakBefore/>
      <w:tabs>
        <w:tab w:val="left" w:pos="425"/>
      </w:tabs>
      <w:spacing w:beforeLines="100"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character" w:customStyle="1" w:styleId="2107">
    <w:name w:val="cucd-3 Char1"/>
    <w:autoRedefine/>
    <w:qFormat/>
    <w:uiPriority w:val="0"/>
    <w:rPr>
      <w:rFonts w:eastAsia="宋体"/>
      <w:b/>
      <w:kern w:val="2"/>
      <w:sz w:val="28"/>
      <w:szCs w:val="24"/>
      <w:lang w:val="en-US" w:eastAsia="zh-CN" w:bidi="ar-SA"/>
    </w:rPr>
  </w:style>
  <w:style w:type="paragraph" w:customStyle="1" w:styleId="2108">
    <w:name w:val="样式 标题 3 + 段后: 0.5 行"/>
    <w:basedOn w:val="5"/>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paragraph" w:customStyle="1" w:styleId="2109">
    <w:name w:val="样式 cucd-0 + 宋体"/>
    <w:basedOn w:val="1"/>
    <w:autoRedefine/>
    <w:qFormat/>
    <w:uiPriority w:val="0"/>
    <w:pPr>
      <w:widowControl/>
      <w:snapToGrid/>
    </w:pPr>
    <w:rPr>
      <w:rFonts w:ascii="宋体" w:hAnsi="宋体"/>
    </w:rPr>
  </w:style>
  <w:style w:type="paragraph" w:customStyle="1" w:styleId="2110">
    <w:name w:val="reader-word-layer reader-word-s1-8"/>
    <w:basedOn w:val="1"/>
    <w:autoRedefine/>
    <w:qFormat/>
    <w:uiPriority w:val="0"/>
    <w:pPr>
      <w:widowControl/>
      <w:snapToGrid/>
      <w:spacing w:beforeAutospacing="1" w:afterAutospacing="1" w:line="240" w:lineRule="auto"/>
      <w:ind w:firstLine="0" w:firstLineChars="0"/>
    </w:pPr>
    <w:rPr>
      <w:rFonts w:ascii="宋体" w:hAnsi="宋体" w:cs="宋体"/>
      <w:kern w:val="0"/>
    </w:rPr>
  </w:style>
  <w:style w:type="paragraph" w:customStyle="1" w:styleId="2111">
    <w:name w:val="CM23"/>
    <w:basedOn w:val="180"/>
    <w:next w:val="180"/>
    <w:autoRedefine/>
    <w:qFormat/>
    <w:uiPriority w:val="0"/>
    <w:pPr>
      <w:suppressAutoHyphens w:val="0"/>
      <w:adjustRightInd w:val="0"/>
      <w:spacing w:line="573" w:lineRule="atLeast"/>
      <w:textAlignment w:val="auto"/>
    </w:pPr>
    <w:rPr>
      <w:rFonts w:ascii="黑体" w:hAnsi="Times New Roman" w:eastAsia="黑体" w:cs="Times New Roman"/>
      <w:color w:val="auto"/>
      <w:sz w:val="20"/>
    </w:rPr>
  </w:style>
  <w:style w:type="character" w:customStyle="1" w:styleId="2112">
    <w:name w:val="Body Text Indent Char"/>
    <w:autoRedefine/>
    <w:semiHidden/>
    <w:qFormat/>
    <w:locked/>
    <w:uiPriority w:val="0"/>
    <w:rPr>
      <w:rFonts w:ascii="Times New Roman" w:hAnsi="Times New Roman" w:eastAsia="宋体" w:cs="Times New Roman"/>
      <w:color w:val="FF0000"/>
      <w:sz w:val="20"/>
      <w:szCs w:val="20"/>
    </w:rPr>
  </w:style>
  <w:style w:type="paragraph" w:customStyle="1" w:styleId="2113">
    <w:name w:val="三亚标3"/>
    <w:basedOn w:val="1"/>
    <w:autoRedefine/>
    <w:qFormat/>
    <w:uiPriority w:val="0"/>
    <w:pPr>
      <w:keepNext/>
      <w:keepLines/>
      <w:snapToGrid/>
      <w:spacing w:line="413" w:lineRule="auto"/>
      <w:ind w:firstLine="0" w:firstLineChars="0"/>
      <w:outlineLvl w:val="1"/>
    </w:pPr>
    <w:rPr>
      <w:b/>
      <w:bCs/>
      <w:kern w:val="0"/>
      <w:szCs w:val="32"/>
    </w:rPr>
  </w:style>
  <w:style w:type="paragraph" w:customStyle="1" w:styleId="2114">
    <w:name w:val="CM80"/>
    <w:basedOn w:val="180"/>
    <w:next w:val="180"/>
    <w:autoRedefine/>
    <w:qFormat/>
    <w:uiPriority w:val="0"/>
    <w:pPr>
      <w:suppressAutoHyphens w:val="0"/>
      <w:adjustRightInd w:val="0"/>
      <w:spacing w:after="68"/>
      <w:textAlignment w:val="auto"/>
    </w:pPr>
    <w:rPr>
      <w:rFonts w:hAnsi="Times New Roman" w:cs="Times New Roman"/>
      <w:color w:val="auto"/>
    </w:rPr>
  </w:style>
  <w:style w:type="character" w:customStyle="1" w:styleId="2115">
    <w:name w:val="cucd-0 Char Char"/>
    <w:autoRedefine/>
    <w:qFormat/>
    <w:locked/>
    <w:uiPriority w:val="0"/>
    <w:rPr>
      <w:kern w:val="2"/>
      <w:sz w:val="24"/>
      <w:szCs w:val="24"/>
    </w:rPr>
  </w:style>
  <w:style w:type="character" w:customStyle="1" w:styleId="2116">
    <w:name w:val="标准样式 Char Char"/>
    <w:link w:val="2117"/>
    <w:autoRedefine/>
    <w:qFormat/>
    <w:uiPriority w:val="0"/>
    <w:rPr>
      <w:rFonts w:eastAsia="仿宋_GB2312"/>
      <w:kern w:val="28"/>
      <w:sz w:val="28"/>
      <w:szCs w:val="28"/>
    </w:rPr>
  </w:style>
  <w:style w:type="paragraph" w:customStyle="1" w:styleId="2117">
    <w:name w:val="标准样式"/>
    <w:basedOn w:val="1"/>
    <w:link w:val="2116"/>
    <w:autoRedefine/>
    <w:qFormat/>
    <w:uiPriority w:val="0"/>
    <w:pPr>
      <w:topLinePunct/>
      <w:snapToGrid/>
      <w:ind w:firstLine="560"/>
    </w:pPr>
    <w:rPr>
      <w:rFonts w:eastAsia="仿宋_GB2312"/>
      <w:kern w:val="28"/>
      <w:sz w:val="28"/>
      <w:szCs w:val="28"/>
    </w:rPr>
  </w:style>
  <w:style w:type="character" w:customStyle="1" w:styleId="2118">
    <w:name w:val="公正文 Char"/>
    <w:link w:val="2119"/>
    <w:autoRedefine/>
    <w:qFormat/>
    <w:locked/>
    <w:uiPriority w:val="0"/>
    <w:rPr>
      <w:rFonts w:ascii="宋体" w:hAnsi="宋体" w:eastAsia="仿宋_GB2312"/>
      <w:sz w:val="28"/>
      <w:szCs w:val="24"/>
    </w:rPr>
  </w:style>
  <w:style w:type="paragraph" w:customStyle="1" w:styleId="2119">
    <w:name w:val="公正文"/>
    <w:basedOn w:val="21"/>
    <w:link w:val="2118"/>
    <w:autoRedefine/>
    <w:qFormat/>
    <w:uiPriority w:val="0"/>
    <w:pPr>
      <w:adjustRightInd w:val="0"/>
      <w:snapToGrid w:val="0"/>
      <w:spacing w:line="355" w:lineRule="auto"/>
      <w:ind w:firstLine="200"/>
    </w:pPr>
    <w:rPr>
      <w:rFonts w:ascii="宋体" w:hAnsi="宋体" w:eastAsia="仿宋_GB2312"/>
      <w:kern w:val="0"/>
      <w:sz w:val="28"/>
      <w:szCs w:val="24"/>
    </w:rPr>
  </w:style>
  <w:style w:type="character" w:customStyle="1" w:styleId="2120">
    <w:name w:val="Char Char9"/>
    <w:autoRedefine/>
    <w:qFormat/>
    <w:uiPriority w:val="0"/>
    <w:rPr>
      <w:rFonts w:ascii="Times New Roman" w:hAnsi="Times New Roman" w:eastAsia="宋体" w:cs="Times New Roman"/>
      <w:szCs w:val="24"/>
    </w:rPr>
  </w:style>
  <w:style w:type="paragraph" w:customStyle="1" w:styleId="2121">
    <w:name w:val="正文文本缩进 31"/>
    <w:basedOn w:val="1"/>
    <w:autoRedefine/>
    <w:qFormat/>
    <w:uiPriority w:val="0"/>
    <w:pPr>
      <w:snapToGrid/>
      <w:spacing w:line="240" w:lineRule="auto"/>
      <w:ind w:left="420" w:leftChars="200" w:firstLine="0" w:firstLineChars="0"/>
      <w:jc w:val="both"/>
    </w:pPr>
    <w:rPr>
      <w:sz w:val="16"/>
      <w:szCs w:val="16"/>
    </w:rPr>
  </w:style>
  <w:style w:type="paragraph" w:customStyle="1" w:styleId="2122">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123">
    <w:name w:val="description6"/>
    <w:autoRedefine/>
    <w:qFormat/>
    <w:uiPriority w:val="0"/>
  </w:style>
  <w:style w:type="paragraph" w:customStyle="1" w:styleId="2124">
    <w:name w:val="_Style 4"/>
    <w:basedOn w:val="1"/>
    <w:autoRedefine/>
    <w:qFormat/>
    <w:uiPriority w:val="0"/>
    <w:pPr>
      <w:widowControl/>
      <w:snapToGrid/>
      <w:spacing w:line="240" w:lineRule="exact"/>
      <w:ind w:firstLine="0" w:firstLineChars="0"/>
    </w:pPr>
    <w:rPr>
      <w:color w:val="000000"/>
    </w:rPr>
  </w:style>
  <w:style w:type="character" w:customStyle="1" w:styleId="2125">
    <w:name w:val="环评正文2 Char Char"/>
    <w:link w:val="2126"/>
    <w:autoRedefine/>
    <w:qFormat/>
    <w:uiPriority w:val="0"/>
    <w:rPr>
      <w:rFonts w:ascii="宋体" w:hAnsi="宋体" w:eastAsia="仿宋_GB2312"/>
      <w:color w:val="000000"/>
      <w:kern w:val="16"/>
      <w:sz w:val="24"/>
      <w:szCs w:val="24"/>
    </w:rPr>
  </w:style>
  <w:style w:type="paragraph" w:customStyle="1" w:styleId="2126">
    <w:name w:val="环评正文2"/>
    <w:basedOn w:val="1"/>
    <w:link w:val="2125"/>
    <w:autoRedefine/>
    <w:qFormat/>
    <w:uiPriority w:val="0"/>
    <w:pPr>
      <w:snapToGrid/>
      <w:ind w:firstLine="200"/>
      <w:jc w:val="both"/>
    </w:pPr>
    <w:rPr>
      <w:rFonts w:ascii="宋体" w:hAnsi="宋体" w:eastAsia="仿宋_GB2312"/>
      <w:color w:val="000000"/>
      <w:kern w:val="16"/>
    </w:rPr>
  </w:style>
  <w:style w:type="paragraph" w:customStyle="1" w:styleId="2127">
    <w:name w:val="表格字2"/>
    <w:basedOn w:val="1"/>
    <w:autoRedefine/>
    <w:qFormat/>
    <w:uiPriority w:val="0"/>
    <w:pPr>
      <w:snapToGrid/>
      <w:spacing w:line="240" w:lineRule="auto"/>
      <w:ind w:firstLine="0" w:firstLineChars="0"/>
      <w:jc w:val="both"/>
    </w:pPr>
    <w:rPr>
      <w:rFonts w:ascii="宋体" w:hAnsi="宋体"/>
      <w:color w:val="000000"/>
      <w:kern w:val="16"/>
      <w:sz w:val="21"/>
      <w:szCs w:val="21"/>
    </w:rPr>
  </w:style>
  <w:style w:type="character" w:customStyle="1" w:styleId="2128">
    <w:name w:val="fontstyle21"/>
    <w:autoRedefine/>
    <w:qFormat/>
    <w:uiPriority w:val="0"/>
    <w:rPr>
      <w:rFonts w:hint="default" w:ascii="TimesNewRoman" w:hAnsi="TimesNewRoman"/>
      <w:color w:val="000000"/>
      <w:sz w:val="24"/>
      <w:szCs w:val="24"/>
    </w:rPr>
  </w:style>
  <w:style w:type="character" w:customStyle="1" w:styleId="2129">
    <w:name w:val="fontstyle31"/>
    <w:autoRedefine/>
    <w:qFormat/>
    <w:uiPriority w:val="0"/>
    <w:rPr>
      <w:rFonts w:hint="default" w:ascii="TimesNewRoman" w:hAnsi="TimesNewRoman"/>
      <w:b/>
      <w:bCs/>
      <w:color w:val="000000"/>
      <w:sz w:val="24"/>
      <w:szCs w:val="24"/>
    </w:rPr>
  </w:style>
  <w:style w:type="character" w:customStyle="1" w:styleId="2130">
    <w:name w:val="二级条标题 Char Char"/>
    <w:autoRedefine/>
    <w:qFormat/>
    <w:uiPriority w:val="0"/>
    <w:rPr>
      <w:rFonts w:ascii="黑体" w:eastAsia="黑体"/>
      <w:sz w:val="21"/>
      <w:lang w:val="en-US" w:eastAsia="zh-CN" w:bidi="ar-SA"/>
    </w:rPr>
  </w:style>
  <w:style w:type="paragraph" w:customStyle="1" w:styleId="2131">
    <w:name w:val="Char Char Char Char Char Char Char Char Char Char Char Char4"/>
    <w:basedOn w:val="1"/>
    <w:autoRedefine/>
    <w:qFormat/>
    <w:uiPriority w:val="0"/>
    <w:pPr>
      <w:widowControl/>
      <w:tabs>
        <w:tab w:val="left" w:pos="540"/>
        <w:tab w:val="left" w:pos="1800"/>
      </w:tabs>
      <w:adjustRightInd w:val="0"/>
      <w:spacing w:line="240" w:lineRule="exact"/>
    </w:pPr>
    <w:rPr>
      <w:szCs w:val="22"/>
    </w:rPr>
  </w:style>
  <w:style w:type="paragraph" w:customStyle="1" w:styleId="2132">
    <w:name w:val="正文14"/>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133">
    <w:name w:val="Char Char Char Char Char Char Char Char Char Char Char Char7"/>
    <w:basedOn w:val="1"/>
    <w:autoRedefine/>
    <w:semiHidden/>
    <w:qFormat/>
    <w:uiPriority w:val="0"/>
    <w:pPr>
      <w:widowControl/>
      <w:tabs>
        <w:tab w:val="left" w:pos="540"/>
        <w:tab w:val="left" w:pos="1800"/>
      </w:tabs>
      <w:adjustRightInd w:val="0"/>
      <w:spacing w:line="240" w:lineRule="exact"/>
    </w:pPr>
    <w:rPr>
      <w:szCs w:val="22"/>
    </w:rPr>
  </w:style>
  <w:style w:type="paragraph" w:customStyle="1" w:styleId="2134">
    <w:name w:val="表格内字体"/>
    <w:basedOn w:val="1"/>
    <w:link w:val="2135"/>
    <w:qFormat/>
    <w:uiPriority w:val="0"/>
    <w:pPr>
      <w:snapToGrid/>
      <w:spacing w:line="240" w:lineRule="auto"/>
      <w:ind w:firstLine="0" w:firstLineChars="0"/>
      <w:jc w:val="center"/>
    </w:pPr>
    <w:rPr>
      <w:sz w:val="21"/>
      <w:szCs w:val="18"/>
    </w:rPr>
  </w:style>
  <w:style w:type="character" w:customStyle="1" w:styleId="2135">
    <w:name w:val="表格内字体 Char"/>
    <w:link w:val="2134"/>
    <w:autoRedefine/>
    <w:uiPriority w:val="0"/>
    <w:rPr>
      <w:kern w:val="2"/>
      <w:sz w:val="21"/>
      <w:szCs w:val="18"/>
    </w:rPr>
  </w:style>
  <w:style w:type="paragraph" w:customStyle="1" w:styleId="2136">
    <w:name w:val="标题44"/>
    <w:basedOn w:val="1"/>
    <w:link w:val="2138"/>
    <w:autoRedefine/>
    <w:qFormat/>
    <w:uiPriority w:val="0"/>
    <w:pPr>
      <w:snapToGrid/>
      <w:ind w:firstLine="0" w:firstLineChars="0"/>
      <w:outlineLvl w:val="3"/>
    </w:pPr>
    <w:rPr>
      <w:b/>
    </w:rPr>
  </w:style>
  <w:style w:type="table" w:customStyle="1" w:styleId="2137">
    <w:name w:val="专业网格3"/>
    <w:basedOn w:val="88"/>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38">
    <w:name w:val="标题44 Char"/>
    <w:link w:val="2136"/>
    <w:autoRedefine/>
    <w:qFormat/>
    <w:uiPriority w:val="0"/>
    <w:rPr>
      <w:b/>
      <w:kern w:val="2"/>
      <w:sz w:val="24"/>
      <w:szCs w:val="24"/>
    </w:rPr>
  </w:style>
  <w:style w:type="paragraph" w:customStyle="1" w:styleId="2139">
    <w:name w:val="表头字体"/>
    <w:basedOn w:val="1"/>
    <w:link w:val="2199"/>
    <w:autoRedefine/>
    <w:qFormat/>
    <w:uiPriority w:val="0"/>
    <w:pPr>
      <w:adjustRightInd w:val="0"/>
      <w:spacing w:beforeLines="50" w:line="240" w:lineRule="auto"/>
      <w:ind w:firstLine="0" w:firstLineChars="0"/>
      <w:jc w:val="center"/>
    </w:pPr>
    <w:rPr>
      <w:b/>
    </w:rPr>
  </w:style>
  <w:style w:type="table" w:customStyle="1" w:styleId="2140">
    <w:name w:val="网格型 11"/>
    <w:basedOn w:val="8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141">
    <w:name w:val="网格型 51"/>
    <w:basedOn w:val="8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character" w:customStyle="1" w:styleId="2142">
    <w:name w:val="WJ表格 Char"/>
    <w:link w:val="2143"/>
    <w:qFormat/>
    <w:uiPriority w:val="0"/>
    <w:rPr>
      <w:rFonts w:ascii="宋体" w:hAnsi="宋体"/>
      <w:color w:val="000000"/>
      <w:szCs w:val="24"/>
    </w:rPr>
  </w:style>
  <w:style w:type="paragraph" w:customStyle="1" w:styleId="2143">
    <w:name w:val="WJ表格"/>
    <w:basedOn w:val="1"/>
    <w:next w:val="1"/>
    <w:link w:val="2142"/>
    <w:autoRedefine/>
    <w:qFormat/>
    <w:uiPriority w:val="0"/>
    <w:pPr>
      <w:tabs>
        <w:tab w:val="left" w:pos="600"/>
      </w:tabs>
      <w:snapToGrid/>
      <w:spacing w:line="240" w:lineRule="auto"/>
      <w:ind w:firstLine="0" w:firstLineChars="0"/>
      <w:jc w:val="center"/>
    </w:pPr>
    <w:rPr>
      <w:rFonts w:ascii="宋体" w:hAnsi="宋体"/>
      <w:color w:val="000000"/>
      <w:kern w:val="0"/>
      <w:sz w:val="20"/>
    </w:rPr>
  </w:style>
  <w:style w:type="character" w:customStyle="1" w:styleId="2144">
    <w:name w:val="WJ标题3 Char"/>
    <w:link w:val="2145"/>
    <w:autoRedefine/>
    <w:uiPriority w:val="0"/>
    <w:rPr>
      <w:rFonts w:ascii="宋体" w:hAnsi="宋体"/>
      <w:color w:val="000000"/>
      <w:sz w:val="24"/>
      <w:szCs w:val="24"/>
    </w:rPr>
  </w:style>
  <w:style w:type="paragraph" w:customStyle="1" w:styleId="2145">
    <w:name w:val="WJ标题3"/>
    <w:basedOn w:val="4"/>
    <w:link w:val="2144"/>
    <w:autoRedefine/>
    <w:qFormat/>
    <w:uiPriority w:val="0"/>
    <w:pPr>
      <w:keepNext/>
      <w:keepLines/>
      <w:numPr>
        <w:ilvl w:val="0"/>
        <w:numId w:val="0"/>
      </w:numPr>
      <w:snapToGrid/>
      <w:spacing w:before="260" w:beforeLines="10" w:after="260" w:afterLines="10" w:line="416" w:lineRule="auto"/>
      <w:ind w:firstLine="200" w:firstLineChars="200"/>
      <w:jc w:val="both"/>
    </w:pPr>
    <w:rPr>
      <w:rFonts w:ascii="宋体" w:hAnsi="宋体"/>
      <w:b w:val="0"/>
      <w:bCs w:val="0"/>
      <w:color w:val="000000"/>
      <w:kern w:val="0"/>
      <w:sz w:val="24"/>
      <w:szCs w:val="24"/>
    </w:rPr>
  </w:style>
  <w:style w:type="character" w:customStyle="1" w:styleId="2146">
    <w:name w:val="WJ正文 Char"/>
    <w:link w:val="2147"/>
    <w:autoRedefine/>
    <w:qFormat/>
    <w:uiPriority w:val="0"/>
    <w:rPr>
      <w:rFonts w:ascii="宋体" w:hAnsi="宋体"/>
      <w:color w:val="000000"/>
      <w:sz w:val="24"/>
      <w:szCs w:val="24"/>
    </w:rPr>
  </w:style>
  <w:style w:type="paragraph" w:customStyle="1" w:styleId="2147">
    <w:name w:val="WJ正文"/>
    <w:basedOn w:val="1"/>
    <w:next w:val="1"/>
    <w:link w:val="2146"/>
    <w:autoRedefine/>
    <w:qFormat/>
    <w:uiPriority w:val="0"/>
    <w:pPr>
      <w:tabs>
        <w:tab w:val="left" w:pos="600"/>
      </w:tabs>
      <w:snapToGrid/>
      <w:ind w:firstLine="200"/>
      <w:jc w:val="both"/>
    </w:pPr>
    <w:rPr>
      <w:rFonts w:ascii="宋体" w:hAnsi="宋体"/>
      <w:color w:val="000000"/>
      <w:kern w:val="0"/>
    </w:rPr>
  </w:style>
  <w:style w:type="paragraph" w:customStyle="1" w:styleId="2148">
    <w:name w:val="正文文本 22"/>
    <w:basedOn w:val="1"/>
    <w:uiPriority w:val="0"/>
    <w:pPr>
      <w:tabs>
        <w:tab w:val="left" w:pos="567"/>
      </w:tabs>
      <w:adjustRightInd w:val="0"/>
      <w:snapToGrid/>
      <w:spacing w:line="410" w:lineRule="atLeast"/>
      <w:ind w:firstLine="0" w:firstLineChars="0"/>
      <w:jc w:val="both"/>
      <w:textAlignment w:val="baseline"/>
    </w:pPr>
    <w:rPr>
      <w:rFonts w:ascii="宋体"/>
      <w:kern w:val="0"/>
      <w:szCs w:val="20"/>
    </w:rPr>
  </w:style>
  <w:style w:type="paragraph" w:customStyle="1" w:styleId="2149">
    <w:name w:val="纯文本5"/>
    <w:basedOn w:val="1"/>
    <w:uiPriority w:val="0"/>
    <w:pPr>
      <w:adjustRightInd w:val="0"/>
      <w:snapToGrid/>
      <w:spacing w:line="240" w:lineRule="auto"/>
      <w:ind w:firstLine="0" w:firstLineChars="0"/>
      <w:jc w:val="both"/>
      <w:textAlignment w:val="baseline"/>
    </w:pPr>
    <w:rPr>
      <w:rFonts w:ascii="宋体" w:hAnsi="Courier New"/>
      <w:sz w:val="21"/>
      <w:szCs w:val="20"/>
    </w:rPr>
  </w:style>
  <w:style w:type="paragraph" w:customStyle="1" w:styleId="2150">
    <w:name w:val="默认段落字体 Para Char Char Char Char Char Char Char Char Char Char Char Char Char"/>
    <w:basedOn w:val="1"/>
    <w:autoRedefine/>
    <w:qFormat/>
    <w:uiPriority w:val="0"/>
    <w:pPr>
      <w:snapToGrid/>
      <w:spacing w:line="240" w:lineRule="auto"/>
      <w:ind w:firstLine="0" w:firstLineChars="0"/>
      <w:jc w:val="both"/>
    </w:pPr>
    <w:rPr>
      <w:sz w:val="21"/>
    </w:rPr>
  </w:style>
  <w:style w:type="paragraph" w:customStyle="1" w:styleId="2151">
    <w:name w:val="basic eng. doc."/>
    <w:basedOn w:val="1"/>
    <w:autoRedefine/>
    <w:qFormat/>
    <w:uiPriority w:val="0"/>
    <w:pPr>
      <w:adjustRightInd w:val="0"/>
      <w:spacing w:line="240" w:lineRule="auto"/>
      <w:ind w:left="200" w:leftChars="200" w:firstLine="0" w:firstLineChars="0"/>
      <w:jc w:val="both"/>
    </w:pPr>
    <w:rPr>
      <w:rFonts w:hint="eastAsia" w:ascii="宋体" w:hAnsi="宋体"/>
      <w:kern w:val="0"/>
      <w:sz w:val="21"/>
      <w:szCs w:val="32"/>
    </w:rPr>
  </w:style>
  <w:style w:type="paragraph" w:customStyle="1" w:styleId="2152">
    <w:name w:val="默认段落字体 Char Char Char"/>
    <w:basedOn w:val="1"/>
    <w:autoRedefine/>
    <w:qFormat/>
    <w:uiPriority w:val="0"/>
    <w:pPr>
      <w:snapToGrid/>
      <w:spacing w:line="240" w:lineRule="auto"/>
      <w:ind w:firstLine="0" w:firstLineChars="0"/>
      <w:jc w:val="both"/>
    </w:pPr>
  </w:style>
  <w:style w:type="character" w:customStyle="1" w:styleId="2153">
    <w:name w:val="Char Char"/>
    <w:autoRedefine/>
    <w:qFormat/>
    <w:locked/>
    <w:uiPriority w:val="0"/>
    <w:rPr>
      <w:rFonts w:ascii="宋体" w:hAnsi="Courier New" w:eastAsia="宋体" w:cs="Courier New"/>
      <w:kern w:val="2"/>
      <w:sz w:val="21"/>
      <w:szCs w:val="21"/>
      <w:lang w:val="en-US" w:eastAsia="zh-CN" w:bidi="ar-SA"/>
    </w:rPr>
  </w:style>
  <w:style w:type="paragraph" w:customStyle="1" w:styleId="2154">
    <w:name w:val="日期5"/>
    <w:basedOn w:val="1"/>
    <w:next w:val="1"/>
    <w:autoRedefine/>
    <w:qFormat/>
    <w:uiPriority w:val="0"/>
    <w:pPr>
      <w:adjustRightInd w:val="0"/>
      <w:snapToGrid/>
      <w:spacing w:line="240" w:lineRule="auto"/>
      <w:ind w:firstLine="0" w:firstLineChars="0"/>
      <w:textAlignment w:val="baseline"/>
    </w:pPr>
    <w:rPr>
      <w:rFonts w:ascii="宋体"/>
      <w:spacing w:val="24"/>
      <w:kern w:val="24"/>
      <w:szCs w:val="20"/>
    </w:rPr>
  </w:style>
  <w:style w:type="character" w:customStyle="1" w:styleId="2155">
    <w:name w:val="标题 1 Char Char Char Char1"/>
    <w:autoRedefine/>
    <w:qFormat/>
    <w:uiPriority w:val="0"/>
    <w:rPr>
      <w:rFonts w:eastAsia="宋体"/>
      <w:b/>
      <w:bCs/>
      <w:kern w:val="44"/>
      <w:sz w:val="44"/>
      <w:szCs w:val="44"/>
      <w:lang w:val="en-US" w:eastAsia="zh-CN" w:bidi="ar-SA"/>
    </w:rPr>
  </w:style>
  <w:style w:type="paragraph" w:customStyle="1" w:styleId="2156">
    <w:name w:val="puce"/>
    <w:basedOn w:val="1"/>
    <w:autoRedefine/>
    <w:uiPriority w:val="0"/>
    <w:pPr>
      <w:widowControl/>
      <w:tabs>
        <w:tab w:val="left" w:pos="1040"/>
      </w:tabs>
      <w:adjustRightInd w:val="0"/>
      <w:spacing w:line="240" w:lineRule="auto"/>
      <w:ind w:left="1020" w:hanging="340" w:firstLineChars="0"/>
      <w:jc w:val="both"/>
    </w:pPr>
    <w:rPr>
      <w:rFonts w:ascii="Arial" w:hAnsi="Arial"/>
      <w:kern w:val="0"/>
      <w:szCs w:val="20"/>
    </w:rPr>
  </w:style>
  <w:style w:type="paragraph" w:customStyle="1" w:styleId="2157">
    <w:name w:val="ENUM"/>
    <w:basedOn w:val="1"/>
    <w:uiPriority w:val="0"/>
    <w:pPr>
      <w:widowControl/>
      <w:tabs>
        <w:tab w:val="left" w:pos="1418"/>
      </w:tabs>
      <w:snapToGrid/>
      <w:spacing w:line="240" w:lineRule="auto"/>
      <w:ind w:left="1418" w:hanging="284"/>
      <w:jc w:val="both"/>
    </w:pPr>
    <w:rPr>
      <w:rFonts w:ascii="Arial" w:hAnsi="Arial"/>
      <w:kern w:val="0"/>
      <w:sz w:val="22"/>
      <w:szCs w:val="20"/>
      <w:lang w:val="en-GB"/>
    </w:rPr>
  </w:style>
  <w:style w:type="character" w:customStyle="1" w:styleId="2158">
    <w:name w:val="style81"/>
    <w:uiPriority w:val="0"/>
    <w:rPr>
      <w:sz w:val="24"/>
      <w:szCs w:val="24"/>
    </w:rPr>
  </w:style>
  <w:style w:type="paragraph" w:customStyle="1" w:styleId="2159">
    <w:name w:val="插图标题"/>
    <w:basedOn w:val="1"/>
    <w:uiPriority w:val="0"/>
    <w:pPr>
      <w:tabs>
        <w:tab w:val="left" w:pos="1134"/>
        <w:tab w:val="right" w:pos="7371"/>
      </w:tabs>
      <w:overflowPunct w:val="0"/>
      <w:adjustRightInd w:val="0"/>
      <w:snapToGrid/>
      <w:spacing w:line="240" w:lineRule="auto"/>
      <w:ind w:firstLine="567" w:firstLineChars="0"/>
      <w:jc w:val="center"/>
      <w:textAlignment w:val="baseline"/>
    </w:pPr>
    <w:rPr>
      <w:rFonts w:ascii="黑体" w:eastAsia="黑体"/>
      <w:kern w:val="0"/>
      <w:sz w:val="28"/>
      <w:szCs w:val="20"/>
    </w:rPr>
  </w:style>
  <w:style w:type="paragraph" w:customStyle="1" w:styleId="2160">
    <w:name w:val="小标题2"/>
    <w:basedOn w:val="1"/>
    <w:autoRedefine/>
    <w:uiPriority w:val="0"/>
    <w:pPr>
      <w:snapToGrid/>
      <w:spacing w:line="336" w:lineRule="auto"/>
      <w:ind w:firstLine="0" w:firstLineChars="0"/>
      <w:jc w:val="both"/>
    </w:pPr>
    <w:rPr>
      <w:b/>
      <w:bCs/>
    </w:rPr>
  </w:style>
  <w:style w:type="character" w:customStyle="1" w:styleId="2161">
    <w:name w:val="f141"/>
    <w:uiPriority w:val="0"/>
    <w:rPr>
      <w:sz w:val="21"/>
      <w:szCs w:val="21"/>
    </w:rPr>
  </w:style>
  <w:style w:type="paragraph" w:customStyle="1" w:styleId="2162">
    <w:name w:val="1"/>
    <w:basedOn w:val="1"/>
    <w:uiPriority w:val="0"/>
    <w:pPr>
      <w:snapToGrid/>
      <w:spacing w:line="240" w:lineRule="auto"/>
      <w:ind w:firstLine="0" w:firstLineChars="0"/>
      <w:jc w:val="center"/>
    </w:pPr>
    <w:rPr>
      <w:sz w:val="21"/>
      <w:szCs w:val="20"/>
    </w:rPr>
  </w:style>
  <w:style w:type="paragraph" w:customStyle="1" w:styleId="2163">
    <w:name w:val="BG1"/>
    <w:basedOn w:val="1"/>
    <w:autoRedefine/>
    <w:uiPriority w:val="0"/>
    <w:pPr>
      <w:spacing w:line="240" w:lineRule="auto"/>
      <w:ind w:firstLine="0" w:firstLineChars="0"/>
      <w:jc w:val="center"/>
    </w:pPr>
    <w:rPr>
      <w:color w:val="000000"/>
      <w:sz w:val="21"/>
    </w:rPr>
  </w:style>
  <w:style w:type="paragraph" w:customStyle="1" w:styleId="2164">
    <w:name w:val="表格名称"/>
    <w:basedOn w:val="1"/>
    <w:next w:val="1"/>
    <w:autoRedefine/>
    <w:qFormat/>
    <w:uiPriority w:val="0"/>
    <w:pPr>
      <w:snapToGrid/>
      <w:spacing w:line="300" w:lineRule="auto"/>
      <w:ind w:firstLine="0" w:firstLineChars="0"/>
      <w:jc w:val="center"/>
    </w:pPr>
    <w:rPr>
      <w:rFonts w:eastAsia="黑体"/>
      <w:bCs/>
    </w:rPr>
  </w:style>
  <w:style w:type="paragraph" w:customStyle="1" w:styleId="2165">
    <w:name w:val="图标字体"/>
    <w:basedOn w:val="1"/>
    <w:link w:val="2226"/>
    <w:autoRedefine/>
    <w:qFormat/>
    <w:uiPriority w:val="0"/>
    <w:pPr>
      <w:tabs>
        <w:tab w:val="left" w:pos="660"/>
      </w:tabs>
      <w:adjustRightInd w:val="0"/>
      <w:spacing w:afterLines="50" w:line="240" w:lineRule="auto"/>
      <w:ind w:firstLine="0" w:firstLineChars="0"/>
      <w:jc w:val="center"/>
    </w:pPr>
    <w:rPr>
      <w:b/>
      <w:szCs w:val="26"/>
    </w:rPr>
  </w:style>
  <w:style w:type="paragraph" w:customStyle="1" w:styleId="2166">
    <w:name w:val="表格内容"/>
    <w:basedOn w:val="1"/>
    <w:link w:val="2305"/>
    <w:qFormat/>
    <w:uiPriority w:val="0"/>
    <w:pPr>
      <w:overflowPunct w:val="0"/>
      <w:adjustRightInd w:val="0"/>
      <w:snapToGrid/>
      <w:spacing w:line="200" w:lineRule="atLeast"/>
      <w:ind w:firstLine="0" w:firstLineChars="0"/>
      <w:jc w:val="both"/>
      <w:textAlignment w:val="baseline"/>
    </w:pPr>
    <w:rPr>
      <w:rFonts w:ascii="Arial" w:hAnsi="Arial" w:eastAsia="仿宋_GB2312"/>
      <w:kern w:val="0"/>
      <w:szCs w:val="20"/>
    </w:rPr>
  </w:style>
  <w:style w:type="character" w:customStyle="1" w:styleId="2167">
    <w:name w:val="表头 Char1"/>
    <w:autoRedefine/>
    <w:qFormat/>
    <w:uiPriority w:val="0"/>
    <w:rPr>
      <w:rFonts w:eastAsia="黑体"/>
      <w:b/>
      <w:kern w:val="2"/>
      <w:sz w:val="24"/>
      <w:szCs w:val="24"/>
      <w:lang w:val="en-US" w:eastAsia="zh-CN" w:bidi="ar-SA"/>
    </w:rPr>
  </w:style>
  <w:style w:type="paragraph" w:customStyle="1" w:styleId="2168">
    <w:name w:val="表 头"/>
    <w:basedOn w:val="1"/>
    <w:autoRedefine/>
    <w:qFormat/>
    <w:uiPriority w:val="0"/>
    <w:pPr>
      <w:adjustRightInd w:val="0"/>
      <w:snapToGrid/>
      <w:spacing w:line="360" w:lineRule="atLeast"/>
      <w:ind w:firstLine="0" w:firstLineChars="0"/>
      <w:jc w:val="center"/>
    </w:pPr>
    <w:rPr>
      <w:rFonts w:eastAsia="黑体"/>
      <w:spacing w:val="10"/>
      <w:kern w:val="0"/>
      <w:szCs w:val="20"/>
    </w:rPr>
  </w:style>
  <w:style w:type="character" w:customStyle="1" w:styleId="2169">
    <w:name w:val="neirong1"/>
    <w:autoRedefine/>
    <w:qFormat/>
    <w:uiPriority w:val="0"/>
    <w:rPr>
      <w:sz w:val="21"/>
      <w:szCs w:val="21"/>
    </w:rPr>
  </w:style>
  <w:style w:type="character" w:customStyle="1" w:styleId="2170">
    <w:name w:val="表字 Char"/>
    <w:link w:val="422"/>
    <w:autoRedefine/>
    <w:qFormat/>
    <w:uiPriority w:val="0"/>
    <w:rPr>
      <w:rFonts w:ascii="宋体"/>
      <w:color w:val="000000"/>
      <w:sz w:val="21"/>
    </w:rPr>
  </w:style>
  <w:style w:type="character" w:customStyle="1" w:styleId="2171">
    <w:name w:val="标题 3 Char Char1"/>
    <w:autoRedefine/>
    <w:qFormat/>
    <w:uiPriority w:val="0"/>
    <w:rPr>
      <w:rFonts w:eastAsia="宋体"/>
      <w:b/>
      <w:bCs/>
      <w:kern w:val="2"/>
      <w:sz w:val="32"/>
      <w:szCs w:val="32"/>
      <w:lang w:val="en-US" w:eastAsia="zh-CN" w:bidi="ar-SA"/>
    </w:rPr>
  </w:style>
  <w:style w:type="paragraph" w:customStyle="1" w:styleId="2172">
    <w:name w:val="表格居中"/>
    <w:autoRedefine/>
    <w:qFormat/>
    <w:uiPriority w:val="0"/>
    <w:pPr>
      <w:widowControl w:val="0"/>
      <w:jc w:val="center"/>
    </w:pPr>
    <w:rPr>
      <w:rFonts w:hint="eastAsia" w:ascii="宋体" w:hAnsi="Arial" w:eastAsia="宋体" w:cs="Times New Roman"/>
      <w:kern w:val="2"/>
      <w:sz w:val="21"/>
      <w:lang w:val="en-US" w:eastAsia="zh-CN" w:bidi="ar-SA"/>
    </w:rPr>
  </w:style>
  <w:style w:type="paragraph" w:customStyle="1" w:styleId="2173">
    <w:name w:val="AFTERTITLE"/>
    <w:basedOn w:val="1"/>
    <w:autoRedefine/>
    <w:uiPriority w:val="0"/>
    <w:pPr>
      <w:widowControl/>
      <w:snapToGrid/>
      <w:spacing w:afterLines="25" w:line="360" w:lineRule="atLeast"/>
      <w:ind w:firstLine="200"/>
      <w:jc w:val="center"/>
    </w:pPr>
    <w:rPr>
      <w:b/>
      <w:caps/>
      <w:kern w:val="0"/>
      <w:szCs w:val="20"/>
      <w:lang w:val="fr-FR"/>
    </w:rPr>
  </w:style>
  <w:style w:type="paragraph" w:customStyle="1" w:styleId="2174">
    <w:name w:val="正文图"/>
    <w:basedOn w:val="1"/>
    <w:autoRedefine/>
    <w:qFormat/>
    <w:uiPriority w:val="0"/>
    <w:pPr>
      <w:adjustRightInd w:val="0"/>
      <w:spacing w:line="240" w:lineRule="auto"/>
      <w:ind w:firstLine="0" w:firstLineChars="0"/>
      <w:jc w:val="center"/>
      <w:textAlignment w:val="baseline"/>
    </w:pPr>
    <w:rPr>
      <w:rFonts w:ascii="宋体"/>
      <w:kern w:val="0"/>
      <w:szCs w:val="20"/>
    </w:rPr>
  </w:style>
  <w:style w:type="paragraph" w:customStyle="1" w:styleId="2175">
    <w:name w:val="正文图五"/>
    <w:basedOn w:val="1"/>
    <w:autoRedefine/>
    <w:qFormat/>
    <w:uiPriority w:val="0"/>
    <w:pPr>
      <w:adjustRightInd w:val="0"/>
      <w:spacing w:line="240" w:lineRule="auto"/>
      <w:ind w:firstLine="0" w:firstLineChars="0"/>
      <w:jc w:val="center"/>
    </w:pPr>
    <w:rPr>
      <w:rFonts w:ascii="仿宋_GB2312" w:hAnsi="华文宋体" w:eastAsia="仿宋_GB2312"/>
      <w:snapToGrid w:val="0"/>
      <w:spacing w:val="6"/>
      <w:sz w:val="18"/>
      <w:szCs w:val="18"/>
    </w:rPr>
  </w:style>
  <w:style w:type="paragraph" w:customStyle="1" w:styleId="2176">
    <w:name w:val="样式 标题 2 + 宋体 小四"/>
    <w:basedOn w:val="4"/>
    <w:autoRedefine/>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paragraph" w:customStyle="1" w:styleId="2177">
    <w:name w:val="样式 小四 首行缩进:  2.5 字符"/>
    <w:basedOn w:val="1"/>
    <w:autoRedefine/>
    <w:qFormat/>
    <w:uiPriority w:val="0"/>
    <w:pPr>
      <w:snapToGrid/>
      <w:spacing w:afterLines="25" w:line="240" w:lineRule="auto"/>
      <w:ind w:firstLine="200"/>
      <w:jc w:val="both"/>
    </w:pPr>
    <w:rPr>
      <w:szCs w:val="20"/>
    </w:rPr>
  </w:style>
  <w:style w:type="paragraph" w:customStyle="1" w:styleId="2178">
    <w:name w:val="样式2 Char Char"/>
    <w:basedOn w:val="21"/>
    <w:qFormat/>
    <w:uiPriority w:val="0"/>
    <w:pPr>
      <w:widowControl/>
      <w:tabs>
        <w:tab w:val="left" w:pos="3360"/>
      </w:tabs>
      <w:adjustRightInd w:val="0"/>
      <w:snapToGrid w:val="0"/>
      <w:spacing w:line="360" w:lineRule="auto"/>
      <w:ind w:left="-2" w:leftChars="-1" w:firstLine="567" w:firstLineChars="0"/>
      <w:textAlignment w:val="baseline"/>
    </w:pPr>
    <w:rPr>
      <w:rFonts w:ascii="Arial" w:hAnsi="Arial" w:cs="Arial"/>
      <w:bCs/>
      <w:spacing w:val="6"/>
      <w:szCs w:val="24"/>
    </w:rPr>
  </w:style>
  <w:style w:type="paragraph" w:customStyle="1" w:styleId="2179">
    <w:name w:val="正文图五左"/>
    <w:basedOn w:val="2175"/>
    <w:autoRedefine/>
    <w:uiPriority w:val="0"/>
  </w:style>
  <w:style w:type="paragraph" w:customStyle="1" w:styleId="2180">
    <w:name w:val="生物附录"/>
    <w:autoRedefine/>
    <w:qFormat/>
    <w:uiPriority w:val="0"/>
    <w:pPr>
      <w:jc w:val="both"/>
    </w:pPr>
    <w:rPr>
      <w:rFonts w:ascii="Times New Roman" w:hAnsi="Times New Roman" w:eastAsia="宋体" w:cs="Times New Roman"/>
      <w:b/>
      <w:spacing w:val="20"/>
      <w:sz w:val="28"/>
      <w:lang w:val="en-US" w:eastAsia="zh-CN" w:bidi="ar-SA"/>
    </w:rPr>
  </w:style>
  <w:style w:type="character" w:customStyle="1" w:styleId="2181">
    <w:name w:val="样式 标题 1 + 黑体 四号 非加粗 Char"/>
    <w:autoRedefine/>
    <w:qFormat/>
    <w:uiPriority w:val="0"/>
    <w:rPr>
      <w:rFonts w:eastAsia="黑体"/>
      <w:bCs/>
      <w:kern w:val="44"/>
      <w:sz w:val="28"/>
      <w:szCs w:val="28"/>
      <w:lang w:val="en-US" w:eastAsia="zh-CN" w:bidi="ar-SA"/>
    </w:rPr>
  </w:style>
  <w:style w:type="character" w:customStyle="1" w:styleId="2182">
    <w:name w:val="样式 标题 2 + 仿宋_GB2312 四号 非加粗 Char"/>
    <w:autoRedefine/>
    <w:qFormat/>
    <w:uiPriority w:val="0"/>
    <w:rPr>
      <w:rFonts w:eastAsia="仿宋_GB2312"/>
      <w:bCs/>
      <w:kern w:val="2"/>
      <w:sz w:val="28"/>
      <w:szCs w:val="28"/>
      <w:lang w:val="en-US" w:eastAsia="zh-CN" w:bidi="ar-SA"/>
    </w:rPr>
  </w:style>
  <w:style w:type="paragraph" w:customStyle="1" w:styleId="2183">
    <w:name w:val="样式 正文文本缩进特点标题表内左齐 + 首行缩进:  2 字符"/>
    <w:basedOn w:val="35"/>
    <w:autoRedefine/>
    <w:qFormat/>
    <w:uiPriority w:val="0"/>
    <w:pPr>
      <w:snapToGrid/>
      <w:ind w:left="0" w:leftChars="0" w:firstLine="200"/>
      <w:jc w:val="both"/>
    </w:pPr>
    <w:rPr>
      <w:rFonts w:eastAsia="仿宋_GB2312"/>
      <w:snapToGrid w:val="0"/>
      <w:color w:val="000000"/>
      <w:spacing w:val="4"/>
      <w:szCs w:val="24"/>
    </w:rPr>
  </w:style>
  <w:style w:type="character" w:customStyle="1" w:styleId="2184">
    <w:name w:val="样式 标题 3 + 小四 非加粗 Char"/>
    <w:autoRedefine/>
    <w:qFormat/>
    <w:uiPriority w:val="0"/>
    <w:rPr>
      <w:rFonts w:eastAsia="仿宋_GB2312"/>
      <w:b/>
      <w:bCs/>
      <w:kern w:val="2"/>
      <w:sz w:val="24"/>
      <w:szCs w:val="24"/>
      <w:lang w:val="en-US" w:eastAsia="zh-CN" w:bidi="ar-SA"/>
    </w:rPr>
  </w:style>
  <w:style w:type="character" w:customStyle="1" w:styleId="2185">
    <w:name w:val="样式 标题 2 + (西文) Times New Roman (中文) 仿宋_GB2312 四号 非加粗 Char"/>
    <w:autoRedefine/>
    <w:qFormat/>
    <w:uiPriority w:val="0"/>
    <w:rPr>
      <w:rFonts w:eastAsia="仿宋_GB2312"/>
      <w:bCs/>
      <w:kern w:val="2"/>
      <w:sz w:val="28"/>
      <w:szCs w:val="28"/>
      <w:lang w:val="en-US" w:eastAsia="zh-CN" w:bidi="ar-SA"/>
    </w:rPr>
  </w:style>
  <w:style w:type="character" w:customStyle="1" w:styleId="2186">
    <w:name w:val="样式 样式 样式 标题 2 + (西文) Times New Roman (中文) 仿宋_GB2312 四号 非加粗 + Ari... Char"/>
    <w:autoRedefine/>
    <w:qFormat/>
    <w:uiPriority w:val="0"/>
    <w:rPr>
      <w:rFonts w:eastAsia="仿宋_GB2312"/>
      <w:bCs/>
      <w:kern w:val="2"/>
      <w:sz w:val="28"/>
      <w:szCs w:val="28"/>
      <w:lang w:val="en-US" w:eastAsia="zh-CN" w:bidi="ar-SA"/>
    </w:rPr>
  </w:style>
  <w:style w:type="paragraph" w:customStyle="1" w:styleId="2187">
    <w:name w:val="样式 标题 2 + 加粗 行距: 1.5 倍行距"/>
    <w:basedOn w:val="4"/>
    <w:autoRedefine/>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2188">
    <w:name w:val="样式 样式 标题 3 + 小四 非加粗 + Char"/>
    <w:autoRedefine/>
    <w:qFormat/>
    <w:uiPriority w:val="0"/>
  </w:style>
  <w:style w:type="character" w:customStyle="1" w:styleId="2189">
    <w:name w:val="样式 样式 样式 标题 3 + 小四 非加粗 + + Char"/>
    <w:autoRedefine/>
    <w:qFormat/>
    <w:uiPriority w:val="0"/>
  </w:style>
  <w:style w:type="character" w:customStyle="1" w:styleId="2190">
    <w:name w:val="f9"/>
    <w:autoRedefine/>
    <w:qFormat/>
    <w:uiPriority w:val="0"/>
    <w:rPr>
      <w:rFonts w:ascii="Times New Roman" w:hAnsi="Times New Roman" w:eastAsia="仿宋_GB2312"/>
      <w:sz w:val="24"/>
    </w:rPr>
  </w:style>
  <w:style w:type="paragraph" w:customStyle="1" w:styleId="2191">
    <w:name w:val="框图sq"/>
    <w:basedOn w:val="1"/>
    <w:autoRedefine/>
    <w:qFormat/>
    <w:uiPriority w:val="0"/>
    <w:pPr>
      <w:adjustRightInd w:val="0"/>
      <w:snapToGrid/>
      <w:spacing w:line="0" w:lineRule="atLeast"/>
      <w:ind w:firstLine="0" w:firstLineChars="0"/>
      <w:jc w:val="both"/>
      <w:textAlignment w:val="baseline"/>
    </w:pPr>
    <w:rPr>
      <w:rFonts w:ascii="宋体"/>
      <w:kern w:val="0"/>
      <w:sz w:val="21"/>
      <w:szCs w:val="20"/>
    </w:rPr>
  </w:style>
  <w:style w:type="character" w:customStyle="1" w:styleId="2192">
    <w:name w:val="style1"/>
    <w:autoRedefine/>
    <w:qFormat/>
    <w:uiPriority w:val="0"/>
  </w:style>
  <w:style w:type="paragraph" w:customStyle="1" w:styleId="2193">
    <w:name w:val="样式 正文文本缩进正文文字缩进特点标题表内左齐 + (中文) 仿宋_GB2312 11 磅 两端对齐 行距: 1.5..."/>
    <w:basedOn w:val="35"/>
    <w:autoRedefine/>
    <w:qFormat/>
    <w:uiPriority w:val="0"/>
    <w:pPr>
      <w:autoSpaceDE w:val="0"/>
      <w:autoSpaceDN w:val="0"/>
      <w:ind w:left="0" w:leftChars="0" w:firstLine="440"/>
      <w:jc w:val="both"/>
    </w:pPr>
    <w:rPr>
      <w:rFonts w:eastAsia="仿宋_GB2312"/>
      <w:sz w:val="22"/>
      <w:szCs w:val="24"/>
    </w:rPr>
  </w:style>
  <w:style w:type="paragraph" w:customStyle="1" w:styleId="2194">
    <w:name w:val="样式 正文文本缩进正文文字缩进特点标题表内左齐 + (中文) 仿宋_GB2312 11 磅 两端对齐 行距: 1.5...1"/>
    <w:basedOn w:val="35"/>
    <w:autoRedefine/>
    <w:qFormat/>
    <w:uiPriority w:val="0"/>
    <w:pPr>
      <w:autoSpaceDE w:val="0"/>
      <w:autoSpaceDN w:val="0"/>
      <w:ind w:left="0" w:leftChars="0" w:firstLine="440"/>
      <w:jc w:val="both"/>
    </w:pPr>
    <w:rPr>
      <w:rFonts w:eastAsia="仿宋_GB2312"/>
      <w:sz w:val="22"/>
      <w:szCs w:val="24"/>
    </w:rPr>
  </w:style>
  <w:style w:type="paragraph" w:customStyle="1" w:styleId="2195">
    <w:name w:val="样式 正文文字缩进 3 + (西文) Times New Roman (中文) 仿宋_GB2312 11 磅"/>
    <w:basedOn w:val="87"/>
    <w:next w:val="2194"/>
    <w:autoRedefine/>
    <w:qFormat/>
    <w:uiPriority w:val="0"/>
    <w:pPr>
      <w:snapToGrid w:val="0"/>
      <w:spacing w:after="0" w:line="312" w:lineRule="auto"/>
      <w:ind w:firstLine="330" w:firstLineChars="150"/>
      <w:textAlignment w:val="baseline"/>
    </w:pPr>
    <w:rPr>
      <w:rFonts w:ascii="Times New Roman" w:hAnsi="Arial"/>
      <w:snapToGrid w:val="0"/>
      <w:spacing w:val="6"/>
      <w:kern w:val="0"/>
      <w:sz w:val="22"/>
    </w:rPr>
  </w:style>
  <w:style w:type="paragraph" w:customStyle="1" w:styleId="2196">
    <w:name w:val="样式 正文文本缩进正文文字缩进特点标题表内左齐 + (中文) 仿宋_GB2312 11.5 磅 两端对齐 行距: 1..."/>
    <w:basedOn w:val="51"/>
    <w:autoRedefine/>
    <w:qFormat/>
    <w:uiPriority w:val="0"/>
    <w:pPr>
      <w:widowControl/>
      <w:snapToGrid/>
      <w:spacing w:line="360" w:lineRule="auto"/>
      <w:ind w:left="0" w:leftChars="0" w:firstLine="460"/>
      <w:jc w:val="both"/>
    </w:pPr>
    <w:rPr>
      <w:rFonts w:eastAsia="仿宋_GB2312"/>
      <w:kern w:val="0"/>
      <w:sz w:val="23"/>
      <w:szCs w:val="20"/>
    </w:rPr>
  </w:style>
  <w:style w:type="paragraph" w:customStyle="1" w:styleId="2197">
    <w:name w:val="标题正文"/>
    <w:basedOn w:val="1"/>
    <w:autoRedefine/>
    <w:qFormat/>
    <w:uiPriority w:val="0"/>
    <w:pPr>
      <w:snapToGrid/>
      <w:jc w:val="both"/>
    </w:pPr>
    <w:rPr>
      <w:rFonts w:eastAsia="仿宋_GB2312"/>
      <w:szCs w:val="20"/>
    </w:rPr>
  </w:style>
  <w:style w:type="paragraph" w:customStyle="1" w:styleId="2198">
    <w:name w:val="文本正文"/>
    <w:basedOn w:val="1"/>
    <w:autoRedefine/>
    <w:qFormat/>
    <w:uiPriority w:val="0"/>
    <w:pPr>
      <w:snapToGrid/>
      <w:jc w:val="both"/>
    </w:pPr>
    <w:rPr>
      <w:rFonts w:eastAsia="仿宋_GB2312"/>
    </w:rPr>
  </w:style>
  <w:style w:type="character" w:customStyle="1" w:styleId="2199">
    <w:name w:val="表头字体 Char"/>
    <w:link w:val="2139"/>
    <w:autoRedefine/>
    <w:qFormat/>
    <w:uiPriority w:val="0"/>
    <w:rPr>
      <w:b/>
      <w:kern w:val="2"/>
      <w:sz w:val="24"/>
      <w:szCs w:val="24"/>
    </w:rPr>
  </w:style>
  <w:style w:type="paragraph" w:customStyle="1" w:styleId="2200">
    <w:name w:val="样式 表头 + 两端对齐"/>
    <w:basedOn w:val="287"/>
    <w:autoRedefine/>
    <w:qFormat/>
    <w:uiPriority w:val="0"/>
    <w:pPr>
      <w:keepNext/>
      <w:keepLines/>
      <w:tabs>
        <w:tab w:val="clear" w:pos="4060"/>
        <w:tab w:val="clear" w:pos="8261"/>
      </w:tabs>
      <w:suppressAutoHyphens w:val="0"/>
      <w:snapToGrid w:val="0"/>
      <w:spacing w:before="60" w:line="360" w:lineRule="auto"/>
    </w:pPr>
    <w:rPr>
      <w:rFonts w:ascii="Times New Roman" w:eastAsia="仿宋_GB2312"/>
      <w:snapToGrid w:val="0"/>
      <w:spacing w:val="0"/>
      <w:sz w:val="24"/>
      <w:szCs w:val="20"/>
    </w:rPr>
  </w:style>
  <w:style w:type="character" w:customStyle="1" w:styleId="2201">
    <w:name w:val="unnamed1"/>
    <w:autoRedefine/>
    <w:qFormat/>
    <w:uiPriority w:val="0"/>
  </w:style>
  <w:style w:type="paragraph" w:customStyle="1" w:styleId="2202">
    <w:name w:val="样式 表格文字 + 五号 黑色"/>
    <w:basedOn w:val="45"/>
    <w:autoRedefine/>
    <w:qFormat/>
    <w:uiPriority w:val="0"/>
    <w:pPr>
      <w:snapToGrid w:val="0"/>
      <w:spacing w:beforeLines="20" w:afterLines="0" w:line="240" w:lineRule="atLeast"/>
      <w:ind w:firstLine="0" w:firstLineChars="0"/>
      <w:jc w:val="center"/>
    </w:pPr>
    <w:rPr>
      <w:rFonts w:ascii="Times New Roman" w:hAnsi="Times New Roman"/>
      <w:snapToGrid w:val="0"/>
      <w:color w:val="000000"/>
      <w:kern w:val="0"/>
      <w:sz w:val="21"/>
      <w:szCs w:val="21"/>
    </w:rPr>
  </w:style>
  <w:style w:type="paragraph" w:customStyle="1" w:styleId="2203">
    <w:name w:val="样式 表标题 + 段前: 0.5 行"/>
    <w:basedOn w:val="415"/>
    <w:autoRedefine/>
    <w:qFormat/>
    <w:uiPriority w:val="0"/>
    <w:pPr>
      <w:keepNext/>
      <w:keepLines/>
      <w:widowControl w:val="0"/>
      <w:adjustRightInd w:val="0"/>
      <w:snapToGrid w:val="0"/>
      <w:spacing w:line="348" w:lineRule="auto"/>
    </w:pPr>
    <w:rPr>
      <w:rFonts w:ascii="Times New Roman" w:hAnsi="Times New Roman" w:eastAsia="宋体"/>
      <w:b w:val="0"/>
      <w:bCs w:val="0"/>
      <w:snapToGrid w:val="0"/>
      <w:spacing w:val="0"/>
    </w:rPr>
  </w:style>
  <w:style w:type="character" w:customStyle="1" w:styleId="2204">
    <w:name w:val="标题 4 Char Char Char Char Char Char Char Char Char Char Char Char Char Char Char Char Char Char Char"/>
    <w:qFormat/>
    <w:uiPriority w:val="0"/>
    <w:rPr>
      <w:rFonts w:ascii="Arial" w:hAnsi="Arial" w:eastAsia="黑体"/>
      <w:b/>
      <w:bCs/>
      <w:snapToGrid w:val="0"/>
      <w:sz w:val="24"/>
      <w:szCs w:val="28"/>
      <w:lang w:val="en-US" w:eastAsia="zh-CN" w:bidi="ar-SA"/>
    </w:rPr>
  </w:style>
  <w:style w:type="paragraph" w:customStyle="1" w:styleId="2205">
    <w:name w:val="样式 标题 1 + 仿宋_GB2312 加粗 首行缩进:  2 字符"/>
    <w:basedOn w:val="3"/>
    <w:autoRedefine/>
    <w:uiPriority w:val="0"/>
    <w:pPr>
      <w:keepNext/>
      <w:keepLines/>
      <w:numPr>
        <w:numId w:val="0"/>
      </w:numPr>
      <w:overflowPunct/>
      <w:snapToGrid/>
      <w:spacing w:before="340" w:beforeLines="10" w:after="330" w:afterLines="10" w:line="578" w:lineRule="auto"/>
      <w:ind w:firstLine="200" w:firstLineChars="200"/>
      <w:jc w:val="both"/>
    </w:pPr>
    <w:rPr>
      <w:rFonts w:eastAsia="宋体"/>
      <w:snapToGrid/>
      <w:color w:val="auto"/>
      <w:sz w:val="44"/>
      <w:szCs w:val="44"/>
    </w:rPr>
  </w:style>
  <w:style w:type="paragraph" w:customStyle="1" w:styleId="2206">
    <w:name w:val="文本框五号 Char"/>
    <w:autoRedefine/>
    <w:qFormat/>
    <w:uiPriority w:val="0"/>
    <w:pPr>
      <w:jc w:val="center"/>
    </w:pPr>
    <w:rPr>
      <w:rFonts w:ascii="Times New Roman" w:hAnsi="Times New Roman" w:eastAsia="仿宋_GB2312" w:cs="Times New Roman"/>
      <w:kern w:val="2"/>
      <w:sz w:val="21"/>
      <w:szCs w:val="21"/>
      <w:lang w:val="en-US" w:eastAsia="zh-CN" w:bidi="ar-SA"/>
    </w:rPr>
  </w:style>
  <w:style w:type="character" w:customStyle="1" w:styleId="2207">
    <w:name w:val="文本框五号 Char Char"/>
    <w:autoRedefine/>
    <w:qFormat/>
    <w:uiPriority w:val="0"/>
    <w:rPr>
      <w:rFonts w:eastAsia="仿宋_GB2312"/>
      <w:kern w:val="2"/>
      <w:sz w:val="21"/>
      <w:szCs w:val="21"/>
      <w:lang w:val="en-US" w:eastAsia="zh-CN" w:bidi="ar-SA"/>
    </w:rPr>
  </w:style>
  <w:style w:type="paragraph" w:customStyle="1" w:styleId="2208">
    <w:name w:val="文本框5号两端齐"/>
    <w:basedOn w:val="2206"/>
    <w:autoRedefine/>
    <w:uiPriority w:val="0"/>
    <w:pPr>
      <w:jc w:val="both"/>
    </w:pPr>
    <w:rPr>
      <w:sz w:val="15"/>
      <w:szCs w:val="15"/>
    </w:rPr>
  </w:style>
  <w:style w:type="paragraph" w:customStyle="1" w:styleId="2209">
    <w:name w:val="码头表"/>
    <w:basedOn w:val="1"/>
    <w:autoRedefine/>
    <w:qFormat/>
    <w:uiPriority w:val="0"/>
    <w:pPr>
      <w:snapToGrid/>
      <w:spacing w:line="240" w:lineRule="auto"/>
      <w:ind w:firstLine="0" w:firstLineChars="0"/>
      <w:jc w:val="center"/>
    </w:pPr>
    <w:rPr>
      <w:rFonts w:eastAsia="仿宋_GB2312"/>
      <w:color w:val="FF6600"/>
      <w:sz w:val="21"/>
    </w:rPr>
  </w:style>
  <w:style w:type="character" w:customStyle="1" w:styleId="2210">
    <w:name w:val="文本框五号 Char Char Char"/>
    <w:qFormat/>
    <w:uiPriority w:val="0"/>
    <w:rPr>
      <w:rFonts w:eastAsia="仿宋_GB2312"/>
      <w:kern w:val="2"/>
      <w:sz w:val="21"/>
      <w:szCs w:val="21"/>
      <w:lang w:val="en-US" w:eastAsia="zh-CN" w:bidi="ar-SA"/>
    </w:rPr>
  </w:style>
  <w:style w:type="paragraph" w:customStyle="1" w:styleId="2211">
    <w:name w:val="文本框五号1.5倍行距"/>
    <w:basedOn w:val="2206"/>
    <w:autoRedefine/>
    <w:uiPriority w:val="0"/>
    <w:pPr>
      <w:spacing w:line="360" w:lineRule="auto"/>
    </w:pPr>
  </w:style>
  <w:style w:type="character" w:customStyle="1" w:styleId="2212">
    <w:name w:val="文本框五号1.5倍行距 Char"/>
    <w:autoRedefine/>
    <w:qFormat/>
    <w:uiPriority w:val="0"/>
  </w:style>
  <w:style w:type="character" w:customStyle="1" w:styleId="2213">
    <w:name w:val="文本框五号 Char Char Char Char"/>
    <w:qFormat/>
    <w:uiPriority w:val="0"/>
    <w:rPr>
      <w:rFonts w:eastAsia="仿宋_GB2312"/>
      <w:kern w:val="2"/>
      <w:sz w:val="21"/>
      <w:szCs w:val="21"/>
      <w:lang w:val="en-US" w:eastAsia="zh-CN" w:bidi="ar-SA"/>
    </w:rPr>
  </w:style>
  <w:style w:type="character" w:customStyle="1" w:styleId="2214">
    <w:name w:val="文本框五号1.5倍行距 Char Char"/>
    <w:autoRedefine/>
    <w:uiPriority w:val="0"/>
    <w:rPr>
      <w:rFonts w:eastAsia="仿宋_GB2312"/>
      <w:kern w:val="2"/>
      <w:sz w:val="21"/>
      <w:szCs w:val="21"/>
      <w:lang w:val="en-US" w:eastAsia="zh-CN" w:bidi="ar-SA"/>
    </w:rPr>
  </w:style>
  <w:style w:type="paragraph" w:customStyle="1" w:styleId="2215">
    <w:name w:val="表格文字五"/>
    <w:basedOn w:val="1"/>
    <w:autoRedefine/>
    <w:qFormat/>
    <w:uiPriority w:val="0"/>
    <w:pPr>
      <w:adjustRightInd w:val="0"/>
      <w:spacing w:beforeLines="20" w:afterLines="20" w:line="312" w:lineRule="auto"/>
      <w:ind w:firstLine="0" w:firstLineChars="0"/>
      <w:jc w:val="both"/>
    </w:pPr>
    <w:rPr>
      <w:rFonts w:eastAsia="仿宋_GB2312"/>
      <w:sz w:val="21"/>
      <w:szCs w:val="21"/>
    </w:rPr>
  </w:style>
  <w:style w:type="character" w:customStyle="1" w:styleId="2216">
    <w:name w:val="contenttext1"/>
    <w:autoRedefine/>
    <w:qFormat/>
    <w:uiPriority w:val="0"/>
  </w:style>
  <w:style w:type="paragraph" w:customStyle="1" w:styleId="2217">
    <w:name w:val="表名称"/>
    <w:basedOn w:val="1"/>
    <w:autoRedefine/>
    <w:uiPriority w:val="0"/>
    <w:pPr>
      <w:tabs>
        <w:tab w:val="left" w:pos="-120"/>
      </w:tabs>
      <w:overflowPunct w:val="0"/>
      <w:topLinePunct/>
      <w:autoSpaceDE w:val="0"/>
      <w:adjustRightInd w:val="0"/>
      <w:spacing w:line="240" w:lineRule="atLeast"/>
      <w:ind w:firstLine="0" w:firstLineChars="0"/>
      <w:textAlignment w:val="baseline"/>
    </w:pPr>
    <w:rPr>
      <w:rFonts w:eastAsia="仿宋_GB2312"/>
      <w:spacing w:val="16"/>
      <w:kern w:val="0"/>
    </w:rPr>
  </w:style>
  <w:style w:type="paragraph" w:customStyle="1" w:styleId="2218">
    <w:name w:val="样式 样式4 + 字距调整小四"/>
    <w:basedOn w:val="1"/>
    <w:autoRedefine/>
    <w:qFormat/>
    <w:uiPriority w:val="0"/>
    <w:pPr>
      <w:snapToGrid/>
      <w:spacing w:line="240" w:lineRule="auto"/>
      <w:ind w:firstLine="0" w:firstLineChars="0"/>
      <w:jc w:val="both"/>
    </w:pPr>
    <w:rPr>
      <w:rFonts w:ascii="Arial" w:hAnsi="Arial" w:eastAsia="楷体_GB2312" w:cs="Arial"/>
      <w:kern w:val="24"/>
    </w:rPr>
  </w:style>
  <w:style w:type="paragraph" w:customStyle="1" w:styleId="2219">
    <w:name w:val="表格五中"/>
    <w:qFormat/>
    <w:uiPriority w:val="0"/>
    <w:pPr>
      <w:adjustRightInd w:val="0"/>
      <w:snapToGrid w:val="0"/>
      <w:spacing w:line="240" w:lineRule="atLeast"/>
      <w:jc w:val="center"/>
    </w:pPr>
    <w:rPr>
      <w:rFonts w:ascii="Times New Roman" w:hAnsi="Times New Roman" w:eastAsia="宋体" w:cs="Times New Roman"/>
      <w:sz w:val="21"/>
      <w:lang w:val="en-US" w:eastAsia="zh-CN" w:bidi="ar-SA"/>
    </w:rPr>
  </w:style>
  <w:style w:type="paragraph" w:customStyle="1" w:styleId="2220">
    <w:name w:val="lff"/>
    <w:basedOn w:val="86"/>
    <w:autoRedefine/>
    <w:qFormat/>
    <w:uiPriority w:val="0"/>
    <w:pPr>
      <w:adjustRightInd w:val="0"/>
      <w:snapToGrid w:val="0"/>
      <w:spacing w:after="0" w:line="360" w:lineRule="auto"/>
      <w:ind w:firstLine="200" w:firstLineChars="200"/>
    </w:pPr>
    <w:rPr>
      <w:rFonts w:eastAsia="仿宋_GB2312"/>
      <w:sz w:val="21"/>
      <w:szCs w:val="21"/>
    </w:rPr>
  </w:style>
  <w:style w:type="character" w:customStyle="1" w:styleId="2221">
    <w:name w:val="lff Char"/>
    <w:autoRedefine/>
    <w:qFormat/>
    <w:uiPriority w:val="0"/>
    <w:rPr>
      <w:rFonts w:eastAsia="仿宋_GB2312"/>
      <w:color w:val="000000"/>
      <w:kern w:val="2"/>
      <w:sz w:val="21"/>
      <w:szCs w:val="21"/>
      <w:lang w:val="en-US" w:eastAsia="zh-CN" w:bidi="ar-SA"/>
    </w:rPr>
  </w:style>
  <w:style w:type="paragraph" w:customStyle="1" w:styleId="2222">
    <w:name w:val="编号4号"/>
    <w:basedOn w:val="1"/>
    <w:qFormat/>
    <w:uiPriority w:val="0"/>
    <w:pPr>
      <w:widowControl/>
      <w:spacing w:line="312" w:lineRule="auto"/>
      <w:ind w:firstLine="0" w:firstLineChars="0"/>
      <w:jc w:val="both"/>
    </w:pPr>
    <w:rPr>
      <w:rFonts w:ascii="Arial" w:hAnsi="Arial" w:cs="Arial"/>
      <w:sz w:val="21"/>
    </w:rPr>
  </w:style>
  <w:style w:type="character" w:customStyle="1" w:styleId="2223">
    <w:name w:val="td11"/>
    <w:autoRedefine/>
    <w:uiPriority w:val="0"/>
    <w:rPr>
      <w:rFonts w:hint="default" w:ascii="ˎ̥" w:hAnsi="ˎ̥"/>
      <w:color w:val="000000"/>
      <w:sz w:val="18"/>
      <w:szCs w:val="18"/>
    </w:rPr>
  </w:style>
  <w:style w:type="paragraph" w:customStyle="1" w:styleId="2224">
    <w:name w:val="tit"/>
    <w:basedOn w:val="1"/>
    <w:autoRedefine/>
    <w:qFormat/>
    <w:uiPriority w:val="0"/>
    <w:pPr>
      <w:adjustRightInd w:val="0"/>
      <w:spacing w:line="240" w:lineRule="auto"/>
      <w:ind w:firstLine="0" w:firstLineChars="0"/>
      <w:jc w:val="center"/>
      <w:textAlignment w:val="baseline"/>
    </w:pPr>
    <w:rPr>
      <w:kern w:val="0"/>
      <w:sz w:val="21"/>
      <w:szCs w:val="20"/>
    </w:rPr>
  </w:style>
  <w:style w:type="paragraph" w:customStyle="1" w:styleId="2225">
    <w:name w:val="样式 标题 2节标题 1.1b21.1标题2h2l22nd levelTitre2Header 2标题2b2..."/>
    <w:basedOn w:val="4"/>
    <w:qFormat/>
    <w:uiPriority w:val="0"/>
    <w:pPr>
      <w:keepNext/>
      <w:keepLines/>
      <w:numPr>
        <w:ilvl w:val="0"/>
        <w:numId w:val="0"/>
      </w:numPr>
      <w:snapToGrid/>
      <w:spacing w:before="260" w:beforeLines="10" w:after="260" w:afterLines="10" w:line="416" w:lineRule="auto"/>
      <w:ind w:firstLine="200" w:firstLineChars="200"/>
      <w:jc w:val="both"/>
    </w:pPr>
    <w:rPr>
      <w:rFonts w:ascii="Cambria" w:hAnsi="Cambria"/>
      <w:sz w:val="32"/>
    </w:rPr>
  </w:style>
  <w:style w:type="character" w:customStyle="1" w:styleId="2226">
    <w:name w:val="图标字体 Char"/>
    <w:link w:val="2165"/>
    <w:autoRedefine/>
    <w:uiPriority w:val="0"/>
    <w:rPr>
      <w:b/>
      <w:kern w:val="2"/>
      <w:sz w:val="24"/>
      <w:szCs w:val="26"/>
    </w:rPr>
  </w:style>
  <w:style w:type="paragraph" w:customStyle="1" w:styleId="2227">
    <w:name w:val="样式 样式 正文 楷体_GB2312 四号 行距: 固定值 30 磅 + 首行缩进:  2 字符1 + 首行缩进:  2 字符"/>
    <w:basedOn w:val="1"/>
    <w:autoRedefine/>
    <w:qFormat/>
    <w:uiPriority w:val="0"/>
    <w:pPr>
      <w:adjustRightInd w:val="0"/>
      <w:spacing w:line="348" w:lineRule="auto"/>
      <w:ind w:firstLine="560"/>
      <w:jc w:val="center"/>
    </w:pPr>
    <w:rPr>
      <w:rFonts w:hAnsi="宋体"/>
      <w:color w:val="000000"/>
      <w:kern w:val="0"/>
      <w:sz w:val="28"/>
      <w:szCs w:val="20"/>
    </w:rPr>
  </w:style>
  <w:style w:type="character" w:customStyle="1" w:styleId="2228">
    <w:name w:val="highlight1"/>
    <w:autoRedefine/>
    <w:qFormat/>
    <w:uiPriority w:val="0"/>
    <w:rPr>
      <w:sz w:val="21"/>
      <w:szCs w:val="21"/>
    </w:rPr>
  </w:style>
  <w:style w:type="paragraph" w:customStyle="1" w:styleId="2229">
    <w:name w:val="Char Char Char1 Char Char Char Char Char Char Char Char Char Char"/>
    <w:basedOn w:val="1"/>
    <w:semiHidden/>
    <w:qFormat/>
    <w:uiPriority w:val="0"/>
    <w:pPr>
      <w:adjustRightInd w:val="0"/>
      <w:ind w:firstLine="200"/>
      <w:jc w:val="both"/>
    </w:pPr>
    <w:rPr>
      <w:rFonts w:ascii="宋体" w:hAnsi="宋体" w:cs="宋体"/>
      <w:szCs w:val="26"/>
    </w:rPr>
  </w:style>
  <w:style w:type="table" w:customStyle="1" w:styleId="2230">
    <w:name w:val="网格型12"/>
    <w:basedOn w:val="88"/>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31">
    <w:name w:val="正文首行缩进2"/>
    <w:basedOn w:val="34"/>
    <w:autoRedefine/>
    <w:qFormat/>
    <w:uiPriority w:val="0"/>
    <w:pPr>
      <w:widowControl w:val="0"/>
      <w:adjustRightInd w:val="0"/>
      <w:snapToGrid/>
      <w:spacing w:before="0" w:after="120" w:line="312" w:lineRule="auto"/>
      <w:ind w:right="0" w:firstLine="567" w:firstLineChars="0"/>
      <w:textAlignment w:val="baseline"/>
    </w:pPr>
    <w:rPr>
      <w:sz w:val="28"/>
    </w:rPr>
  </w:style>
  <w:style w:type="paragraph" w:customStyle="1" w:styleId="2232">
    <w:name w:val="Body Text First Indent2"/>
    <w:basedOn w:val="34"/>
    <w:autoRedefine/>
    <w:qFormat/>
    <w:uiPriority w:val="0"/>
    <w:pPr>
      <w:widowControl w:val="0"/>
      <w:adjustRightInd w:val="0"/>
      <w:snapToGrid/>
      <w:spacing w:before="0" w:after="120" w:line="312" w:lineRule="auto"/>
      <w:ind w:right="0" w:firstLine="567" w:firstLineChars="0"/>
      <w:jc w:val="both"/>
      <w:textAlignment w:val="baseline"/>
    </w:pPr>
    <w:rPr>
      <w:rFonts w:eastAsia="Wingdings"/>
      <w:sz w:val="28"/>
    </w:rPr>
  </w:style>
  <w:style w:type="paragraph" w:customStyle="1" w:styleId="2233">
    <w:name w:val="Body Text First Indent1"/>
    <w:basedOn w:val="34"/>
    <w:autoRedefine/>
    <w:qFormat/>
    <w:uiPriority w:val="0"/>
    <w:pPr>
      <w:widowControl w:val="0"/>
      <w:adjustRightInd w:val="0"/>
      <w:snapToGrid/>
      <w:spacing w:before="0" w:after="120" w:line="480" w:lineRule="exact"/>
      <w:ind w:right="0" w:firstLine="567" w:firstLineChars="0"/>
      <w:jc w:val="both"/>
      <w:textAlignment w:val="baseline"/>
    </w:pPr>
    <w:rPr>
      <w:rFonts w:eastAsia="Wingdings"/>
      <w:sz w:val="28"/>
    </w:rPr>
  </w:style>
  <w:style w:type="paragraph" w:customStyle="1" w:styleId="2234">
    <w:name w:val="正文文本缩进 21"/>
    <w:basedOn w:val="1"/>
    <w:autoRedefine/>
    <w:qFormat/>
    <w:uiPriority w:val="0"/>
    <w:pPr>
      <w:adjustRightInd w:val="0"/>
      <w:snapToGrid/>
      <w:spacing w:line="348" w:lineRule="auto"/>
      <w:ind w:firstLine="573" w:firstLineChars="0"/>
      <w:jc w:val="both"/>
      <w:textAlignment w:val="baseline"/>
    </w:pPr>
    <w:rPr>
      <w:rFonts w:eastAsia="Wingdings"/>
      <w:sz w:val="28"/>
      <w:szCs w:val="20"/>
    </w:rPr>
  </w:style>
  <w:style w:type="paragraph" w:customStyle="1" w:styleId="2235">
    <w:name w:val="标题样式"/>
    <w:basedOn w:val="2040"/>
    <w:qFormat/>
    <w:uiPriority w:val="0"/>
    <w:pPr>
      <w:spacing w:line="240" w:lineRule="auto"/>
      <w:ind w:firstLine="0" w:firstLineChars="0"/>
    </w:pPr>
    <w:rPr>
      <w:rFonts w:ascii="Times New Roman" w:hAnsi="Times New Roman"/>
    </w:rPr>
  </w:style>
  <w:style w:type="paragraph" w:customStyle="1" w:styleId="2236">
    <w:name w:val="文档结构图1"/>
    <w:basedOn w:val="1"/>
    <w:autoRedefine/>
    <w:qFormat/>
    <w:uiPriority w:val="0"/>
    <w:pPr>
      <w:shd w:val="clear" w:color="auto" w:fill="000080"/>
      <w:adjustRightInd w:val="0"/>
      <w:snapToGrid/>
      <w:spacing w:line="360" w:lineRule="atLeast"/>
      <w:ind w:firstLine="0" w:firstLineChars="0"/>
      <w:textAlignment w:val="baseline"/>
    </w:pPr>
    <w:rPr>
      <w:rFonts w:eastAsia="Wingdings"/>
      <w:kern w:val="0"/>
      <w:szCs w:val="20"/>
    </w:rPr>
  </w:style>
  <w:style w:type="paragraph" w:customStyle="1" w:styleId="2237">
    <w:name w:val="样式 正文文本1 + 首行缩进:  2 字符2"/>
    <w:basedOn w:val="1"/>
    <w:autoRedefine/>
    <w:qFormat/>
    <w:uiPriority w:val="0"/>
    <w:pPr>
      <w:adjustRightInd w:val="0"/>
      <w:spacing w:line="348" w:lineRule="auto"/>
      <w:ind w:firstLine="0" w:firstLineChars="0"/>
      <w:jc w:val="both"/>
    </w:pPr>
    <w:rPr>
      <w:sz w:val="28"/>
      <w:szCs w:val="20"/>
    </w:rPr>
  </w:style>
  <w:style w:type="paragraph" w:customStyle="1" w:styleId="2238">
    <w:name w:val="正文 楷体_GB2312 四号 行距: 固定值 30 磅"/>
    <w:basedOn w:val="1"/>
    <w:autoRedefine/>
    <w:qFormat/>
    <w:uiPriority w:val="0"/>
    <w:pPr>
      <w:snapToGrid/>
      <w:spacing w:line="400" w:lineRule="exact"/>
      <w:ind w:firstLine="0" w:firstLineChars="0"/>
      <w:jc w:val="center"/>
    </w:pPr>
    <w:rPr>
      <w:rFonts w:ascii="Arial" w:hAnsi="Arial" w:cs="Arial"/>
      <w:sz w:val="21"/>
      <w:szCs w:val="21"/>
    </w:rPr>
  </w:style>
  <w:style w:type="paragraph" w:customStyle="1" w:styleId="2239">
    <w:name w:val="正文文本1"/>
    <w:basedOn w:val="1"/>
    <w:autoRedefine/>
    <w:uiPriority w:val="0"/>
    <w:pPr>
      <w:adjustRightInd w:val="0"/>
      <w:spacing w:line="348" w:lineRule="auto"/>
      <w:ind w:firstLine="560"/>
      <w:jc w:val="center"/>
    </w:pPr>
    <w:rPr>
      <w:rFonts w:ascii="宋体" w:hAnsi="华文宋体" w:cs="宋体"/>
      <w:w w:val="80"/>
      <w:sz w:val="28"/>
      <w:szCs w:val="20"/>
    </w:rPr>
  </w:style>
  <w:style w:type="character" w:customStyle="1" w:styleId="2240">
    <w:name w:val="正文文本1 Char"/>
    <w:autoRedefine/>
    <w:uiPriority w:val="0"/>
    <w:rPr>
      <w:rFonts w:ascii="宋体" w:hAnsi="华文宋体" w:eastAsia="宋体" w:cs="宋体"/>
      <w:w w:val="80"/>
      <w:kern w:val="2"/>
      <w:sz w:val="28"/>
      <w:lang w:val="en-US" w:eastAsia="zh-CN" w:bidi="ar-SA"/>
    </w:rPr>
  </w:style>
  <w:style w:type="character" w:customStyle="1" w:styleId="2241">
    <w:name w:val="da"/>
    <w:uiPriority w:val="0"/>
  </w:style>
  <w:style w:type="paragraph" w:customStyle="1" w:styleId="2242">
    <w:name w:val="样式 正文首行缩进 + 段后: 0 磅"/>
    <w:basedOn w:val="86"/>
    <w:autoRedefine/>
    <w:qFormat/>
    <w:uiPriority w:val="0"/>
    <w:pPr>
      <w:adjustRightInd w:val="0"/>
      <w:snapToGrid w:val="0"/>
      <w:spacing w:after="0" w:line="348" w:lineRule="auto"/>
      <w:ind w:firstLine="200" w:firstLineChars="200"/>
      <w:jc w:val="left"/>
      <w:textAlignment w:val="baseline"/>
    </w:pPr>
    <w:rPr>
      <w:rFonts w:cs="宋体"/>
      <w:snapToGrid w:val="0"/>
      <w:color w:val="auto"/>
      <w:kern w:val="0"/>
      <w:sz w:val="28"/>
      <w:szCs w:val="20"/>
    </w:rPr>
  </w:style>
  <w:style w:type="paragraph" w:customStyle="1" w:styleId="2243">
    <w:name w:val="样式 样式 正文文字 + 首行缩进:  2 字符 + 首行缩进:  2 字符"/>
    <w:basedOn w:val="1032"/>
    <w:autoRedefine/>
    <w:qFormat/>
    <w:uiPriority w:val="0"/>
    <w:pPr>
      <w:widowControl w:val="0"/>
      <w:adjustRightInd/>
      <w:spacing w:line="348" w:lineRule="auto"/>
      <w:ind w:firstLine="200" w:firstLineChars="200"/>
      <w:jc w:val="both"/>
    </w:pPr>
    <w:rPr>
      <w:rFonts w:ascii="Times New Roman" w:hAnsi="Times New Roman"/>
      <w:b w:val="0"/>
      <w:snapToGrid w:val="0"/>
      <w:sz w:val="28"/>
      <w:szCs w:val="28"/>
      <w:lang w:bidi="ar-SA"/>
    </w:rPr>
  </w:style>
  <w:style w:type="paragraph" w:customStyle="1" w:styleId="2244">
    <w:name w:val="正文首行缩进:  2 字符"/>
    <w:basedOn w:val="2242"/>
    <w:autoRedefine/>
    <w:qFormat/>
    <w:uiPriority w:val="0"/>
    <w:pPr>
      <w:ind w:firstLine="560"/>
    </w:pPr>
  </w:style>
  <w:style w:type="paragraph" w:customStyle="1" w:styleId="2245">
    <w:name w:val="正文缩进（首行缩进两字）"/>
    <w:basedOn w:val="1"/>
    <w:autoRedefine/>
    <w:qFormat/>
    <w:uiPriority w:val="0"/>
    <w:pPr>
      <w:adjustRightInd w:val="0"/>
      <w:spacing w:line="348" w:lineRule="auto"/>
      <w:ind w:firstLine="560"/>
      <w:jc w:val="both"/>
      <w:textAlignment w:val="baseline"/>
    </w:pPr>
    <w:rPr>
      <w:rFonts w:cs="宋体"/>
      <w:snapToGrid w:val="0"/>
      <w:color w:val="000000"/>
      <w:kern w:val="16"/>
      <w:sz w:val="28"/>
      <w:szCs w:val="20"/>
    </w:rPr>
  </w:style>
  <w:style w:type="paragraph" w:customStyle="1" w:styleId="2246">
    <w:name w:val="样式 正文缩进正文（首行缩进两字）."/>
    <w:basedOn w:val="21"/>
    <w:uiPriority w:val="0"/>
    <w:pPr>
      <w:adjustRightInd w:val="0"/>
      <w:snapToGrid w:val="0"/>
      <w:spacing w:line="348" w:lineRule="auto"/>
      <w:ind w:firstLine="200"/>
      <w:textAlignment w:val="baseline"/>
    </w:pPr>
    <w:rPr>
      <w:rFonts w:cs="宋体"/>
      <w:snapToGrid w:val="0"/>
      <w:kern w:val="0"/>
      <w:sz w:val="28"/>
      <w:szCs w:val="28"/>
    </w:rPr>
  </w:style>
  <w:style w:type="paragraph" w:customStyle="1" w:styleId="2247">
    <w:name w:val="样式 正文文字 + 宋体"/>
    <w:basedOn w:val="357"/>
    <w:uiPriority w:val="0"/>
    <w:pPr>
      <w:spacing w:beforeLines="0" w:line="348" w:lineRule="auto"/>
      <w:ind w:firstLine="200" w:firstLineChars="200"/>
    </w:pPr>
    <w:rPr>
      <w:rFonts w:ascii="Times New Roman" w:hAnsi="Times New Roman" w:eastAsia="宋体" w:cs="Times New Roman"/>
      <w:bCs w:val="0"/>
      <w:snapToGrid w:val="0"/>
      <w:color w:val="000000"/>
      <w:sz w:val="28"/>
      <w:szCs w:val="28"/>
      <w:lang w:val="en-US"/>
    </w:rPr>
  </w:style>
  <w:style w:type="paragraph" w:customStyle="1" w:styleId="2248">
    <w:name w:val="样式 正文文字 + 宋体 首行缩进:  2 字符"/>
    <w:basedOn w:val="357"/>
    <w:autoRedefine/>
    <w:qFormat/>
    <w:uiPriority w:val="0"/>
    <w:pPr>
      <w:spacing w:beforeLines="0" w:line="348" w:lineRule="auto"/>
      <w:ind w:firstLine="560" w:firstLineChars="200"/>
    </w:pPr>
    <w:rPr>
      <w:rFonts w:ascii="Times New Roman" w:hAnsi="Times New Roman" w:eastAsia="宋体" w:cs="宋体"/>
      <w:bCs w:val="0"/>
      <w:snapToGrid w:val="0"/>
      <w:color w:val="000000"/>
      <w:sz w:val="28"/>
      <w:szCs w:val="28"/>
      <w:lang w:val="en-US"/>
    </w:rPr>
  </w:style>
  <w:style w:type="paragraph" w:customStyle="1" w:styleId="2249">
    <w:name w:val="样式 正文首行缩进 + 首行缩进:  0.99 厘米"/>
    <w:basedOn w:val="86"/>
    <w:uiPriority w:val="0"/>
    <w:pPr>
      <w:adjustRightInd w:val="0"/>
      <w:snapToGrid w:val="0"/>
      <w:spacing w:after="0" w:line="348" w:lineRule="auto"/>
      <w:ind w:firstLine="200" w:firstLineChars="200"/>
      <w:jc w:val="left"/>
      <w:textAlignment w:val="baseline"/>
    </w:pPr>
    <w:rPr>
      <w:rFonts w:cs="宋体"/>
      <w:snapToGrid w:val="0"/>
      <w:color w:val="auto"/>
      <w:kern w:val="0"/>
      <w:sz w:val="28"/>
      <w:szCs w:val="28"/>
    </w:rPr>
  </w:style>
  <w:style w:type="paragraph" w:customStyle="1" w:styleId="2250">
    <w:name w:val="样式 标题 3"/>
    <w:basedOn w:val="5"/>
    <w:link w:val="2251"/>
    <w:autoRedefine/>
    <w:qFormat/>
    <w:uiPriority w:val="0"/>
    <w:pPr>
      <w:keepNext/>
      <w:keepLines/>
      <w:numPr>
        <w:ilvl w:val="0"/>
        <w:numId w:val="0"/>
      </w:numPr>
      <w:snapToGrid/>
      <w:spacing w:before="260" w:beforeLines="10" w:after="260" w:afterLines="10" w:line="416" w:lineRule="auto"/>
      <w:ind w:left="720" w:hanging="432" w:firstLineChars="200"/>
      <w:jc w:val="both"/>
    </w:pPr>
    <w:rPr>
      <w:sz w:val="32"/>
    </w:rPr>
  </w:style>
  <w:style w:type="character" w:customStyle="1" w:styleId="2251">
    <w:name w:val="样式 标题 3 Char"/>
    <w:link w:val="2250"/>
    <w:uiPriority w:val="0"/>
    <w:rPr>
      <w:b/>
      <w:bCs/>
      <w:kern w:val="2"/>
      <w:sz w:val="32"/>
      <w:szCs w:val="32"/>
    </w:rPr>
  </w:style>
  <w:style w:type="paragraph" w:customStyle="1" w:styleId="2252">
    <w:name w:val="初设段落"/>
    <w:basedOn w:val="1"/>
    <w:uiPriority w:val="0"/>
    <w:pPr>
      <w:adjustRightInd w:val="0"/>
      <w:spacing w:line="348" w:lineRule="auto"/>
      <w:ind w:firstLine="0" w:firstLineChars="0"/>
      <w:jc w:val="both"/>
    </w:pPr>
    <w:rPr>
      <w:snapToGrid w:val="0"/>
      <w:sz w:val="28"/>
    </w:rPr>
  </w:style>
  <w:style w:type="paragraph" w:customStyle="1" w:styleId="225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54">
    <w:name w:val="小标题a)"/>
    <w:basedOn w:val="1"/>
    <w:autoRedefine/>
    <w:uiPriority w:val="0"/>
    <w:pPr>
      <w:overflowPunct w:val="0"/>
      <w:topLinePunct/>
      <w:snapToGrid/>
      <w:spacing w:line="348" w:lineRule="auto"/>
      <w:ind w:firstLine="0" w:firstLineChars="0"/>
      <w:jc w:val="both"/>
    </w:pPr>
    <w:rPr>
      <w:kern w:val="0"/>
      <w:sz w:val="28"/>
      <w:szCs w:val="20"/>
    </w:rPr>
  </w:style>
  <w:style w:type="paragraph" w:customStyle="1" w:styleId="2255">
    <w:name w:val="样式 四号 行距: 多倍行距 1.45 字行1"/>
    <w:basedOn w:val="1"/>
    <w:autoRedefine/>
    <w:uiPriority w:val="0"/>
    <w:pPr>
      <w:spacing w:line="348" w:lineRule="auto"/>
      <w:ind w:firstLine="0" w:firstLineChars="0"/>
      <w:jc w:val="both"/>
    </w:pPr>
    <w:rPr>
      <w:rFonts w:cs="宋体"/>
      <w:sz w:val="28"/>
      <w:szCs w:val="20"/>
    </w:rPr>
  </w:style>
  <w:style w:type="paragraph" w:customStyle="1" w:styleId="2256">
    <w:name w:val="样式 四号 行距: 多倍行距 1.45 字行"/>
    <w:basedOn w:val="1"/>
    <w:uiPriority w:val="0"/>
    <w:pPr>
      <w:spacing w:line="348" w:lineRule="auto"/>
      <w:ind w:firstLine="0" w:firstLineChars="0"/>
      <w:jc w:val="both"/>
    </w:pPr>
    <w:rPr>
      <w:rFonts w:cs="宋体"/>
      <w:sz w:val="28"/>
      <w:szCs w:val="20"/>
    </w:rPr>
  </w:style>
  <w:style w:type="table" w:customStyle="1" w:styleId="2257">
    <w:name w:val="列表型 51"/>
    <w:basedOn w:val="88"/>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2258">
    <w:name w:val="网格型21"/>
    <w:basedOn w:val="88"/>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59">
    <w:name w:val="haha"/>
    <w:basedOn w:val="86"/>
    <w:link w:val="2260"/>
    <w:autoRedefine/>
    <w:qFormat/>
    <w:uiPriority w:val="0"/>
    <w:pPr>
      <w:spacing w:after="0" w:line="360" w:lineRule="auto"/>
      <w:ind w:firstLine="480" w:firstLineChars="200"/>
    </w:pPr>
    <w:rPr>
      <w:rFonts w:eastAsia="仿宋_GB2312"/>
      <w:color w:val="auto"/>
    </w:rPr>
  </w:style>
  <w:style w:type="character" w:customStyle="1" w:styleId="2260">
    <w:name w:val="haha Char"/>
    <w:link w:val="2259"/>
    <w:uiPriority w:val="0"/>
    <w:rPr>
      <w:rFonts w:eastAsia="仿宋_GB2312"/>
      <w:kern w:val="2"/>
      <w:sz w:val="24"/>
      <w:szCs w:val="24"/>
    </w:rPr>
  </w:style>
  <w:style w:type="paragraph" w:customStyle="1" w:styleId="2261">
    <w:name w:val="new"/>
    <w:basedOn w:val="1"/>
    <w:autoRedefine/>
    <w:qFormat/>
    <w:uiPriority w:val="0"/>
    <w:pPr>
      <w:jc w:val="both"/>
    </w:pPr>
    <w:rPr>
      <w:rFonts w:eastAsia="仿宋_GB2312"/>
    </w:rPr>
  </w:style>
  <w:style w:type="paragraph" w:customStyle="1" w:styleId="2262">
    <w:name w:val="湛江钢铁表"/>
    <w:basedOn w:val="1"/>
    <w:link w:val="2263"/>
    <w:autoRedefine/>
    <w:uiPriority w:val="0"/>
    <w:pPr>
      <w:snapToGrid/>
      <w:spacing w:beforeLines="10" w:afterLines="10"/>
      <w:ind w:firstLine="200"/>
      <w:jc w:val="both"/>
    </w:pPr>
    <w:rPr>
      <w:szCs w:val="22"/>
    </w:rPr>
  </w:style>
  <w:style w:type="character" w:customStyle="1" w:styleId="2263">
    <w:name w:val="湛江钢铁表 Char"/>
    <w:link w:val="2262"/>
    <w:uiPriority w:val="0"/>
    <w:rPr>
      <w:kern w:val="2"/>
      <w:sz w:val="24"/>
      <w:szCs w:val="22"/>
    </w:rPr>
  </w:style>
  <w:style w:type="character" w:customStyle="1" w:styleId="2264">
    <w:name w:val="标题 3 Char Char Char Char Char Char Char Char Char Char Char Char Char Char Char Char"/>
    <w:autoRedefine/>
    <w:uiPriority w:val="0"/>
    <w:rPr>
      <w:rFonts w:ascii="Times New Roman" w:hAnsi="Times New Roman" w:eastAsia="仿宋_GB2312"/>
      <w:sz w:val="24"/>
      <w:szCs w:val="32"/>
    </w:rPr>
  </w:style>
  <w:style w:type="paragraph" w:customStyle="1" w:styleId="2265">
    <w:name w:val="样式 湛江钢铁正文 +"/>
    <w:basedOn w:val="1"/>
    <w:qFormat/>
    <w:uiPriority w:val="0"/>
    <w:pPr>
      <w:adjustRightInd w:val="0"/>
      <w:spacing w:afterLines="25"/>
      <w:textAlignment w:val="baseline"/>
    </w:pPr>
    <w:rPr>
      <w:rFonts w:eastAsia="仿宋_GB2312"/>
      <w:color w:val="000000"/>
      <w:kern w:val="0"/>
    </w:rPr>
  </w:style>
  <w:style w:type="paragraph" w:customStyle="1" w:styleId="2266">
    <w:name w:val="样式 湛江钢铁表 +"/>
    <w:basedOn w:val="2262"/>
    <w:next w:val="2262"/>
    <w:link w:val="2267"/>
    <w:autoRedefine/>
    <w:qFormat/>
    <w:uiPriority w:val="0"/>
  </w:style>
  <w:style w:type="character" w:customStyle="1" w:styleId="2267">
    <w:name w:val="样式 湛江钢铁表 + Char"/>
    <w:link w:val="2266"/>
    <w:uiPriority w:val="0"/>
    <w:rPr>
      <w:kern w:val="2"/>
      <w:sz w:val="24"/>
      <w:szCs w:val="22"/>
    </w:rPr>
  </w:style>
  <w:style w:type="paragraph" w:customStyle="1" w:styleId="2268">
    <w:name w:val="大表内容"/>
    <w:autoRedefine/>
    <w:qFormat/>
    <w:uiPriority w:val="0"/>
    <w:pPr>
      <w:snapToGrid w:val="0"/>
      <w:jc w:val="center"/>
    </w:pPr>
    <w:rPr>
      <w:rFonts w:ascii="Times New Roman" w:hAnsi="Times New Roman" w:eastAsia="宋体" w:cs="Times New Roman"/>
      <w:sz w:val="21"/>
      <w:lang w:val="en-US" w:eastAsia="zh-CN" w:bidi="ar-SA"/>
    </w:rPr>
  </w:style>
  <w:style w:type="paragraph" w:customStyle="1" w:styleId="2269">
    <w:name w:val="佛表"/>
    <w:basedOn w:val="66"/>
    <w:autoRedefine/>
    <w:uiPriority w:val="0"/>
    <w:pPr>
      <w:adjustRightInd w:val="0"/>
      <w:snapToGrid w:val="0"/>
      <w:spacing w:line="348" w:lineRule="auto"/>
      <w:textAlignment w:val="auto"/>
    </w:pPr>
    <w:rPr>
      <w:color w:val="000000"/>
      <w:sz w:val="28"/>
      <w:szCs w:val="24"/>
    </w:rPr>
  </w:style>
  <w:style w:type="paragraph" w:customStyle="1" w:styleId="2270">
    <w:name w:val="湛江钢铁正文"/>
    <w:basedOn w:val="1"/>
    <w:autoRedefine/>
    <w:qFormat/>
    <w:uiPriority w:val="0"/>
    <w:pPr>
      <w:adjustRightInd w:val="0"/>
      <w:ind w:firstLine="420"/>
      <w:textAlignment w:val="baseline"/>
    </w:pPr>
    <w:rPr>
      <w:rFonts w:eastAsia="仿宋_GB2312"/>
      <w:color w:val="000000"/>
      <w:kern w:val="0"/>
      <w:sz w:val="28"/>
      <w:szCs w:val="21"/>
    </w:rPr>
  </w:style>
  <w:style w:type="paragraph" w:customStyle="1" w:styleId="2271">
    <w:name w:val="样式 湛江钢铁表 + 段前: 0.2 行 段后: 0.2 行"/>
    <w:basedOn w:val="2262"/>
    <w:autoRedefine/>
    <w:qFormat/>
    <w:uiPriority w:val="0"/>
  </w:style>
  <w:style w:type="character" w:customStyle="1" w:styleId="2272">
    <w:name w:val="wenzi"/>
    <w:autoRedefine/>
    <w:uiPriority w:val="0"/>
  </w:style>
  <w:style w:type="paragraph" w:customStyle="1" w:styleId="2273">
    <w:name w:val="湛江沥青表"/>
    <w:basedOn w:val="1"/>
    <w:autoRedefine/>
    <w:qFormat/>
    <w:uiPriority w:val="0"/>
    <w:pPr>
      <w:framePr w:hSpace="180" w:wrap="around" w:vAnchor="text" w:hAnchor="margin" w:y="524"/>
      <w:autoSpaceDE w:val="0"/>
      <w:autoSpaceDN w:val="0"/>
      <w:spacing w:line="0" w:lineRule="atLeast"/>
      <w:ind w:left="102" w:hanging="102" w:firstLineChars="0"/>
      <w:jc w:val="center"/>
    </w:pPr>
    <w:rPr>
      <w:bCs/>
      <w:sz w:val="28"/>
      <w:szCs w:val="21"/>
      <w:u w:color="000000"/>
    </w:rPr>
  </w:style>
  <w:style w:type="paragraph" w:customStyle="1" w:styleId="2274">
    <w:name w:val="湛江钢铁表标题"/>
    <w:basedOn w:val="1"/>
    <w:autoRedefine/>
    <w:uiPriority w:val="0"/>
    <w:pPr>
      <w:jc w:val="center"/>
    </w:pPr>
    <w:rPr>
      <w:rFonts w:eastAsia="仿宋_GB2312"/>
      <w:color w:val="000000"/>
      <w:kern w:val="0"/>
    </w:rPr>
  </w:style>
  <w:style w:type="paragraph" w:customStyle="1" w:styleId="2275">
    <w:name w:val="图标题"/>
    <w:basedOn w:val="1"/>
    <w:next w:val="1"/>
    <w:autoRedefine/>
    <w:qFormat/>
    <w:uiPriority w:val="0"/>
    <w:pPr>
      <w:autoSpaceDE w:val="0"/>
      <w:autoSpaceDN w:val="0"/>
      <w:adjustRightInd w:val="0"/>
      <w:spacing w:line="400" w:lineRule="atLeast"/>
      <w:ind w:firstLine="0" w:firstLineChars="0"/>
      <w:jc w:val="center"/>
      <w:textAlignment w:val="baseline"/>
    </w:pPr>
    <w:rPr>
      <w:rFonts w:eastAsia="仿宋_GB2312"/>
      <w:b/>
      <w:spacing w:val="2"/>
      <w:kern w:val="0"/>
      <w:szCs w:val="20"/>
    </w:rPr>
  </w:style>
  <w:style w:type="paragraph" w:customStyle="1" w:styleId="2276">
    <w:name w:val="表头王"/>
    <w:basedOn w:val="1"/>
    <w:autoRedefine/>
    <w:qFormat/>
    <w:uiPriority w:val="0"/>
    <w:pPr>
      <w:adjustRightInd w:val="0"/>
      <w:ind w:firstLine="0" w:firstLineChars="0"/>
      <w:jc w:val="center"/>
    </w:pPr>
    <w:rPr>
      <w:rFonts w:ascii="黑体" w:eastAsia="黑体"/>
      <w:b/>
      <w:bCs/>
      <w:color w:val="000000"/>
    </w:rPr>
  </w:style>
  <w:style w:type="paragraph" w:customStyle="1" w:styleId="2277">
    <w:name w:val="表格文字独行"/>
    <w:next w:val="1"/>
    <w:autoRedefine/>
    <w:qFormat/>
    <w:uiPriority w:val="0"/>
    <w:pPr>
      <w:spacing w:beforeLines="20" w:afterLines="20" w:line="264" w:lineRule="auto"/>
      <w:jc w:val="center"/>
    </w:pPr>
    <w:rPr>
      <w:rFonts w:ascii="Times New Roman" w:hAnsi="Times New Roman" w:eastAsia="仿宋_GB2312" w:cs="Times New Roman"/>
      <w:sz w:val="21"/>
      <w:szCs w:val="24"/>
      <w:lang w:val="en-US" w:eastAsia="zh-CN" w:bidi="ar-SA"/>
    </w:rPr>
  </w:style>
  <w:style w:type="table" w:customStyle="1" w:styleId="2278">
    <w:name w:val="网格型3"/>
    <w:basedOn w:val="88"/>
    <w:autoRedefine/>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9">
    <w:name w:val="网格型4"/>
    <w:basedOn w:val="88"/>
    <w:autoRedefine/>
    <w:qFormat/>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0">
    <w:name w:val="网格型5"/>
    <w:basedOn w:val="88"/>
    <w:qFormat/>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81">
    <w:name w:val="样式 (符号) 宋体"/>
    <w:basedOn w:val="1"/>
    <w:uiPriority w:val="0"/>
    <w:pPr>
      <w:spacing w:line="348" w:lineRule="auto"/>
      <w:ind w:firstLine="560"/>
      <w:jc w:val="both"/>
    </w:pPr>
    <w:rPr>
      <w:rFonts w:hAnsi="宋体" w:eastAsia="Times New Roman" w:cs="宋体"/>
      <w:sz w:val="28"/>
      <w:szCs w:val="20"/>
    </w:rPr>
  </w:style>
  <w:style w:type="table" w:customStyle="1" w:styleId="2282">
    <w:name w:val="网格型 511"/>
    <w:basedOn w:val="88"/>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283">
    <w:name w:val="网格型6"/>
    <w:basedOn w:val="88"/>
    <w:uiPriority w:val="0"/>
    <w:pPr>
      <w:widowControl w:val="0"/>
      <w:adjustRightInd w:val="0"/>
      <w:snapToGrid w:val="0"/>
      <w:spacing w:line="348"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4">
    <w:name w:val="网格型 71"/>
    <w:basedOn w:val="88"/>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paragraph" w:customStyle="1" w:styleId="2285">
    <w:name w:val="news"/>
    <w:basedOn w:val="1"/>
    <w:uiPriority w:val="0"/>
    <w:pPr>
      <w:widowControl/>
      <w:snapToGrid/>
      <w:spacing w:beforeAutospacing="1" w:afterAutospacing="1" w:line="240" w:lineRule="auto"/>
      <w:ind w:firstLine="0" w:firstLineChars="0"/>
    </w:pPr>
    <w:rPr>
      <w:rFonts w:hint="eastAsia" w:ascii="宋体" w:hAnsi="宋体"/>
      <w:kern w:val="0"/>
      <w:sz w:val="20"/>
      <w:szCs w:val="20"/>
    </w:rPr>
  </w:style>
  <w:style w:type="paragraph" w:customStyle="1" w:styleId="2286">
    <w:name w:val="水平衡"/>
    <w:basedOn w:val="45"/>
    <w:autoRedefine/>
    <w:uiPriority w:val="0"/>
    <w:pPr>
      <w:autoSpaceDE w:val="0"/>
      <w:autoSpaceDN w:val="0"/>
      <w:snapToGrid w:val="0"/>
      <w:spacing w:beforeLines="0" w:afterLines="0" w:line="240" w:lineRule="auto"/>
      <w:ind w:firstLine="0" w:firstLineChars="0"/>
      <w:jc w:val="both"/>
    </w:pPr>
    <w:rPr>
      <w:rFonts w:ascii="Arial" w:hAnsi="Arial" w:cs="Arial"/>
      <w:spacing w:val="-10"/>
      <w:sz w:val="21"/>
    </w:rPr>
  </w:style>
  <w:style w:type="paragraph" w:customStyle="1" w:styleId="2287">
    <w:name w:val="表格五号"/>
    <w:basedOn w:val="1"/>
    <w:autoRedefine/>
    <w:uiPriority w:val="0"/>
    <w:pPr>
      <w:autoSpaceDE w:val="0"/>
      <w:autoSpaceDN w:val="0"/>
      <w:adjustRightInd w:val="0"/>
      <w:spacing w:beforeLines="20" w:afterLines="20" w:line="240" w:lineRule="auto"/>
      <w:ind w:firstLine="0" w:firstLineChars="0"/>
      <w:jc w:val="center"/>
    </w:pPr>
    <w:rPr>
      <w:rFonts w:ascii="Arial" w:hAnsi="Arial" w:cs="Arial"/>
      <w:bCs/>
      <w:kern w:val="0"/>
      <w:sz w:val="18"/>
      <w:szCs w:val="21"/>
      <w:lang w:val="zh-CN"/>
    </w:rPr>
  </w:style>
  <w:style w:type="paragraph" w:customStyle="1" w:styleId="2288">
    <w:name w:val="表格下五号"/>
    <w:basedOn w:val="2287"/>
    <w:autoRedefine/>
    <w:uiPriority w:val="0"/>
    <w:pPr>
      <w:keepNext/>
      <w:keepLines/>
      <w:tabs>
        <w:tab w:val="left" w:pos="1260"/>
      </w:tabs>
      <w:autoSpaceDE/>
      <w:autoSpaceDN/>
      <w:adjustRightInd/>
      <w:snapToGrid/>
      <w:spacing w:beforeLines="0" w:afterLines="0" w:line="416" w:lineRule="auto"/>
      <w:ind w:left="720" w:hanging="432"/>
      <w:jc w:val="both"/>
      <w:outlineLvl w:val="2"/>
    </w:pPr>
    <w:rPr>
      <w:rFonts w:ascii="Times New Roman" w:hAnsi="Times New Roman" w:cs="Times New Roman"/>
      <w:b/>
      <w:kern w:val="2"/>
      <w:sz w:val="32"/>
      <w:szCs w:val="32"/>
      <w:lang w:val="en-US"/>
    </w:rPr>
  </w:style>
  <w:style w:type="paragraph" w:customStyle="1" w:styleId="2289">
    <w:name w:val="表格下文字5号"/>
    <w:basedOn w:val="1"/>
    <w:autoRedefine/>
    <w:uiPriority w:val="0"/>
    <w:pPr>
      <w:adjustRightInd w:val="0"/>
      <w:spacing w:beforeLines="50" w:line="264" w:lineRule="auto"/>
      <w:ind w:left="938" w:leftChars="200" w:hanging="378" w:hangingChars="180"/>
      <w:jc w:val="both"/>
      <w:textAlignment w:val="baseline"/>
    </w:pPr>
    <w:rPr>
      <w:rFonts w:ascii="Arial" w:hAnsi="Arial" w:cs="Arial"/>
      <w:kern w:val="0"/>
      <w:sz w:val="21"/>
      <w:szCs w:val="20"/>
    </w:rPr>
  </w:style>
  <w:style w:type="paragraph" w:customStyle="1" w:styleId="2290">
    <w:name w:val="正文图小五"/>
    <w:basedOn w:val="1"/>
    <w:autoRedefine/>
    <w:qFormat/>
    <w:uiPriority w:val="0"/>
    <w:pPr>
      <w:spacing w:line="240" w:lineRule="atLeast"/>
      <w:ind w:firstLine="0" w:firstLineChars="0"/>
      <w:jc w:val="center"/>
    </w:pPr>
    <w:rPr>
      <w:rFonts w:ascii="Arial" w:hAnsi="Arial" w:cs="Arial"/>
      <w:spacing w:val="6"/>
      <w:sz w:val="18"/>
      <w:szCs w:val="20"/>
    </w:rPr>
  </w:style>
  <w:style w:type="paragraph" w:customStyle="1" w:styleId="2291">
    <w:name w:val="表格文字小四"/>
    <w:basedOn w:val="1"/>
    <w:autoRedefine/>
    <w:uiPriority w:val="0"/>
    <w:pPr>
      <w:adjustRightInd w:val="0"/>
      <w:spacing w:beforeLines="20" w:afterLines="20" w:line="240" w:lineRule="auto"/>
      <w:ind w:firstLine="0" w:firstLineChars="0"/>
      <w:jc w:val="center"/>
    </w:pPr>
    <w:rPr>
      <w:rFonts w:ascii="Arial" w:hAnsi="Arial" w:cs="Arial"/>
      <w:color w:val="000000"/>
      <w:kern w:val="0"/>
    </w:rPr>
  </w:style>
  <w:style w:type="paragraph" w:customStyle="1" w:styleId="2292">
    <w:name w:val="正文图废z"/>
    <w:basedOn w:val="2174"/>
    <w:qFormat/>
    <w:uiPriority w:val="0"/>
    <w:pPr>
      <w:jc w:val="left"/>
    </w:pPr>
    <w:rPr>
      <w:rFonts w:ascii="Arial" w:hAnsi="Arial" w:cs="Arial"/>
      <w:sz w:val="21"/>
    </w:rPr>
  </w:style>
  <w:style w:type="paragraph" w:customStyle="1" w:styleId="2293">
    <w:name w:val="表格文字小五号"/>
    <w:basedOn w:val="2294"/>
    <w:qFormat/>
    <w:uiPriority w:val="0"/>
    <w:rPr>
      <w:rFonts w:ascii="宋体" w:hAnsi="宋体"/>
      <w:bCs w:val="0"/>
    </w:rPr>
  </w:style>
  <w:style w:type="paragraph" w:customStyle="1" w:styleId="2294">
    <w:name w:val="表格文字五号"/>
    <w:basedOn w:val="1457"/>
    <w:autoRedefine/>
    <w:qFormat/>
    <w:uiPriority w:val="0"/>
    <w:pPr>
      <w:autoSpaceDE w:val="0"/>
      <w:autoSpaceDN w:val="0"/>
      <w:adjustRightInd w:val="0"/>
      <w:snapToGrid w:val="0"/>
      <w:spacing w:beforeLines="20" w:afterLines="20"/>
      <w:ind w:firstLine="0" w:firstLineChars="0"/>
      <w:jc w:val="left"/>
    </w:pPr>
    <w:rPr>
      <w:rFonts w:ascii="Arial" w:hAnsi="Arial" w:eastAsia="宋体" w:cs="Arial"/>
      <w:bCs/>
      <w:snapToGrid w:val="0"/>
      <w:color w:val="000000"/>
      <w:kern w:val="0"/>
      <w:sz w:val="21"/>
      <w:szCs w:val="20"/>
    </w:rPr>
  </w:style>
  <w:style w:type="paragraph" w:customStyle="1" w:styleId="2295">
    <w:name w:val="表格文字1左"/>
    <w:basedOn w:val="1457"/>
    <w:autoRedefine/>
    <w:qFormat/>
    <w:uiPriority w:val="0"/>
    <w:pPr>
      <w:autoSpaceDE w:val="0"/>
      <w:autoSpaceDN w:val="0"/>
      <w:adjustRightInd w:val="0"/>
      <w:snapToGrid w:val="0"/>
      <w:spacing w:beforeLines="20" w:afterLines="20"/>
      <w:ind w:firstLine="470" w:firstLineChars="224"/>
      <w:jc w:val="left"/>
    </w:pPr>
    <w:rPr>
      <w:rFonts w:ascii="Arial" w:hAnsi="Arial" w:eastAsia="宋体" w:cs="Arial"/>
      <w:bCs/>
      <w:snapToGrid w:val="0"/>
      <w:color w:val="000000"/>
      <w:kern w:val="0"/>
      <w:sz w:val="21"/>
      <w:szCs w:val="20"/>
    </w:rPr>
  </w:style>
  <w:style w:type="paragraph" w:customStyle="1" w:styleId="2296">
    <w:name w:val="正文图四"/>
    <w:basedOn w:val="2174"/>
    <w:qFormat/>
    <w:uiPriority w:val="0"/>
    <w:pPr>
      <w:spacing w:beforeLines="20"/>
    </w:pPr>
    <w:rPr>
      <w:sz w:val="28"/>
    </w:rPr>
  </w:style>
  <w:style w:type="paragraph" w:customStyle="1" w:styleId="2297">
    <w:name w:val="表格文字小四宽"/>
    <w:basedOn w:val="2291"/>
    <w:qFormat/>
    <w:uiPriority w:val="0"/>
    <w:pPr>
      <w:spacing w:beforeLines="10" w:afterLines="10"/>
    </w:pPr>
    <w:rPr>
      <w:rFonts w:cs="Times New Roman"/>
      <w:color w:val="auto"/>
      <w:spacing w:val="-6"/>
    </w:rPr>
  </w:style>
  <w:style w:type="paragraph" w:customStyle="1" w:styleId="2298">
    <w:name w:val="表格文字小四左"/>
    <w:basedOn w:val="2291"/>
    <w:autoRedefine/>
    <w:qFormat/>
    <w:uiPriority w:val="0"/>
    <w:pPr>
      <w:spacing w:beforeLines="0" w:afterLines="0"/>
      <w:jc w:val="left"/>
    </w:pPr>
    <w:rPr>
      <w:snapToGrid w:val="0"/>
      <w:color w:val="auto"/>
      <w:szCs w:val="20"/>
    </w:rPr>
  </w:style>
  <w:style w:type="character" w:customStyle="1" w:styleId="2299">
    <w:name w:val="1首行缩进 Char"/>
    <w:uiPriority w:val="0"/>
    <w:rPr>
      <w:rFonts w:ascii="Arial" w:hAnsi="Arial" w:eastAsia="宋体"/>
      <w:snapToGrid w:val="0"/>
      <w:sz w:val="28"/>
      <w:szCs w:val="28"/>
      <w:lang w:val="en-US" w:eastAsia="zh-CN" w:bidi="ar-SA"/>
    </w:rPr>
  </w:style>
  <w:style w:type="paragraph" w:customStyle="1" w:styleId="2300">
    <w:name w:val="表格下文字5号-1"/>
    <w:basedOn w:val="2289"/>
    <w:autoRedefine/>
    <w:qFormat/>
    <w:uiPriority w:val="0"/>
    <w:pPr>
      <w:spacing w:before="156"/>
      <w:ind w:left="798"/>
    </w:pPr>
  </w:style>
  <w:style w:type="paragraph" w:customStyle="1" w:styleId="2301">
    <w:name w:val="leedl"/>
    <w:basedOn w:val="1"/>
    <w:uiPriority w:val="0"/>
    <w:pPr>
      <w:snapToGrid/>
      <w:spacing w:line="348" w:lineRule="auto"/>
      <w:ind w:firstLine="200"/>
      <w:jc w:val="both"/>
    </w:pPr>
    <w:rPr>
      <w:spacing w:val="10"/>
      <w:sz w:val="28"/>
      <w:szCs w:val="28"/>
    </w:rPr>
  </w:style>
  <w:style w:type="table" w:customStyle="1" w:styleId="2302">
    <w:name w:val="网格型7"/>
    <w:basedOn w:val="88"/>
    <w:autoRedefine/>
    <w:qFormat/>
    <w:uiPriority w:val="0"/>
    <w:pPr>
      <w:widowControl w:val="0"/>
      <w:adjustRightInd w:val="0"/>
      <w:snapToGrid w:val="0"/>
      <w:spacing w:line="348" w:lineRule="auto"/>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3">
    <w:name w:val="网格型 52"/>
    <w:basedOn w:val="88"/>
    <w:autoRedefine/>
    <w:qFormat/>
    <w:uiPriority w:val="0"/>
    <w:pPr>
      <w:widowControl w:val="0"/>
      <w:adjustRightInd w:val="0"/>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character" w:customStyle="1" w:styleId="2304">
    <w:name w:val="标题 2 Char Char"/>
    <w:uiPriority w:val="0"/>
    <w:rPr>
      <w:rFonts w:ascii="Arial" w:hAnsi="Arial" w:eastAsia="黑体"/>
      <w:b/>
      <w:bCs/>
      <w:kern w:val="2"/>
      <w:sz w:val="32"/>
      <w:szCs w:val="32"/>
      <w:lang w:val="en-US" w:eastAsia="zh-CN" w:bidi="ar-SA"/>
    </w:rPr>
  </w:style>
  <w:style w:type="character" w:customStyle="1" w:styleId="2305">
    <w:name w:val="表格内容 Char"/>
    <w:link w:val="2166"/>
    <w:qFormat/>
    <w:uiPriority w:val="0"/>
    <w:rPr>
      <w:rFonts w:ascii="Arial" w:hAnsi="Arial" w:eastAsia="仿宋_GB2312"/>
      <w:sz w:val="24"/>
    </w:rPr>
  </w:style>
  <w:style w:type="character" w:customStyle="1" w:styleId="2306">
    <w:name w:val="样式 样式2 + 非加粗 Char"/>
    <w:uiPriority w:val="0"/>
    <w:rPr>
      <w:rFonts w:eastAsia="宋体"/>
      <w:color w:val="000000"/>
      <w:kern w:val="2"/>
      <w:sz w:val="24"/>
      <w:szCs w:val="24"/>
      <w:lang w:val="en-US" w:eastAsia="zh-CN" w:bidi="ar-SA"/>
    </w:rPr>
  </w:style>
  <w:style w:type="paragraph" w:customStyle="1" w:styleId="2307">
    <w:name w:val="Char Char Char 字元 字元"/>
    <w:basedOn w:val="1"/>
    <w:semiHidden/>
    <w:uiPriority w:val="0"/>
    <w:pPr>
      <w:ind w:firstLine="0" w:firstLineChars="0"/>
      <w:jc w:val="both"/>
    </w:pPr>
  </w:style>
  <w:style w:type="paragraph" w:customStyle="1" w:styleId="2308">
    <w:name w:val="1 Char Char Char Char Char Char Char Char Char Char Char Char Char Char Char Char"/>
    <w:basedOn w:val="1"/>
    <w:autoRedefine/>
    <w:qFormat/>
    <w:uiPriority w:val="0"/>
    <w:pPr>
      <w:snapToGrid/>
      <w:spacing w:line="240" w:lineRule="auto"/>
      <w:ind w:firstLine="0" w:firstLineChars="0"/>
      <w:jc w:val="both"/>
    </w:pPr>
    <w:rPr>
      <w:sz w:val="21"/>
    </w:rPr>
  </w:style>
  <w:style w:type="character" w:customStyle="1" w:styleId="2309">
    <w:name w:val="Normal Char"/>
    <w:link w:val="2310"/>
    <w:autoRedefine/>
    <w:uiPriority w:val="0"/>
    <w:rPr>
      <w:rFonts w:ascii="宋体"/>
      <w:sz w:val="24"/>
    </w:rPr>
  </w:style>
  <w:style w:type="paragraph" w:customStyle="1" w:styleId="2310">
    <w:name w:val="正文15"/>
    <w:link w:val="2309"/>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2311">
    <w:name w:val="Normal1"/>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character" w:customStyle="1" w:styleId="2312">
    <w:name w:val="标准样式 Char"/>
    <w:uiPriority w:val="0"/>
    <w:rPr>
      <w:rFonts w:ascii="宋体"/>
      <w:sz w:val="28"/>
      <w:lang w:val="en-US" w:eastAsia="zh-CN" w:bidi="ar-SA"/>
    </w:rPr>
  </w:style>
  <w:style w:type="paragraph" w:customStyle="1" w:styleId="2313">
    <w:name w:val="正文常用"/>
    <w:basedOn w:val="1"/>
    <w:autoRedefine/>
    <w:uiPriority w:val="0"/>
    <w:pPr>
      <w:snapToGrid/>
      <w:spacing w:line="520" w:lineRule="exact"/>
      <w:ind w:firstLine="200"/>
      <w:jc w:val="both"/>
    </w:pPr>
    <w:rPr>
      <w:sz w:val="28"/>
      <w:szCs w:val="28"/>
    </w:rPr>
  </w:style>
  <w:style w:type="paragraph" w:customStyle="1" w:styleId="2314">
    <w:name w:val="album-div"/>
    <w:basedOn w:val="1"/>
    <w:autoRedefine/>
    <w:qFormat/>
    <w:uiPriority w:val="0"/>
    <w:pPr>
      <w:widowControl/>
      <w:snapToGrid/>
      <w:spacing w:beforeAutospacing="1" w:afterAutospacing="1" w:line="240" w:lineRule="auto"/>
      <w:ind w:firstLine="0" w:firstLineChars="0"/>
    </w:pPr>
    <w:rPr>
      <w:rFonts w:ascii="宋体" w:hAnsi="宋体" w:cs="宋体"/>
      <w:kern w:val="0"/>
    </w:rPr>
  </w:style>
  <w:style w:type="character" w:customStyle="1" w:styleId="2315">
    <w:name w:val="title9"/>
    <w:uiPriority w:val="0"/>
  </w:style>
  <w:style w:type="character" w:customStyle="1" w:styleId="2316">
    <w:name w:val="count3"/>
    <w:autoRedefine/>
    <w:qFormat/>
    <w:uiPriority w:val="0"/>
  </w:style>
  <w:style w:type="character" w:customStyle="1" w:styleId="2317">
    <w:name w:val="标题11 Char"/>
    <w:link w:val="1015"/>
    <w:uiPriority w:val="0"/>
    <w:rPr>
      <w:rFonts w:ascii="Calibri" w:hAnsi="Calibri"/>
      <w:b/>
      <w:sz w:val="36"/>
      <w:szCs w:val="36"/>
      <w:lang w:eastAsia="en-US" w:bidi="en-US"/>
    </w:rPr>
  </w:style>
  <w:style w:type="paragraph" w:customStyle="1" w:styleId="2318">
    <w:name w:val="标题33"/>
    <w:basedOn w:val="1"/>
    <w:link w:val="2321"/>
    <w:uiPriority w:val="0"/>
    <w:pPr>
      <w:snapToGrid/>
      <w:ind w:firstLine="0" w:firstLineChars="0"/>
      <w:outlineLvl w:val="2"/>
    </w:pPr>
    <w:rPr>
      <w:b/>
    </w:rPr>
  </w:style>
  <w:style w:type="character" w:customStyle="1" w:styleId="2319">
    <w:name w:val="标题22 Char"/>
    <w:link w:val="948"/>
    <w:uiPriority w:val="0"/>
    <w:rPr>
      <w:rFonts w:ascii="Cambria" w:hAnsi="Cambria"/>
      <w:b/>
      <w:bCs/>
      <w:kern w:val="2"/>
      <w:sz w:val="32"/>
      <w:szCs w:val="32"/>
    </w:rPr>
  </w:style>
  <w:style w:type="paragraph" w:customStyle="1" w:styleId="2320">
    <w:name w:val="文本11"/>
    <w:basedOn w:val="1"/>
    <w:link w:val="2322"/>
    <w:qFormat/>
    <w:uiPriority w:val="0"/>
    <w:pPr>
      <w:snapToGrid/>
      <w:ind w:firstLine="200"/>
      <w:jc w:val="both"/>
    </w:pPr>
    <w:rPr>
      <w:color w:val="000000"/>
    </w:rPr>
  </w:style>
  <w:style w:type="character" w:customStyle="1" w:styleId="2321">
    <w:name w:val="标题33 Char"/>
    <w:link w:val="2318"/>
    <w:uiPriority w:val="0"/>
    <w:rPr>
      <w:b/>
      <w:kern w:val="2"/>
      <w:sz w:val="24"/>
      <w:szCs w:val="24"/>
    </w:rPr>
  </w:style>
  <w:style w:type="character" w:customStyle="1" w:styleId="2322">
    <w:name w:val="文本11 Char"/>
    <w:link w:val="2320"/>
    <w:autoRedefine/>
    <w:qFormat/>
    <w:uiPriority w:val="0"/>
    <w:rPr>
      <w:color w:val="000000"/>
      <w:kern w:val="2"/>
      <w:sz w:val="24"/>
      <w:szCs w:val="24"/>
    </w:rPr>
  </w:style>
  <w:style w:type="table" w:customStyle="1" w:styleId="2323">
    <w:name w:val="专业网格11"/>
    <w:basedOn w:val="88"/>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324">
    <w:name w:val="图名"/>
    <w:basedOn w:val="1"/>
    <w:uiPriority w:val="0"/>
    <w:pPr>
      <w:adjustRightInd w:val="0"/>
      <w:spacing w:beforeLines="50" w:line="240" w:lineRule="auto"/>
      <w:ind w:firstLine="0" w:firstLineChars="0"/>
      <w:jc w:val="center"/>
    </w:pPr>
    <w:rPr>
      <w:szCs w:val="21"/>
    </w:rPr>
  </w:style>
  <w:style w:type="paragraph" w:customStyle="1" w:styleId="2325">
    <w:name w:val="标题 3 + 首行缩进:  2 字符"/>
    <w:basedOn w:val="5"/>
    <w:autoRedefine/>
    <w:uiPriority w:val="0"/>
    <w:pPr>
      <w:keepNext/>
      <w:keepLines/>
      <w:numPr>
        <w:ilvl w:val="0"/>
        <w:numId w:val="0"/>
      </w:numPr>
      <w:adjustRightInd w:val="0"/>
      <w:spacing w:before="260" w:beforeLines="0" w:after="260" w:line="480" w:lineRule="exact"/>
      <w:ind w:firstLine="480" w:firstLineChars="200"/>
      <w:jc w:val="both"/>
    </w:pPr>
    <w:rPr>
      <w:rFonts w:cs="宋体"/>
      <w:bCs w:val="0"/>
      <w:sz w:val="24"/>
      <w:szCs w:val="20"/>
    </w:rPr>
  </w:style>
  <w:style w:type="table" w:customStyle="1" w:styleId="2326">
    <w:name w:val="表格样式11"/>
    <w:basedOn w:val="88"/>
    <w:autoRedefine/>
    <w:qFormat/>
    <w:uiPriority w:val="0"/>
    <w:pPr>
      <w:snapToGrid w:val="0"/>
      <w:jc w:val="center"/>
      <w:textAlignment w:val="center"/>
    </w:pPr>
    <w:rPr>
      <w:rFonts w:eastAsia="仿宋_GB2312"/>
      <w:snapToGrid w:val="0"/>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rPr>
      <w:jc w:val="center"/>
    </w:trPr>
    <w:tcPr>
      <w:vAlign w:val="center"/>
    </w:tcPr>
  </w:style>
  <w:style w:type="paragraph" w:customStyle="1" w:styleId="2327">
    <w:name w:val="图片文字"/>
    <w:basedOn w:val="257"/>
    <w:autoRedefine/>
    <w:qFormat/>
    <w:uiPriority w:val="0"/>
    <w:pPr>
      <w:jc w:val="both"/>
    </w:pPr>
    <w:rPr>
      <w:sz w:val="21"/>
      <w:lang w:val="en-US"/>
    </w:rPr>
  </w:style>
  <w:style w:type="paragraph" w:customStyle="1" w:styleId="2328">
    <w:name w:val="样式 方正魏碑简体 50 磅 居中 行距: 多倍行距 1.25 字行"/>
    <w:basedOn w:val="1"/>
    <w:autoRedefine/>
    <w:qFormat/>
    <w:uiPriority w:val="0"/>
    <w:pPr>
      <w:adjustRightInd w:val="0"/>
      <w:spacing w:line="300" w:lineRule="auto"/>
      <w:ind w:firstLine="0" w:firstLineChars="0"/>
      <w:jc w:val="center"/>
    </w:pPr>
    <w:rPr>
      <w:rFonts w:ascii="方正魏碑简体" w:eastAsia="方正魏碑简体" w:cs="宋体"/>
      <w:spacing w:val="40"/>
      <w:sz w:val="100"/>
      <w:szCs w:val="20"/>
    </w:rPr>
  </w:style>
  <w:style w:type="paragraph" w:customStyle="1" w:styleId="2329">
    <w:name w:val="格式正"/>
    <w:basedOn w:val="34"/>
    <w:autoRedefine/>
    <w:uiPriority w:val="0"/>
    <w:pPr>
      <w:widowControl w:val="0"/>
      <w:snapToGrid/>
      <w:spacing w:before="0" w:beforeLines="50" w:after="120" w:line="480" w:lineRule="exact"/>
      <w:ind w:right="0" w:firstLine="0" w:firstLineChars="0"/>
    </w:pPr>
    <w:rPr>
      <w:rFonts w:ascii="楷体_GB2312" w:eastAsia="楷体_GB2312"/>
      <w:sz w:val="24"/>
      <w:szCs w:val="24"/>
    </w:rPr>
  </w:style>
  <w:style w:type="paragraph" w:customStyle="1" w:styleId="2330">
    <w:name w:val="文本框五号"/>
    <w:basedOn w:val="1"/>
    <w:autoRedefine/>
    <w:uiPriority w:val="0"/>
    <w:pPr>
      <w:adjustRightInd w:val="0"/>
      <w:spacing w:line="240" w:lineRule="auto"/>
      <w:ind w:firstLine="200"/>
      <w:jc w:val="center"/>
    </w:pPr>
    <w:rPr>
      <w:sz w:val="21"/>
      <w:szCs w:val="21"/>
    </w:rPr>
  </w:style>
  <w:style w:type="character" w:customStyle="1" w:styleId="2331">
    <w:name w:val="正文首行缩进 2 Char1"/>
    <w:autoRedefine/>
    <w:semiHidden/>
    <w:qFormat/>
    <w:uiPriority w:val="99"/>
  </w:style>
  <w:style w:type="paragraph" w:customStyle="1" w:styleId="2332">
    <w:name w:val="font17"/>
    <w:basedOn w:val="1"/>
    <w:uiPriority w:val="0"/>
    <w:pPr>
      <w:widowControl/>
      <w:snapToGrid/>
      <w:spacing w:beforeAutospacing="1" w:afterAutospacing="1" w:line="240" w:lineRule="auto"/>
      <w:ind w:firstLine="0" w:firstLineChars="0"/>
    </w:pPr>
    <w:rPr>
      <w:rFonts w:ascii="宋体" w:hAnsi="宋体" w:cs="宋体"/>
      <w:kern w:val="0"/>
      <w:sz w:val="21"/>
      <w:szCs w:val="21"/>
    </w:rPr>
  </w:style>
  <w:style w:type="paragraph" w:customStyle="1" w:styleId="2333">
    <w:name w:val="font18"/>
    <w:basedOn w:val="1"/>
    <w:uiPriority w:val="0"/>
    <w:pPr>
      <w:widowControl/>
      <w:snapToGrid/>
      <w:spacing w:beforeAutospacing="1" w:afterAutospacing="1" w:line="240" w:lineRule="auto"/>
      <w:ind w:firstLine="0" w:firstLineChars="0"/>
    </w:pPr>
    <w:rPr>
      <w:color w:val="000000"/>
      <w:kern w:val="0"/>
      <w:sz w:val="21"/>
      <w:szCs w:val="21"/>
    </w:rPr>
  </w:style>
  <w:style w:type="paragraph" w:customStyle="1" w:styleId="2334">
    <w:name w:val="font19"/>
    <w:basedOn w:val="1"/>
    <w:uiPriority w:val="0"/>
    <w:pPr>
      <w:widowControl/>
      <w:snapToGrid/>
      <w:spacing w:beforeAutospacing="1" w:afterAutospacing="1" w:line="240" w:lineRule="auto"/>
      <w:ind w:firstLine="0" w:firstLineChars="0"/>
    </w:pPr>
    <w:rPr>
      <w:rFonts w:ascii="仿宋_GB2312" w:hAnsi="宋体" w:cs="宋体"/>
      <w:color w:val="000000"/>
      <w:kern w:val="0"/>
      <w:sz w:val="21"/>
      <w:szCs w:val="21"/>
    </w:rPr>
  </w:style>
  <w:style w:type="paragraph" w:customStyle="1" w:styleId="2335">
    <w:name w:val="xl155"/>
    <w:basedOn w:val="1"/>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kern w:val="0"/>
      <w:sz w:val="21"/>
      <w:szCs w:val="21"/>
    </w:rPr>
  </w:style>
  <w:style w:type="paragraph" w:customStyle="1" w:styleId="2336">
    <w:name w:val="xl156"/>
    <w:basedOn w:val="1"/>
    <w:autoRedefine/>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rFonts w:ascii="仿宋_GB2312" w:hAnsi="宋体" w:cs="宋体"/>
      <w:kern w:val="0"/>
      <w:sz w:val="21"/>
      <w:szCs w:val="21"/>
    </w:rPr>
  </w:style>
  <w:style w:type="paragraph" w:customStyle="1" w:styleId="2337">
    <w:name w:val="xl157"/>
    <w:basedOn w:val="1"/>
    <w:autoRedefine/>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kern w:val="0"/>
      <w:sz w:val="21"/>
      <w:szCs w:val="21"/>
    </w:rPr>
  </w:style>
  <w:style w:type="paragraph" w:customStyle="1" w:styleId="2338">
    <w:name w:val="xl158"/>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kern w:val="0"/>
      <w:sz w:val="21"/>
      <w:szCs w:val="21"/>
    </w:rPr>
  </w:style>
  <w:style w:type="paragraph" w:customStyle="1" w:styleId="2339">
    <w:name w:val="xl159"/>
    <w:basedOn w:val="1"/>
    <w:autoRedefine/>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kern w:val="0"/>
      <w:sz w:val="21"/>
      <w:szCs w:val="21"/>
    </w:rPr>
  </w:style>
  <w:style w:type="paragraph" w:customStyle="1" w:styleId="2340">
    <w:name w:val="xl160"/>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rFonts w:ascii="仿宋_GB2312" w:hAnsi="宋体" w:cs="宋体"/>
      <w:kern w:val="0"/>
      <w:sz w:val="21"/>
      <w:szCs w:val="21"/>
    </w:rPr>
  </w:style>
  <w:style w:type="paragraph" w:customStyle="1" w:styleId="2341">
    <w:name w:val="xl161"/>
    <w:basedOn w:val="1"/>
    <w:qFormat/>
    <w:uiPriority w:val="0"/>
    <w:pPr>
      <w:widowControl/>
      <w:snapToGrid/>
      <w:spacing w:beforeAutospacing="1" w:afterAutospacing="1" w:line="240" w:lineRule="auto"/>
      <w:ind w:firstLine="0" w:firstLineChars="0"/>
      <w:jc w:val="center"/>
      <w:textAlignment w:val="center"/>
    </w:pPr>
    <w:rPr>
      <w:color w:val="000000"/>
      <w:kern w:val="0"/>
      <w:sz w:val="22"/>
      <w:szCs w:val="20"/>
    </w:rPr>
  </w:style>
  <w:style w:type="paragraph" w:customStyle="1" w:styleId="2342">
    <w:name w:val="xl162"/>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kern w:val="0"/>
      <w:sz w:val="21"/>
      <w:szCs w:val="21"/>
    </w:rPr>
  </w:style>
  <w:style w:type="paragraph" w:customStyle="1" w:styleId="2343">
    <w:name w:val="xl163"/>
    <w:basedOn w:val="1"/>
    <w:autoRedefine/>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kern w:val="0"/>
      <w:sz w:val="21"/>
      <w:szCs w:val="21"/>
    </w:rPr>
  </w:style>
  <w:style w:type="paragraph" w:customStyle="1" w:styleId="2344">
    <w:name w:val="xl164"/>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rFonts w:ascii="仿宋_GB2312" w:hAnsi="宋体" w:cs="宋体"/>
      <w:kern w:val="0"/>
      <w:sz w:val="21"/>
      <w:szCs w:val="21"/>
    </w:rPr>
  </w:style>
  <w:style w:type="paragraph" w:customStyle="1" w:styleId="2345">
    <w:name w:val="xl165"/>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color w:val="000000"/>
      <w:kern w:val="0"/>
      <w:sz w:val="21"/>
      <w:szCs w:val="21"/>
    </w:rPr>
  </w:style>
  <w:style w:type="paragraph" w:customStyle="1" w:styleId="2346">
    <w:name w:val="xl166"/>
    <w:basedOn w:val="1"/>
    <w:autoRedefine/>
    <w:qFormat/>
    <w:uiPriority w:val="0"/>
    <w:pPr>
      <w:widowControl/>
      <w:snapToGrid/>
      <w:spacing w:beforeAutospacing="1" w:afterAutospacing="1" w:line="240" w:lineRule="auto"/>
      <w:ind w:firstLine="0" w:firstLineChars="0"/>
      <w:jc w:val="center"/>
      <w:textAlignment w:val="center"/>
    </w:pPr>
    <w:rPr>
      <w:color w:val="000000"/>
      <w:kern w:val="0"/>
      <w:sz w:val="22"/>
      <w:szCs w:val="20"/>
    </w:rPr>
  </w:style>
  <w:style w:type="paragraph" w:customStyle="1" w:styleId="2347">
    <w:name w:val="xl167"/>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kern w:val="0"/>
    </w:rPr>
  </w:style>
  <w:style w:type="paragraph" w:customStyle="1" w:styleId="2348">
    <w:name w:val="xl168"/>
    <w:basedOn w:val="1"/>
    <w:qFormat/>
    <w:uiPriority w:val="0"/>
    <w:pPr>
      <w:widowControl/>
      <w:snapToGrid/>
      <w:spacing w:beforeAutospacing="1" w:afterAutospacing="1" w:line="240" w:lineRule="auto"/>
      <w:ind w:firstLine="0" w:firstLineChars="0"/>
      <w:jc w:val="center"/>
      <w:textAlignment w:val="center"/>
    </w:pPr>
    <w:rPr>
      <w:color w:val="0000CC"/>
      <w:kern w:val="0"/>
      <w:sz w:val="22"/>
      <w:szCs w:val="20"/>
    </w:rPr>
  </w:style>
  <w:style w:type="paragraph" w:customStyle="1" w:styleId="2349">
    <w:name w:val="xl169"/>
    <w:basedOn w:val="1"/>
    <w:qFormat/>
    <w:uiPriority w:val="0"/>
    <w:pPr>
      <w:widowControl/>
      <w:snapToGrid/>
      <w:spacing w:beforeAutospacing="1" w:afterAutospacing="1" w:line="240" w:lineRule="auto"/>
      <w:ind w:firstLine="0" w:firstLineChars="0"/>
      <w:jc w:val="center"/>
      <w:textAlignment w:val="center"/>
    </w:pPr>
    <w:rPr>
      <w:kern w:val="0"/>
      <w:sz w:val="21"/>
      <w:szCs w:val="21"/>
    </w:rPr>
  </w:style>
  <w:style w:type="paragraph" w:customStyle="1" w:styleId="2350">
    <w:name w:val="xl170"/>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color w:val="000000"/>
      <w:kern w:val="0"/>
      <w:sz w:val="21"/>
      <w:szCs w:val="21"/>
    </w:rPr>
  </w:style>
  <w:style w:type="paragraph" w:customStyle="1" w:styleId="2351">
    <w:name w:val="xl171"/>
    <w:basedOn w:val="1"/>
    <w:uiPriority w:val="0"/>
    <w:pPr>
      <w:widowControl/>
      <w:pBdr>
        <w:top w:val="single" w:color="auto" w:sz="4" w:space="0"/>
        <w:bottom w:val="single" w:color="auto" w:sz="4" w:space="0"/>
      </w:pBdr>
      <w:snapToGrid/>
      <w:spacing w:beforeAutospacing="1" w:afterAutospacing="1" w:line="240" w:lineRule="auto"/>
      <w:ind w:firstLine="0" w:firstLineChars="0"/>
      <w:jc w:val="center"/>
      <w:textAlignment w:val="center"/>
    </w:pPr>
    <w:rPr>
      <w:kern w:val="0"/>
      <w:sz w:val="21"/>
      <w:szCs w:val="21"/>
    </w:rPr>
  </w:style>
  <w:style w:type="paragraph" w:customStyle="1" w:styleId="2352">
    <w:name w:val="xl172"/>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color w:val="000000"/>
      <w:kern w:val="0"/>
      <w:sz w:val="22"/>
      <w:szCs w:val="20"/>
    </w:rPr>
  </w:style>
  <w:style w:type="paragraph" w:customStyle="1" w:styleId="2353">
    <w:name w:val="xl173"/>
    <w:basedOn w:val="1"/>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color w:val="000000"/>
      <w:kern w:val="0"/>
      <w:sz w:val="21"/>
      <w:szCs w:val="21"/>
    </w:rPr>
  </w:style>
  <w:style w:type="paragraph" w:customStyle="1" w:styleId="2354">
    <w:name w:val="xl174"/>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color w:val="000000"/>
      <w:kern w:val="0"/>
      <w:sz w:val="22"/>
      <w:szCs w:val="20"/>
    </w:rPr>
  </w:style>
  <w:style w:type="paragraph" w:customStyle="1" w:styleId="2355">
    <w:name w:val="xl175"/>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kern w:val="0"/>
      <w:sz w:val="21"/>
      <w:szCs w:val="21"/>
    </w:rPr>
  </w:style>
  <w:style w:type="paragraph" w:customStyle="1" w:styleId="2356">
    <w:name w:val="xl176"/>
    <w:basedOn w:val="1"/>
    <w:autoRedefine/>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color w:val="000000"/>
      <w:kern w:val="0"/>
      <w:sz w:val="22"/>
      <w:szCs w:val="20"/>
    </w:rPr>
  </w:style>
  <w:style w:type="paragraph" w:customStyle="1" w:styleId="2357">
    <w:name w:val="xl177"/>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rFonts w:ascii="宋体" w:hAnsi="宋体" w:cs="宋体"/>
      <w:kern w:val="0"/>
      <w:sz w:val="21"/>
      <w:szCs w:val="21"/>
    </w:rPr>
  </w:style>
  <w:style w:type="paragraph" w:customStyle="1" w:styleId="2358">
    <w:name w:val="xl178"/>
    <w:basedOn w:val="1"/>
    <w:autoRedefine/>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color w:val="000000"/>
      <w:kern w:val="0"/>
      <w:sz w:val="21"/>
      <w:szCs w:val="21"/>
    </w:rPr>
  </w:style>
  <w:style w:type="paragraph" w:customStyle="1" w:styleId="2359">
    <w:name w:val="xl179"/>
    <w:basedOn w:val="1"/>
    <w:autoRedefine/>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pPr>
    <w:rPr>
      <w:rFonts w:ascii="仿宋_GB2312" w:hAnsi="宋体" w:cs="宋体"/>
      <w:color w:val="000000"/>
      <w:kern w:val="0"/>
      <w:sz w:val="21"/>
      <w:szCs w:val="21"/>
    </w:rPr>
  </w:style>
  <w:style w:type="paragraph" w:customStyle="1" w:styleId="2360">
    <w:name w:val="xl180"/>
    <w:basedOn w:val="1"/>
    <w:qFormat/>
    <w:uiPriority w:val="0"/>
    <w:pPr>
      <w:widowControl/>
      <w:pBdr>
        <w:top w:val="single" w:color="auto" w:sz="4" w:space="0"/>
        <w:left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color w:val="0000CC"/>
      <w:kern w:val="0"/>
      <w:sz w:val="22"/>
      <w:szCs w:val="20"/>
    </w:rPr>
  </w:style>
  <w:style w:type="paragraph" w:customStyle="1" w:styleId="2361">
    <w:name w:val="xl181"/>
    <w:basedOn w:val="1"/>
    <w:qFormat/>
    <w:uiPriority w:val="0"/>
    <w:pPr>
      <w:widowControl/>
      <w:pBdr>
        <w:top w:val="single" w:color="auto" w:sz="4" w:space="0"/>
        <w:bottom w:val="single" w:color="auto" w:sz="4" w:space="0"/>
      </w:pBdr>
      <w:snapToGrid/>
      <w:spacing w:beforeAutospacing="1" w:afterAutospacing="1" w:line="240" w:lineRule="auto"/>
      <w:ind w:firstLine="0" w:firstLineChars="0"/>
      <w:jc w:val="center"/>
    </w:pPr>
    <w:rPr>
      <w:kern w:val="0"/>
      <w:sz w:val="21"/>
      <w:szCs w:val="21"/>
    </w:rPr>
  </w:style>
  <w:style w:type="paragraph" w:customStyle="1" w:styleId="2362">
    <w:name w:val="xl182"/>
    <w:basedOn w:val="1"/>
    <w:autoRedefine/>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jc w:val="center"/>
    </w:pPr>
    <w:rPr>
      <w:rFonts w:ascii="宋体" w:hAnsi="宋体" w:cs="宋体"/>
      <w:kern w:val="0"/>
      <w:sz w:val="21"/>
      <w:szCs w:val="21"/>
    </w:rPr>
  </w:style>
  <w:style w:type="paragraph" w:customStyle="1" w:styleId="2363">
    <w:name w:val="xl183"/>
    <w:basedOn w:val="1"/>
    <w:autoRedefine/>
    <w:qFormat/>
    <w:uiPriority w:val="0"/>
    <w:pPr>
      <w:widowControl/>
      <w:pBdr>
        <w:top w:val="single" w:color="auto" w:sz="4" w:space="0"/>
        <w:bottom w:val="single" w:color="auto" w:sz="4" w:space="0"/>
      </w:pBdr>
      <w:snapToGrid/>
      <w:spacing w:beforeAutospacing="1" w:afterAutospacing="1" w:line="240" w:lineRule="auto"/>
      <w:ind w:firstLine="0" w:firstLineChars="0"/>
      <w:jc w:val="center"/>
      <w:textAlignment w:val="center"/>
    </w:pPr>
    <w:rPr>
      <w:color w:val="000000"/>
      <w:kern w:val="0"/>
      <w:sz w:val="22"/>
      <w:szCs w:val="20"/>
    </w:rPr>
  </w:style>
  <w:style w:type="paragraph" w:customStyle="1" w:styleId="2364">
    <w:name w:val="xl184"/>
    <w:basedOn w:val="1"/>
    <w:autoRedefine/>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color w:val="000000"/>
      <w:kern w:val="0"/>
      <w:sz w:val="22"/>
      <w:szCs w:val="20"/>
    </w:rPr>
  </w:style>
  <w:style w:type="paragraph" w:customStyle="1" w:styleId="2365">
    <w:name w:val="xl185"/>
    <w:basedOn w:val="1"/>
    <w:uiPriority w:val="0"/>
    <w:pPr>
      <w:widowControl/>
      <w:pBdr>
        <w:top w:val="single" w:color="auto" w:sz="4" w:space="0"/>
        <w:bottom w:val="single" w:color="auto" w:sz="4" w:space="0"/>
      </w:pBdr>
      <w:snapToGrid/>
      <w:spacing w:beforeAutospacing="1" w:afterAutospacing="1" w:line="240" w:lineRule="auto"/>
      <w:ind w:firstLine="0" w:firstLineChars="0"/>
      <w:jc w:val="center"/>
    </w:pPr>
    <w:rPr>
      <w:color w:val="000000"/>
      <w:kern w:val="0"/>
      <w:sz w:val="21"/>
      <w:szCs w:val="21"/>
    </w:rPr>
  </w:style>
  <w:style w:type="paragraph" w:customStyle="1" w:styleId="2366">
    <w:name w:val="xl186"/>
    <w:basedOn w:val="1"/>
    <w:autoRedefine/>
    <w:qFormat/>
    <w:uiPriority w:val="0"/>
    <w:pPr>
      <w:widowControl/>
      <w:pBdr>
        <w:top w:val="single" w:color="auto" w:sz="4" w:space="0"/>
        <w:bottom w:val="single" w:color="auto" w:sz="4" w:space="0"/>
      </w:pBdr>
      <w:snapToGrid/>
      <w:spacing w:beforeAutospacing="1" w:afterAutospacing="1" w:line="240" w:lineRule="auto"/>
      <w:ind w:firstLine="0" w:firstLineChars="0"/>
      <w:jc w:val="center"/>
      <w:textAlignment w:val="center"/>
    </w:pPr>
    <w:rPr>
      <w:color w:val="0000CC"/>
      <w:kern w:val="0"/>
      <w:sz w:val="22"/>
      <w:szCs w:val="20"/>
    </w:rPr>
  </w:style>
  <w:style w:type="paragraph" w:customStyle="1" w:styleId="2367">
    <w:name w:val="xl187"/>
    <w:basedOn w:val="1"/>
    <w:qFormat/>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jc w:val="center"/>
      <w:textAlignment w:val="center"/>
    </w:pPr>
    <w:rPr>
      <w:color w:val="0000CC"/>
      <w:kern w:val="0"/>
      <w:sz w:val="22"/>
      <w:szCs w:val="20"/>
    </w:rPr>
  </w:style>
  <w:style w:type="paragraph" w:customStyle="1" w:styleId="2368">
    <w:name w:val="xl188"/>
    <w:basedOn w:val="1"/>
    <w:qFormat/>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jc w:val="center"/>
    </w:pPr>
    <w:rPr>
      <w:rFonts w:ascii="仿宋_GB2312" w:hAnsi="宋体" w:cs="宋体"/>
      <w:kern w:val="0"/>
      <w:sz w:val="21"/>
      <w:szCs w:val="21"/>
    </w:rPr>
  </w:style>
  <w:style w:type="paragraph" w:customStyle="1" w:styleId="2369">
    <w:name w:val="xl189"/>
    <w:basedOn w:val="1"/>
    <w:autoRedefine/>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jc w:val="center"/>
    </w:pPr>
    <w:rPr>
      <w:rFonts w:ascii="仿宋_GB2312" w:hAnsi="宋体" w:cs="宋体"/>
      <w:kern w:val="0"/>
      <w:sz w:val="21"/>
      <w:szCs w:val="21"/>
    </w:rPr>
  </w:style>
  <w:style w:type="paragraph" w:customStyle="1" w:styleId="2370">
    <w:name w:val="xl190"/>
    <w:basedOn w:val="1"/>
    <w:autoRedefine/>
    <w:qFormat/>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pPr>
    <w:rPr>
      <w:rFonts w:ascii="仿宋_GB2312" w:hAnsi="宋体" w:cs="宋体"/>
      <w:kern w:val="0"/>
      <w:sz w:val="21"/>
      <w:szCs w:val="21"/>
    </w:rPr>
  </w:style>
  <w:style w:type="paragraph" w:customStyle="1" w:styleId="2371">
    <w:name w:val="xl191"/>
    <w:basedOn w:val="1"/>
    <w:uiPriority w:val="0"/>
    <w:pPr>
      <w:widowControl/>
      <w:pBdr>
        <w:top w:val="single" w:color="auto" w:sz="4" w:space="0"/>
        <w:bottom w:val="single" w:color="auto" w:sz="4" w:space="0"/>
      </w:pBdr>
      <w:snapToGrid/>
      <w:spacing w:beforeAutospacing="1" w:afterAutospacing="1" w:line="240" w:lineRule="auto"/>
      <w:ind w:firstLine="0" w:firstLineChars="0"/>
    </w:pPr>
    <w:rPr>
      <w:rFonts w:ascii="仿宋_GB2312" w:hAnsi="宋体" w:cs="宋体"/>
      <w:kern w:val="0"/>
      <w:sz w:val="21"/>
      <w:szCs w:val="21"/>
    </w:rPr>
  </w:style>
  <w:style w:type="paragraph" w:customStyle="1" w:styleId="2372">
    <w:name w:val="xl192"/>
    <w:basedOn w:val="1"/>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pPr>
    <w:rPr>
      <w:rFonts w:ascii="仿宋_GB2312" w:hAnsi="宋体" w:cs="宋体"/>
      <w:kern w:val="0"/>
      <w:sz w:val="21"/>
      <w:szCs w:val="21"/>
    </w:rPr>
  </w:style>
  <w:style w:type="paragraph" w:customStyle="1" w:styleId="2373">
    <w:name w:val="xl193"/>
    <w:basedOn w:val="1"/>
    <w:uiPriority w:val="0"/>
    <w:pPr>
      <w:widowControl/>
      <w:pBdr>
        <w:top w:val="single" w:color="auto" w:sz="4" w:space="0"/>
        <w:left w:val="single" w:color="auto" w:sz="4" w:space="0"/>
        <w:bottom w:val="single" w:color="auto" w:sz="4" w:space="0"/>
      </w:pBdr>
      <w:snapToGrid/>
      <w:spacing w:beforeAutospacing="1" w:afterAutospacing="1" w:line="240" w:lineRule="auto"/>
      <w:ind w:firstLine="0" w:firstLineChars="0"/>
    </w:pPr>
    <w:rPr>
      <w:rFonts w:ascii="宋体" w:hAnsi="宋体" w:cs="宋体"/>
      <w:kern w:val="0"/>
      <w:sz w:val="21"/>
      <w:szCs w:val="21"/>
    </w:rPr>
  </w:style>
  <w:style w:type="paragraph" w:customStyle="1" w:styleId="2374">
    <w:name w:val="xl194"/>
    <w:basedOn w:val="1"/>
    <w:uiPriority w:val="0"/>
    <w:pPr>
      <w:widowControl/>
      <w:pBdr>
        <w:top w:val="single" w:color="auto" w:sz="4" w:space="0"/>
        <w:bottom w:val="single" w:color="auto" w:sz="4" w:space="0"/>
      </w:pBdr>
      <w:snapToGrid/>
      <w:spacing w:beforeAutospacing="1" w:afterAutospacing="1" w:line="240" w:lineRule="auto"/>
      <w:ind w:firstLine="0" w:firstLineChars="0"/>
    </w:pPr>
    <w:rPr>
      <w:rFonts w:ascii="宋体" w:hAnsi="宋体" w:cs="宋体"/>
      <w:kern w:val="0"/>
      <w:sz w:val="21"/>
      <w:szCs w:val="21"/>
    </w:rPr>
  </w:style>
  <w:style w:type="paragraph" w:customStyle="1" w:styleId="2375">
    <w:name w:val="xl195"/>
    <w:basedOn w:val="1"/>
    <w:autoRedefine/>
    <w:qFormat/>
    <w:uiPriority w:val="0"/>
    <w:pPr>
      <w:widowControl/>
      <w:pBdr>
        <w:top w:val="single" w:color="auto" w:sz="4" w:space="0"/>
        <w:bottom w:val="single" w:color="auto" w:sz="4" w:space="0"/>
        <w:right w:val="single" w:color="auto" w:sz="4" w:space="0"/>
      </w:pBdr>
      <w:snapToGrid/>
      <w:spacing w:beforeAutospacing="1" w:afterAutospacing="1" w:line="240" w:lineRule="auto"/>
      <w:ind w:firstLine="0" w:firstLineChars="0"/>
    </w:pPr>
    <w:rPr>
      <w:rFonts w:ascii="宋体" w:hAnsi="宋体" w:cs="宋体"/>
      <w:kern w:val="0"/>
      <w:sz w:val="21"/>
      <w:szCs w:val="21"/>
    </w:rPr>
  </w:style>
  <w:style w:type="paragraph" w:customStyle="1" w:styleId="2376">
    <w:name w:val="图中文字"/>
    <w:basedOn w:val="1"/>
    <w:next w:val="1"/>
    <w:uiPriority w:val="0"/>
    <w:pPr>
      <w:adjustRightInd w:val="0"/>
      <w:spacing w:line="480" w:lineRule="exact"/>
      <w:jc w:val="both"/>
    </w:pPr>
    <w:rPr>
      <w:sz w:val="21"/>
      <w:szCs w:val="20"/>
    </w:rPr>
  </w:style>
  <w:style w:type="character" w:customStyle="1" w:styleId="2377">
    <w:name w:val="新格式表 Char"/>
    <w:link w:val="1359"/>
    <w:uiPriority w:val="0"/>
    <w:rPr>
      <w:rFonts w:ascii="ˎ̥" w:hAnsi="ˎ̥"/>
      <w:b/>
      <w:snapToGrid w:val="0"/>
      <w:color w:val="000000"/>
      <w:kern w:val="2"/>
      <w:sz w:val="24"/>
      <w:szCs w:val="24"/>
    </w:rPr>
  </w:style>
  <w:style w:type="paragraph" w:customStyle="1" w:styleId="2378">
    <w:name w:val="图标"/>
    <w:basedOn w:val="1"/>
    <w:next w:val="1"/>
    <w:uiPriority w:val="0"/>
    <w:pPr>
      <w:widowControl/>
      <w:adjustRightInd w:val="0"/>
      <w:spacing w:line="480" w:lineRule="exact"/>
      <w:ind w:firstLine="0" w:firstLineChars="0"/>
      <w:jc w:val="center"/>
    </w:pPr>
    <w:rPr>
      <w:rFonts w:cs="宋体"/>
      <w:kern w:val="0"/>
      <w:szCs w:val="20"/>
    </w:rPr>
  </w:style>
  <w:style w:type="paragraph" w:customStyle="1" w:styleId="2379">
    <w:name w:val="正文楷体"/>
    <w:basedOn w:val="1"/>
    <w:uiPriority w:val="0"/>
    <w:pPr>
      <w:snapToGrid/>
      <w:spacing w:line="240" w:lineRule="auto"/>
      <w:ind w:firstLine="0" w:firstLineChars="0"/>
      <w:jc w:val="both"/>
    </w:pPr>
    <w:rPr>
      <w:rFonts w:eastAsia="楷体_GB2312"/>
      <w:sz w:val="21"/>
      <w:szCs w:val="20"/>
    </w:rPr>
  </w:style>
  <w:style w:type="paragraph" w:customStyle="1" w:styleId="2380">
    <w:name w:val="font20"/>
    <w:basedOn w:val="1"/>
    <w:autoRedefine/>
    <w:qFormat/>
    <w:uiPriority w:val="0"/>
    <w:pPr>
      <w:widowControl/>
      <w:snapToGrid/>
      <w:spacing w:beforeAutospacing="1" w:afterAutospacing="1" w:line="240" w:lineRule="auto"/>
      <w:ind w:firstLine="0" w:firstLineChars="0"/>
    </w:pPr>
    <w:rPr>
      <w:rFonts w:ascii="宋体" w:hAnsi="宋体" w:cs="宋体"/>
      <w:color w:val="000000"/>
      <w:kern w:val="0"/>
      <w:sz w:val="21"/>
      <w:szCs w:val="21"/>
    </w:rPr>
  </w:style>
  <w:style w:type="paragraph" w:customStyle="1" w:styleId="2381">
    <w:name w:val="font21"/>
    <w:basedOn w:val="1"/>
    <w:qFormat/>
    <w:uiPriority w:val="0"/>
    <w:pPr>
      <w:widowControl/>
      <w:snapToGrid/>
      <w:spacing w:beforeAutospacing="1" w:afterAutospacing="1" w:line="240" w:lineRule="auto"/>
      <w:ind w:firstLine="0" w:firstLineChars="0"/>
    </w:pPr>
    <w:rPr>
      <w:rFonts w:ascii="宋体" w:hAnsi="宋体" w:cs="宋体"/>
      <w:color w:val="000000"/>
      <w:kern w:val="0"/>
      <w:sz w:val="21"/>
      <w:szCs w:val="21"/>
    </w:rPr>
  </w:style>
  <w:style w:type="paragraph" w:customStyle="1" w:styleId="2382">
    <w:name w:val="font22"/>
    <w:basedOn w:val="1"/>
    <w:uiPriority w:val="0"/>
    <w:pPr>
      <w:widowControl/>
      <w:snapToGrid/>
      <w:spacing w:beforeAutospacing="1" w:afterAutospacing="1" w:line="240" w:lineRule="auto"/>
      <w:ind w:firstLine="0" w:firstLineChars="0"/>
    </w:pPr>
    <w:rPr>
      <w:rFonts w:ascii="宋体" w:hAnsi="宋体" w:cs="宋体"/>
      <w:color w:val="000000"/>
      <w:kern w:val="0"/>
      <w:sz w:val="21"/>
      <w:szCs w:val="21"/>
    </w:rPr>
  </w:style>
  <w:style w:type="paragraph" w:customStyle="1" w:styleId="2383">
    <w:name w:val="font23"/>
    <w:basedOn w:val="1"/>
    <w:uiPriority w:val="0"/>
    <w:pPr>
      <w:widowControl/>
      <w:snapToGrid/>
      <w:spacing w:beforeAutospacing="1" w:afterAutospacing="1" w:line="240" w:lineRule="auto"/>
      <w:ind w:firstLine="0" w:firstLineChars="0"/>
    </w:pPr>
    <w:rPr>
      <w:color w:val="000000"/>
      <w:kern w:val="0"/>
      <w:sz w:val="21"/>
      <w:szCs w:val="21"/>
    </w:rPr>
  </w:style>
  <w:style w:type="paragraph" w:customStyle="1" w:styleId="2384">
    <w:name w:val="font24"/>
    <w:basedOn w:val="1"/>
    <w:uiPriority w:val="0"/>
    <w:pPr>
      <w:widowControl/>
      <w:snapToGrid/>
      <w:spacing w:beforeAutospacing="1" w:afterAutospacing="1" w:line="240" w:lineRule="auto"/>
      <w:ind w:firstLine="0" w:firstLineChars="0"/>
    </w:pPr>
    <w:rPr>
      <w:color w:val="000000"/>
      <w:kern w:val="0"/>
      <w:sz w:val="21"/>
      <w:szCs w:val="21"/>
    </w:rPr>
  </w:style>
  <w:style w:type="paragraph" w:customStyle="1" w:styleId="2385">
    <w:name w:val="font25"/>
    <w:basedOn w:val="1"/>
    <w:autoRedefine/>
    <w:qFormat/>
    <w:uiPriority w:val="0"/>
    <w:pPr>
      <w:widowControl/>
      <w:snapToGrid/>
      <w:spacing w:beforeAutospacing="1" w:afterAutospacing="1" w:line="240" w:lineRule="auto"/>
      <w:ind w:firstLine="0" w:firstLineChars="0"/>
    </w:pPr>
    <w:rPr>
      <w:rFonts w:ascii="宋体" w:hAnsi="宋体" w:cs="宋体"/>
      <w:color w:val="000000"/>
      <w:kern w:val="0"/>
      <w:sz w:val="21"/>
      <w:szCs w:val="21"/>
    </w:rPr>
  </w:style>
  <w:style w:type="character" w:customStyle="1" w:styleId="2386">
    <w:name w:val="环科院表格标题 Char Char"/>
    <w:link w:val="2387"/>
    <w:qFormat/>
    <w:uiPriority w:val="0"/>
    <w:rPr>
      <w:rFonts w:eastAsia="黑体"/>
      <w:bCs/>
      <w:szCs w:val="21"/>
    </w:rPr>
  </w:style>
  <w:style w:type="paragraph" w:customStyle="1" w:styleId="2387">
    <w:name w:val="环科院表格标题"/>
    <w:basedOn w:val="1"/>
    <w:link w:val="2386"/>
    <w:uiPriority w:val="0"/>
    <w:pPr>
      <w:snapToGrid/>
      <w:spacing w:beforeLines="50" w:line="240" w:lineRule="auto"/>
      <w:ind w:firstLine="0" w:firstLineChars="0"/>
      <w:jc w:val="center"/>
    </w:pPr>
    <w:rPr>
      <w:rFonts w:eastAsia="黑体"/>
      <w:bCs/>
      <w:kern w:val="0"/>
      <w:sz w:val="20"/>
      <w:szCs w:val="21"/>
    </w:rPr>
  </w:style>
  <w:style w:type="character" w:customStyle="1" w:styleId="2388">
    <w:name w:val="环科院正文 Char Char"/>
    <w:link w:val="2389"/>
    <w:uiPriority w:val="0"/>
    <w:rPr>
      <w:sz w:val="24"/>
      <w:szCs w:val="24"/>
    </w:rPr>
  </w:style>
  <w:style w:type="paragraph" w:customStyle="1" w:styleId="2389">
    <w:name w:val="环科院正文"/>
    <w:basedOn w:val="1"/>
    <w:link w:val="2388"/>
    <w:autoRedefine/>
    <w:qFormat/>
    <w:uiPriority w:val="0"/>
    <w:pPr>
      <w:snapToGrid/>
      <w:spacing w:line="300" w:lineRule="auto"/>
      <w:jc w:val="both"/>
    </w:pPr>
    <w:rPr>
      <w:kern w:val="0"/>
    </w:rPr>
  </w:style>
  <w:style w:type="character" w:customStyle="1" w:styleId="2390">
    <w:name w:val="环科院正文加粗 Char Char"/>
    <w:link w:val="2391"/>
    <w:uiPriority w:val="0"/>
    <w:rPr>
      <w:rFonts w:ascii="宋体" w:hAnsi="宋体"/>
      <w:b/>
      <w:snapToGrid w:val="0"/>
      <w:color w:val="000000"/>
      <w:sz w:val="24"/>
      <w:szCs w:val="24"/>
    </w:rPr>
  </w:style>
  <w:style w:type="paragraph" w:customStyle="1" w:styleId="2391">
    <w:name w:val="环科院正文加粗"/>
    <w:basedOn w:val="2389"/>
    <w:link w:val="2390"/>
    <w:uiPriority w:val="0"/>
    <w:pPr>
      <w:ind w:firstLine="482"/>
    </w:pPr>
    <w:rPr>
      <w:rFonts w:ascii="宋体" w:hAnsi="宋体"/>
      <w:b/>
      <w:snapToGrid w:val="0"/>
      <w:color w:val="000000"/>
    </w:rPr>
  </w:style>
  <w:style w:type="paragraph" w:customStyle="1" w:styleId="2392">
    <w:name w:val="Style40"/>
    <w:uiPriority w:val="0"/>
    <w:pPr>
      <w:jc w:val="both"/>
    </w:pPr>
    <w:rPr>
      <w:rFonts w:ascii="Arial" w:hAnsi="Arial" w:eastAsia="宋体" w:cs="Times New Roman"/>
      <w:snapToGrid w:val="0"/>
      <w:sz w:val="24"/>
      <w:lang w:val="fr-FR" w:eastAsia="fr-FR" w:bidi="ar-SA"/>
    </w:rPr>
  </w:style>
  <w:style w:type="paragraph" w:customStyle="1" w:styleId="2393">
    <w:name w:val="_Style 210"/>
    <w:basedOn w:val="1"/>
    <w:autoRedefine/>
    <w:qFormat/>
    <w:uiPriority w:val="0"/>
    <w:pPr>
      <w:snapToGrid/>
      <w:spacing w:line="240" w:lineRule="auto"/>
      <w:ind w:firstLine="0" w:firstLineChars="0"/>
      <w:jc w:val="both"/>
    </w:pPr>
    <w:rPr>
      <w:rFonts w:ascii="宋体"/>
      <w:kern w:val="0"/>
      <w:szCs w:val="20"/>
    </w:rPr>
  </w:style>
  <w:style w:type="table" w:customStyle="1" w:styleId="2394">
    <w:name w:val="专业网格21"/>
    <w:basedOn w:val="88"/>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395">
    <w:name w:val="表格样式2"/>
    <w:basedOn w:val="88"/>
    <w:autoRedefine/>
    <w:qFormat/>
    <w:uiPriority w:val="0"/>
    <w:pPr>
      <w:snapToGrid w:val="0"/>
      <w:jc w:val="center"/>
      <w:textAlignment w:val="center"/>
    </w:pPr>
    <w:rPr>
      <w:rFonts w:eastAsia="仿宋_GB2312"/>
      <w:snapToGrid w:val="0"/>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rPr>
      <w:jc w:val="center"/>
    </w:trPr>
    <w:tcPr>
      <w:vAlign w:val="center"/>
    </w:tcPr>
  </w:style>
  <w:style w:type="table" w:customStyle="1" w:styleId="2396">
    <w:name w:val="专业网格31"/>
    <w:basedOn w:val="88"/>
    <w:autoRedefine/>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97">
    <w:name w:val="列表 Char1"/>
    <w:autoRedefine/>
    <w:qFormat/>
    <w:uiPriority w:val="0"/>
    <w:rPr>
      <w:kern w:val="2"/>
      <w:sz w:val="21"/>
      <w:szCs w:val="24"/>
    </w:rPr>
  </w:style>
  <w:style w:type="table" w:customStyle="1" w:styleId="2398">
    <w:name w:val="网格型 711"/>
    <w:basedOn w:val="88"/>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paragraph" w:customStyle="1" w:styleId="2399">
    <w:name w:val="正文16"/>
    <w:basedOn w:val="1"/>
    <w:autoRedefine/>
    <w:qFormat/>
    <w:uiPriority w:val="0"/>
    <w:pPr>
      <w:adjustRightInd w:val="0"/>
      <w:snapToGrid/>
      <w:spacing w:line="315" w:lineRule="atLeast"/>
      <w:ind w:firstLine="0" w:firstLineChars="0"/>
      <w:textAlignment w:val="baseline"/>
    </w:pPr>
    <w:rPr>
      <w:rFonts w:ascii="宋体"/>
      <w:kern w:val="0"/>
      <w:szCs w:val="20"/>
    </w:rPr>
  </w:style>
  <w:style w:type="character" w:customStyle="1" w:styleId="2400">
    <w:name w:val="已访问的超级链接"/>
    <w:autoRedefine/>
    <w:qFormat/>
    <w:uiPriority w:val="0"/>
    <w:rPr>
      <w:rFonts w:ascii="Times New Roman" w:eastAsia="宋体"/>
      <w:color w:val="800080"/>
      <w:spacing w:val="0"/>
      <w:w w:val="100"/>
      <w:sz w:val="21"/>
      <w:u w:val="single" w:color="800080"/>
      <w:vertAlign w:val="baseline"/>
      <w:lang w:val="en-US" w:eastAsia="zh-CN"/>
    </w:rPr>
  </w:style>
  <w:style w:type="paragraph" w:customStyle="1" w:styleId="2401">
    <w:name w:val="HTML 预先格式化"/>
    <w:basedOn w:val="1"/>
    <w:autoRedefine/>
    <w:qFormat/>
    <w:uiPriority w:val="0"/>
    <w:pPr>
      <w:widowControl/>
      <w:tabs>
        <w:tab w:val="left" w:pos="912"/>
        <w:tab w:val="left" w:pos="1831"/>
        <w:tab w:val="left" w:pos="2743"/>
        <w:tab w:val="left" w:pos="3662"/>
        <w:tab w:val="left" w:pos="4575"/>
        <w:tab w:val="left" w:pos="5493"/>
        <w:tab w:val="left" w:pos="6406"/>
        <w:tab w:val="left" w:pos="7324"/>
        <w:tab w:val="left" w:pos="8237"/>
        <w:tab w:val="left" w:pos="9150"/>
        <w:tab w:val="left" w:pos="10068"/>
        <w:tab w:val="left" w:pos="10981"/>
        <w:tab w:val="left" w:pos="11899"/>
        <w:tab w:val="left" w:pos="12812"/>
        <w:tab w:val="left" w:pos="13730"/>
        <w:tab w:val="left" w:pos="14643"/>
      </w:tabs>
      <w:snapToGrid/>
      <w:spacing w:line="351" w:lineRule="atLeast"/>
      <w:ind w:firstLine="419" w:firstLineChars="0"/>
      <w:textAlignment w:val="baseline"/>
    </w:pPr>
    <w:rPr>
      <w:rFonts w:ascii="黑体" w:eastAsia="黑体"/>
      <w:color w:val="000000"/>
      <w:kern w:val="0"/>
      <w:sz w:val="21"/>
      <w:szCs w:val="20"/>
      <w:u w:color="000000"/>
    </w:rPr>
  </w:style>
  <w:style w:type="paragraph" w:customStyle="1" w:styleId="2402">
    <w:name w:val="正文文本缩进 32"/>
    <w:basedOn w:val="1"/>
    <w:autoRedefine/>
    <w:qFormat/>
    <w:uiPriority w:val="0"/>
    <w:pPr>
      <w:snapToGrid/>
      <w:spacing w:line="240" w:lineRule="auto"/>
      <w:ind w:left="420" w:leftChars="200" w:firstLine="0" w:firstLineChars="0"/>
      <w:jc w:val="both"/>
    </w:pPr>
    <w:rPr>
      <w:sz w:val="16"/>
      <w:szCs w:val="16"/>
    </w:rPr>
  </w:style>
  <w:style w:type="paragraph" w:customStyle="1" w:styleId="2403">
    <w:name w:val="无间隔2"/>
    <w:autoRedefine/>
    <w:qFormat/>
    <w:uiPriority w:val="0"/>
    <w:pPr>
      <w:widowControl w:val="0"/>
      <w:tabs>
        <w:tab w:val="left" w:pos="360"/>
      </w:tabs>
      <w:jc w:val="both"/>
    </w:pPr>
    <w:rPr>
      <w:rFonts w:ascii="宋体" w:hAnsi="宋体" w:eastAsia="宋体" w:cs="Times New Roman"/>
      <w:kern w:val="2"/>
      <w:sz w:val="32"/>
      <w:szCs w:val="32"/>
      <w:lang w:val="en-US" w:eastAsia="zh-CN" w:bidi="ar-SA"/>
    </w:rPr>
  </w:style>
  <w:style w:type="paragraph" w:customStyle="1" w:styleId="2404">
    <w:name w:val="样式11111"/>
    <w:basedOn w:val="1"/>
    <w:link w:val="2405"/>
    <w:autoRedefine/>
    <w:qFormat/>
    <w:uiPriority w:val="0"/>
    <w:pPr>
      <w:adjustRightInd w:val="0"/>
      <w:spacing w:afterLines="100" w:line="460" w:lineRule="exact"/>
      <w:ind w:firstLine="0" w:firstLineChars="0"/>
      <w:jc w:val="center"/>
      <w:outlineLvl w:val="0"/>
    </w:pPr>
    <w:rPr>
      <w:rFonts w:eastAsia="黑体" w:cs="Arial"/>
      <w:b/>
      <w:bCs/>
      <w:snapToGrid w:val="0"/>
      <w:kern w:val="0"/>
      <w:sz w:val="30"/>
      <w:szCs w:val="32"/>
    </w:rPr>
  </w:style>
  <w:style w:type="character" w:customStyle="1" w:styleId="2405">
    <w:name w:val="样式11111 Char"/>
    <w:link w:val="2404"/>
    <w:autoRedefine/>
    <w:qFormat/>
    <w:uiPriority w:val="0"/>
    <w:rPr>
      <w:rFonts w:eastAsia="黑体" w:cs="Arial"/>
      <w:b/>
      <w:bCs/>
      <w:snapToGrid w:val="0"/>
      <w:sz w:val="30"/>
      <w:szCs w:val="32"/>
    </w:rPr>
  </w:style>
  <w:style w:type="table" w:customStyle="1" w:styleId="2406">
    <w:name w:val="专业网格4"/>
    <w:basedOn w:val="88"/>
    <w:autoRedefine/>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7">
    <w:name w:val="网格型 72"/>
    <w:basedOn w:val="88"/>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paragraph" w:customStyle="1" w:styleId="2408">
    <w:name w:val="图头字体"/>
    <w:basedOn w:val="2139"/>
    <w:link w:val="2410"/>
    <w:autoRedefine/>
    <w:qFormat/>
    <w:uiPriority w:val="0"/>
    <w:pPr>
      <w:spacing w:beforeLines="0"/>
    </w:pPr>
  </w:style>
  <w:style w:type="table" w:customStyle="1" w:styleId="2409">
    <w:name w:val="专业网格5"/>
    <w:basedOn w:val="88"/>
    <w:autoRedefine/>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10">
    <w:name w:val="图头字体 Char"/>
    <w:link w:val="2408"/>
    <w:autoRedefine/>
    <w:qFormat/>
    <w:uiPriority w:val="0"/>
    <w:rPr>
      <w:b/>
      <w:kern w:val="2"/>
      <w:sz w:val="24"/>
      <w:szCs w:val="24"/>
    </w:rPr>
  </w:style>
  <w:style w:type="table" w:customStyle="1" w:styleId="2411">
    <w:name w:val="网格型 73"/>
    <w:basedOn w:val="88"/>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2412">
    <w:name w:val="网格型模版1"/>
    <w:basedOn w:val="88"/>
    <w:autoRedefine/>
    <w:semiHidden/>
    <w:qFormat/>
    <w:uiPriority w:val="0"/>
    <w:pPr>
      <w:widowControl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3">
    <w:name w:val="网格型8"/>
    <w:basedOn w:val="8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4">
    <w:name w:val="网格型9"/>
    <w:basedOn w:val="8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5">
    <w:name w:val="专业网格6"/>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6">
    <w:name w:val="网格型 1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417">
    <w:name w:val="网格型 53"/>
    <w:basedOn w:val="8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418">
    <w:name w:val="列表型 52"/>
    <w:basedOn w:val="88"/>
    <w:qFormat/>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2419">
    <w:name w:val="网格型 512"/>
    <w:basedOn w:val="88"/>
    <w:autoRedefine/>
    <w:qFormat/>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420">
    <w:name w:val="网格型 74"/>
    <w:basedOn w:val="88"/>
    <w:qFormat/>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2421">
    <w:name w:val="专业网格12"/>
    <w:basedOn w:val="88"/>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22">
    <w:name w:val="表格样式12"/>
    <w:basedOn w:val="88"/>
    <w:autoRedefine/>
    <w:qFormat/>
    <w:uiPriority w:val="0"/>
    <w:pPr>
      <w:snapToGrid w:val="0"/>
      <w:jc w:val="center"/>
      <w:textAlignment w:val="center"/>
    </w:pPr>
    <w:rPr>
      <w:rFonts w:eastAsia="仿宋_GB2312"/>
      <w:snapToGrid w:val="0"/>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rPr>
      <w:jc w:val="center"/>
    </w:trPr>
    <w:tcPr>
      <w:vAlign w:val="center"/>
    </w:tcPr>
  </w:style>
  <w:style w:type="table" w:customStyle="1" w:styleId="2423">
    <w:name w:val="专业网格22"/>
    <w:basedOn w:val="88"/>
    <w:autoRedefine/>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24">
    <w:name w:val="专业网格32"/>
    <w:basedOn w:val="88"/>
    <w:autoRedefine/>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5">
    <w:name w:val="网格型 712"/>
    <w:basedOn w:val="88"/>
    <w:autoRedefine/>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character" w:customStyle="1" w:styleId="2426">
    <w:name w:val="标题 1 Char2"/>
    <w:qFormat/>
    <w:uiPriority w:val="9"/>
    <w:rPr>
      <w:rFonts w:ascii="Times New Roman" w:hAnsi="Times New Roman" w:eastAsia="宋体" w:cs="Times New Roman"/>
      <w:b/>
      <w:bCs/>
      <w:kern w:val="44"/>
      <w:sz w:val="30"/>
      <w:szCs w:val="44"/>
    </w:rPr>
  </w:style>
  <w:style w:type="table" w:customStyle="1" w:styleId="2427">
    <w:name w:val="网格型-无边竖线1"/>
    <w:basedOn w:val="88"/>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28">
    <w:name w:val="headline-content"/>
    <w:uiPriority w:val="0"/>
  </w:style>
  <w:style w:type="character" w:styleId="2429">
    <w:name w:val="Placeholder Text"/>
    <w:semiHidden/>
    <w:uiPriority w:val="99"/>
    <w:rPr>
      <w:color w:val="808080"/>
    </w:rPr>
  </w:style>
  <w:style w:type="paragraph" w:styleId="2430">
    <w:name w:val="Intense Quote"/>
    <w:basedOn w:val="1"/>
    <w:next w:val="1"/>
    <w:link w:val="2431"/>
    <w:autoRedefine/>
    <w:qFormat/>
    <w:uiPriority w:val="30"/>
    <w:pPr>
      <w:pBdr>
        <w:bottom w:val="single" w:color="4F81BD" w:sz="4" w:space="4"/>
      </w:pBdr>
      <w:snapToGrid/>
      <w:spacing w:line="480" w:lineRule="exact"/>
      <w:ind w:left="936" w:right="936" w:firstLine="200"/>
      <w:jc w:val="both"/>
    </w:pPr>
    <w:rPr>
      <w:b/>
      <w:bCs/>
      <w:i/>
      <w:iCs/>
      <w:color w:val="4F81BD"/>
      <w:kern w:val="0"/>
    </w:rPr>
  </w:style>
  <w:style w:type="character" w:customStyle="1" w:styleId="2431">
    <w:name w:val="明显引用 Char1"/>
    <w:link w:val="2430"/>
    <w:uiPriority w:val="30"/>
    <w:rPr>
      <w:b/>
      <w:bCs/>
      <w:i/>
      <w:iCs/>
      <w:color w:val="4F81BD"/>
      <w:sz w:val="24"/>
      <w:szCs w:val="24"/>
    </w:rPr>
  </w:style>
  <w:style w:type="paragraph" w:customStyle="1" w:styleId="2432">
    <w:name w:val="样式 列表 2 + 华文仿宋 居中"/>
    <w:basedOn w:val="37"/>
    <w:autoRedefine/>
    <w:qFormat/>
    <w:uiPriority w:val="0"/>
    <w:pPr>
      <w:ind w:left="0" w:leftChars="0" w:firstLine="0" w:firstLineChars="0"/>
      <w:jc w:val="center"/>
    </w:pPr>
    <w:rPr>
      <w:sz w:val="22"/>
      <w:szCs w:val="22"/>
    </w:rPr>
  </w:style>
  <w:style w:type="character" w:customStyle="1" w:styleId="2433">
    <w:name w:val="lemmatitleh11"/>
    <w:autoRedefine/>
    <w:uiPriority w:val="0"/>
  </w:style>
  <w:style w:type="paragraph" w:customStyle="1" w:styleId="2434">
    <w:name w:val="样式 四号 首行缩进:  2 字符"/>
    <w:basedOn w:val="1"/>
    <w:uiPriority w:val="0"/>
    <w:pPr>
      <w:snapToGrid/>
      <w:spacing w:line="480" w:lineRule="atLeast"/>
      <w:ind w:firstLine="200"/>
      <w:jc w:val="both"/>
    </w:pPr>
  </w:style>
  <w:style w:type="character" w:customStyle="1" w:styleId="2435">
    <w:name w:val="g Char Char2"/>
    <w:autoRedefine/>
    <w:uiPriority w:val="0"/>
    <w:rPr>
      <w:rFonts w:eastAsia="宋体"/>
      <w:sz w:val="18"/>
      <w:szCs w:val="18"/>
      <w:lang w:bidi="ar-SA"/>
    </w:rPr>
  </w:style>
  <w:style w:type="character" w:customStyle="1" w:styleId="2436">
    <w:name w:val="正文首行缩进 2 + Times New Roman Char"/>
    <w:autoRedefine/>
    <w:uiPriority w:val="0"/>
    <w:rPr>
      <w:rFonts w:eastAsia="宋体"/>
      <w:sz w:val="24"/>
      <w:szCs w:val="24"/>
      <w:lang w:val="en-US" w:eastAsia="zh-CN" w:bidi="ar-SA"/>
    </w:rPr>
  </w:style>
  <w:style w:type="character" w:customStyle="1" w:styleId="2437">
    <w:name w:val="列表 3 Char"/>
    <w:link w:val="12"/>
    <w:locked/>
    <w:uiPriority w:val="0"/>
    <w:rPr>
      <w:kern w:val="2"/>
      <w:sz w:val="21"/>
      <w:szCs w:val="24"/>
    </w:rPr>
  </w:style>
  <w:style w:type="paragraph" w:customStyle="1" w:styleId="2438">
    <w:name w:val="main"/>
    <w:basedOn w:val="1"/>
    <w:autoRedefine/>
    <w:qFormat/>
    <w:uiPriority w:val="0"/>
    <w:pPr>
      <w:widowControl/>
      <w:snapToGrid/>
      <w:spacing w:beforeAutospacing="1" w:afterAutospacing="1" w:line="240" w:lineRule="auto"/>
      <w:ind w:firstLine="400" w:firstLineChars="0"/>
    </w:pPr>
    <w:rPr>
      <w:rFonts w:eastAsia="Arial Unicode MS" w:cs="Arial Unicode MS"/>
      <w:color w:val="0033CC"/>
      <w:kern w:val="0"/>
      <w:sz w:val="18"/>
      <w:szCs w:val="18"/>
    </w:rPr>
  </w:style>
  <w:style w:type="paragraph" w:customStyle="1" w:styleId="2439">
    <w:name w:val="表格内正文"/>
    <w:uiPriority w:val="0"/>
    <w:pPr>
      <w:widowControl w:val="0"/>
      <w:spacing w:line="360" w:lineRule="exact"/>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2440">
    <w:name w:val="样式 首行缩进:  2 字符 行距: 固定值 26 磅"/>
    <w:basedOn w:val="1"/>
    <w:uiPriority w:val="0"/>
    <w:pPr>
      <w:snapToGrid/>
      <w:spacing w:line="480" w:lineRule="exact"/>
      <w:ind w:firstLine="200"/>
      <w:jc w:val="both"/>
    </w:pPr>
    <w:rPr>
      <w:rFonts w:cs="宋体"/>
      <w:szCs w:val="20"/>
    </w:rPr>
  </w:style>
  <w:style w:type="character" w:customStyle="1" w:styleId="2441">
    <w:name w:val="样式 正文文本缩进 2正文文字缩进 2 + 四号 蓝色 Char Char"/>
    <w:link w:val="2442"/>
    <w:locked/>
    <w:uiPriority w:val="0"/>
    <w:rPr>
      <w:color w:val="0000FF"/>
      <w:sz w:val="24"/>
      <w:szCs w:val="24"/>
    </w:rPr>
  </w:style>
  <w:style w:type="paragraph" w:customStyle="1" w:styleId="2442">
    <w:name w:val="样式 正文文本缩进 2正文文字缩进 2 + 四号 蓝色 Char"/>
    <w:basedOn w:val="51"/>
    <w:link w:val="2441"/>
    <w:autoRedefine/>
    <w:qFormat/>
    <w:uiPriority w:val="0"/>
    <w:pPr>
      <w:adjustRightInd w:val="0"/>
      <w:snapToGrid/>
      <w:spacing w:line="480" w:lineRule="exact"/>
      <w:ind w:left="0" w:leftChars="0" w:firstLine="709" w:firstLineChars="0"/>
      <w:jc w:val="both"/>
    </w:pPr>
    <w:rPr>
      <w:color w:val="0000FF"/>
      <w:kern w:val="0"/>
    </w:rPr>
  </w:style>
  <w:style w:type="character" w:customStyle="1" w:styleId="2443">
    <w:name w:val="表格1 Char"/>
    <w:link w:val="346"/>
    <w:qFormat/>
    <w:locked/>
    <w:uiPriority w:val="0"/>
    <w:rPr>
      <w:bCs/>
      <w:color w:val="000000"/>
      <w:sz w:val="21"/>
      <w:szCs w:val="19"/>
    </w:rPr>
  </w:style>
  <w:style w:type="paragraph" w:customStyle="1" w:styleId="2444">
    <w:name w:val="样式 红色 首行缩进:  2 字符"/>
    <w:basedOn w:val="1"/>
    <w:uiPriority w:val="0"/>
    <w:pPr>
      <w:snapToGrid/>
      <w:spacing w:line="480" w:lineRule="exact"/>
      <w:jc w:val="both"/>
    </w:pPr>
    <w:rPr>
      <w:rFonts w:cs="宋体"/>
      <w:color w:val="FF0000"/>
      <w:szCs w:val="20"/>
    </w:rPr>
  </w:style>
  <w:style w:type="paragraph" w:customStyle="1" w:styleId="2445">
    <w:name w:val="样式 正文文本缩进 2正文文字缩进 2 + 四号 蓝色"/>
    <w:basedOn w:val="51"/>
    <w:qFormat/>
    <w:uiPriority w:val="0"/>
    <w:pPr>
      <w:adjustRightInd w:val="0"/>
      <w:snapToGrid/>
      <w:spacing w:line="480" w:lineRule="exact"/>
      <w:ind w:left="0" w:leftChars="0" w:firstLine="709" w:firstLineChars="0"/>
      <w:jc w:val="both"/>
    </w:pPr>
    <w:rPr>
      <w:rFonts w:eastAsia="Times New Roman"/>
      <w:color w:val="0000FF"/>
      <w:kern w:val="0"/>
    </w:rPr>
  </w:style>
  <w:style w:type="paragraph" w:customStyle="1" w:styleId="2446">
    <w:name w:val="样式 五号 居中 行距: 最小值 18 磅"/>
    <w:basedOn w:val="1"/>
    <w:qFormat/>
    <w:uiPriority w:val="0"/>
    <w:pPr>
      <w:snapToGrid/>
      <w:spacing w:line="360" w:lineRule="atLeast"/>
      <w:ind w:firstLine="0" w:firstLineChars="0"/>
      <w:jc w:val="center"/>
    </w:pPr>
    <w:rPr>
      <w:rFonts w:cs="宋体"/>
      <w:sz w:val="21"/>
      <w:szCs w:val="20"/>
    </w:rPr>
  </w:style>
  <w:style w:type="paragraph" w:customStyle="1" w:styleId="2447">
    <w:name w:val="样式 (中文) 黑体"/>
    <w:basedOn w:val="1"/>
    <w:uiPriority w:val="0"/>
    <w:pPr>
      <w:snapToGrid/>
      <w:spacing w:line="480" w:lineRule="exact"/>
      <w:ind w:firstLine="567" w:firstLineChars="0"/>
      <w:jc w:val="both"/>
    </w:pPr>
    <w:rPr>
      <w:rFonts w:eastAsia="黑体" w:cs="宋体"/>
      <w:kern w:val="0"/>
      <w:szCs w:val="20"/>
    </w:rPr>
  </w:style>
  <w:style w:type="paragraph" w:customStyle="1" w:styleId="2448">
    <w:name w:val="热电厂正文"/>
    <w:basedOn w:val="1"/>
    <w:qFormat/>
    <w:uiPriority w:val="0"/>
    <w:pPr>
      <w:snapToGrid/>
      <w:spacing w:line="440" w:lineRule="exact"/>
      <w:jc w:val="both"/>
    </w:pPr>
  </w:style>
  <w:style w:type="paragraph" w:customStyle="1" w:styleId="2449">
    <w:name w:val="标题后正文"/>
    <w:basedOn w:val="1"/>
    <w:uiPriority w:val="0"/>
    <w:pPr>
      <w:adjustRightInd w:val="0"/>
      <w:ind w:firstLine="200"/>
      <w:jc w:val="both"/>
    </w:pPr>
    <w:rPr>
      <w:rFonts w:ascii="Arial" w:hAnsi="Arial"/>
      <w:kern w:val="28"/>
      <w:szCs w:val="20"/>
    </w:rPr>
  </w:style>
  <w:style w:type="paragraph" w:customStyle="1" w:styleId="2450">
    <w:name w:val="样式 小四 首行缩进:  0.74 厘米 行距: 固定值 20 磅"/>
    <w:basedOn w:val="1"/>
    <w:autoRedefine/>
    <w:uiPriority w:val="0"/>
    <w:pPr>
      <w:snapToGrid/>
      <w:spacing w:line="440" w:lineRule="exact"/>
      <w:ind w:firstLine="454" w:firstLineChars="0"/>
      <w:jc w:val="both"/>
    </w:pPr>
    <w:rPr>
      <w:szCs w:val="20"/>
    </w:rPr>
  </w:style>
  <w:style w:type="character" w:customStyle="1" w:styleId="2451">
    <w:name w:val="标准 Char Char"/>
    <w:link w:val="2452"/>
    <w:locked/>
    <w:uiPriority w:val="0"/>
    <w:rPr>
      <w:sz w:val="28"/>
    </w:rPr>
  </w:style>
  <w:style w:type="paragraph" w:customStyle="1" w:styleId="2452">
    <w:name w:val="标准 Char"/>
    <w:basedOn w:val="1"/>
    <w:link w:val="2451"/>
    <w:uiPriority w:val="0"/>
    <w:pPr>
      <w:adjustRightInd w:val="0"/>
      <w:snapToGrid/>
      <w:spacing w:line="480" w:lineRule="exact"/>
      <w:ind w:firstLine="0" w:firstLineChars="0"/>
      <w:jc w:val="both"/>
    </w:pPr>
    <w:rPr>
      <w:kern w:val="0"/>
      <w:sz w:val="28"/>
      <w:szCs w:val="20"/>
    </w:rPr>
  </w:style>
  <w:style w:type="paragraph" w:customStyle="1" w:styleId="2453">
    <w:name w:val="样式 小四 行距: 固定值 24 磅 首行缩进:  2 字符"/>
    <w:basedOn w:val="1"/>
    <w:qFormat/>
    <w:uiPriority w:val="0"/>
    <w:pPr>
      <w:snapToGrid/>
      <w:spacing w:line="440" w:lineRule="exact"/>
      <w:ind w:firstLine="200"/>
      <w:jc w:val="both"/>
    </w:pPr>
  </w:style>
  <w:style w:type="paragraph" w:customStyle="1" w:styleId="2454">
    <w:name w:val="农业部一"/>
    <w:next w:val="34"/>
    <w:uiPriority w:val="0"/>
    <w:pPr>
      <w:widowControl w:val="0"/>
      <w:topLinePunct/>
      <w:spacing w:line="360" w:lineRule="atLeast"/>
      <w:jc w:val="center"/>
    </w:pPr>
    <w:rPr>
      <w:rFonts w:ascii="Times New Roman" w:hAnsi="Times New Roman" w:eastAsia="宋体" w:cs="Times New Roman"/>
      <w:kern w:val="2"/>
      <w:sz w:val="24"/>
      <w:szCs w:val="24"/>
      <w:lang w:val="en-US" w:eastAsia="zh-CN" w:bidi="ar-SA"/>
    </w:rPr>
  </w:style>
  <w:style w:type="paragraph" w:customStyle="1" w:styleId="2455">
    <w:name w:val="5#表格"/>
    <w:basedOn w:val="1"/>
    <w:qFormat/>
    <w:uiPriority w:val="0"/>
    <w:pPr>
      <w:tabs>
        <w:tab w:val="left" w:pos="600"/>
      </w:tabs>
      <w:adjustRightInd w:val="0"/>
      <w:snapToGrid/>
      <w:spacing w:line="360" w:lineRule="exact"/>
      <w:ind w:firstLine="0" w:firstLineChars="0"/>
      <w:jc w:val="center"/>
    </w:pPr>
    <w:rPr>
      <w:kern w:val="0"/>
      <w:sz w:val="21"/>
      <w:szCs w:val="21"/>
    </w:rPr>
  </w:style>
  <w:style w:type="paragraph" w:customStyle="1" w:styleId="2456">
    <w:name w:val="国函"/>
    <w:next w:val="1"/>
    <w:uiPriority w:val="0"/>
    <w:pPr>
      <w:adjustRightInd w:val="0"/>
      <w:spacing w:after="300"/>
      <w:jc w:val="center"/>
    </w:pPr>
    <w:rPr>
      <w:rFonts w:ascii="Times New Roman" w:hAnsi="Times New Roman" w:eastAsia="楷体_GB2312" w:cs="Times New Roman"/>
      <w:lang w:val="en-US" w:eastAsia="zh-CN" w:bidi="ar-SA"/>
    </w:rPr>
  </w:style>
  <w:style w:type="paragraph" w:customStyle="1" w:styleId="2457">
    <w:name w:val="样式 标题 1 + 浅蓝 首行缩进:  0 厘米"/>
    <w:basedOn w:val="3"/>
    <w:qFormat/>
    <w:uiPriority w:val="0"/>
    <w:pPr>
      <w:keepNext/>
      <w:keepLines/>
      <w:numPr>
        <w:numId w:val="0"/>
      </w:numPr>
      <w:tabs>
        <w:tab w:val="left" w:pos="360"/>
      </w:tabs>
      <w:overflowPunct/>
      <w:adjustRightInd w:val="0"/>
      <w:spacing w:before="340" w:after="330" w:line="360" w:lineRule="auto"/>
      <w:ind w:firstLine="567"/>
      <w:jc w:val="left"/>
    </w:pPr>
    <w:rPr>
      <w:rFonts w:eastAsia="宋体"/>
      <w:bCs w:val="0"/>
      <w:snapToGrid/>
      <w:color w:val="3366FF"/>
      <w:sz w:val="32"/>
      <w:szCs w:val="20"/>
    </w:rPr>
  </w:style>
  <w:style w:type="paragraph" w:customStyle="1" w:styleId="2458">
    <w:name w:val="样式 左侧:  0.85 厘米 首行缩进:  2 字符"/>
    <w:basedOn w:val="1"/>
    <w:qFormat/>
    <w:uiPriority w:val="0"/>
    <w:pPr>
      <w:snapToGrid/>
      <w:spacing w:line="480" w:lineRule="exact"/>
      <w:ind w:firstLine="200"/>
      <w:jc w:val="both"/>
    </w:pPr>
    <w:rPr>
      <w:szCs w:val="20"/>
    </w:rPr>
  </w:style>
  <w:style w:type="paragraph" w:customStyle="1" w:styleId="2459">
    <w:name w:val="样式 标题 3 + 首行缩进:  0 厘米"/>
    <w:basedOn w:val="5"/>
    <w:qFormat/>
    <w:uiPriority w:val="0"/>
    <w:pPr>
      <w:keepNext/>
      <w:keepLines/>
      <w:numPr>
        <w:ilvl w:val="0"/>
        <w:numId w:val="0"/>
      </w:numPr>
      <w:tabs>
        <w:tab w:val="left" w:pos="1134"/>
        <w:tab w:val="left" w:pos="1256"/>
      </w:tabs>
      <w:adjustRightInd w:val="0"/>
      <w:spacing w:before="260" w:beforeLines="0" w:after="260" w:afterLines="0"/>
      <w:ind w:firstLine="567"/>
    </w:pPr>
    <w:rPr>
      <w:bCs w:val="0"/>
      <w:kern w:val="0"/>
      <w:sz w:val="24"/>
      <w:szCs w:val="20"/>
    </w:rPr>
  </w:style>
  <w:style w:type="paragraph" w:customStyle="1" w:styleId="2460">
    <w:name w:val="表格用字 +  六号"/>
    <w:basedOn w:val="1"/>
    <w:qFormat/>
    <w:uiPriority w:val="0"/>
    <w:pPr>
      <w:snapToGrid/>
      <w:spacing w:line="0" w:lineRule="atLeast"/>
      <w:ind w:firstLine="0" w:firstLineChars="0"/>
      <w:jc w:val="both"/>
    </w:pPr>
    <w:rPr>
      <w:rFonts w:ascii="宋体" w:eastAsia="仿宋_GB2312"/>
      <w:sz w:val="15"/>
      <w:szCs w:val="20"/>
    </w:rPr>
  </w:style>
  <w:style w:type="paragraph" w:customStyle="1" w:styleId="2461">
    <w:name w:val="说明-表格用字"/>
    <w:basedOn w:val="1"/>
    <w:qFormat/>
    <w:uiPriority w:val="0"/>
    <w:pPr>
      <w:snapToGrid/>
      <w:spacing w:line="240" w:lineRule="auto"/>
      <w:ind w:firstLine="0" w:firstLineChars="0"/>
      <w:jc w:val="center"/>
    </w:pPr>
    <w:rPr>
      <w:rFonts w:ascii="宋体" w:hAnsi="宋体"/>
      <w:kern w:val="0"/>
      <w:sz w:val="21"/>
      <w:szCs w:val="20"/>
    </w:rPr>
  </w:style>
  <w:style w:type="paragraph" w:customStyle="1" w:styleId="2462">
    <w:name w:val="样式 标题 1 + 加粗 首行缩进:  0 厘米"/>
    <w:basedOn w:val="3"/>
    <w:qFormat/>
    <w:uiPriority w:val="0"/>
    <w:pPr>
      <w:keepNext/>
      <w:keepLines/>
      <w:widowControl/>
      <w:numPr>
        <w:numId w:val="0"/>
      </w:numPr>
      <w:tabs>
        <w:tab w:val="left" w:pos="360"/>
      </w:tabs>
      <w:overflowPunct/>
      <w:adjustRightInd w:val="0"/>
      <w:spacing w:before="340" w:after="330" w:line="480" w:lineRule="atLeast"/>
      <w:jc w:val="left"/>
    </w:pPr>
    <w:rPr>
      <w:rFonts w:eastAsia="宋体"/>
      <w:bCs w:val="0"/>
      <w:snapToGrid/>
      <w:color w:val="auto"/>
      <w:sz w:val="32"/>
      <w:szCs w:val="20"/>
    </w:rPr>
  </w:style>
  <w:style w:type="paragraph" w:customStyle="1" w:styleId="2463">
    <w:name w:val="样式 小五 居中 首行缩进:  2 字符"/>
    <w:basedOn w:val="1"/>
    <w:qFormat/>
    <w:uiPriority w:val="0"/>
    <w:pPr>
      <w:snapToGrid/>
      <w:spacing w:line="240" w:lineRule="auto"/>
      <w:ind w:firstLine="0" w:firstLineChars="0"/>
      <w:jc w:val="center"/>
    </w:pPr>
    <w:rPr>
      <w:sz w:val="18"/>
      <w:szCs w:val="20"/>
    </w:rPr>
  </w:style>
  <w:style w:type="paragraph" w:customStyle="1" w:styleId="2464">
    <w:name w:val="说明-表格-注"/>
    <w:basedOn w:val="1"/>
    <w:qFormat/>
    <w:uiPriority w:val="0"/>
    <w:pPr>
      <w:snapToGrid/>
      <w:spacing w:line="0" w:lineRule="atLeast"/>
      <w:ind w:left="189" w:leftChars="189" w:right="374" w:firstLine="13" w:firstLineChars="7"/>
      <w:jc w:val="both"/>
    </w:pPr>
    <w:rPr>
      <w:rFonts w:hAnsi="宋体"/>
      <w:sz w:val="18"/>
      <w:szCs w:val="20"/>
    </w:rPr>
  </w:style>
  <w:style w:type="paragraph" w:customStyle="1" w:styleId="2465">
    <w:name w:val="样式 标题 2 + 段前: 1 行"/>
    <w:basedOn w:val="4"/>
    <w:qFormat/>
    <w:uiPriority w:val="0"/>
    <w:pPr>
      <w:keepNext/>
      <w:keepLines/>
      <w:numPr>
        <w:ilvl w:val="0"/>
        <w:numId w:val="0"/>
      </w:numPr>
      <w:tabs>
        <w:tab w:val="left" w:pos="927"/>
        <w:tab w:val="left" w:pos="1134"/>
      </w:tabs>
      <w:adjustRightInd w:val="0"/>
      <w:spacing w:before="260" w:beforeLines="0" w:after="260" w:afterLines="0"/>
      <w:ind w:firstLine="567"/>
    </w:pPr>
    <w:rPr>
      <w:rFonts w:ascii="宋体"/>
      <w:bCs w:val="0"/>
      <w:kern w:val="0"/>
      <w:sz w:val="28"/>
      <w:szCs w:val="20"/>
    </w:rPr>
  </w:style>
  <w:style w:type="paragraph" w:customStyle="1" w:styleId="2466">
    <w:name w:val="说明-标题3"/>
    <w:basedOn w:val="5"/>
    <w:qFormat/>
    <w:uiPriority w:val="0"/>
    <w:pPr>
      <w:keepNext/>
      <w:keepLines/>
      <w:numPr>
        <w:ilvl w:val="0"/>
        <w:numId w:val="0"/>
      </w:numPr>
      <w:tabs>
        <w:tab w:val="left" w:pos="1134"/>
        <w:tab w:val="left" w:pos="1256"/>
      </w:tabs>
      <w:snapToGrid/>
      <w:spacing w:before="260" w:beforeLines="0" w:after="260" w:line="416" w:lineRule="atLeast"/>
      <w:jc w:val="both"/>
    </w:pPr>
    <w:rPr>
      <w:rFonts w:ascii="黑体" w:eastAsia="黑体"/>
      <w:b w:val="0"/>
      <w:bCs w:val="0"/>
      <w:kern w:val="0"/>
      <w:sz w:val="30"/>
      <w:szCs w:val="20"/>
    </w:rPr>
  </w:style>
  <w:style w:type="paragraph" w:customStyle="1" w:styleId="2467">
    <w:name w:val="样式 样式 标题 3 + 宋体 小四 加粗 + 首行缩进:  0 厘米"/>
    <w:basedOn w:val="1"/>
    <w:qFormat/>
    <w:uiPriority w:val="0"/>
    <w:pPr>
      <w:keepNext/>
      <w:keepLines/>
      <w:adjustRightInd w:val="0"/>
      <w:spacing w:line="240" w:lineRule="auto"/>
      <w:ind w:firstLine="567" w:firstLineChars="0"/>
      <w:jc w:val="both"/>
    </w:pPr>
    <w:rPr>
      <w:rFonts w:ascii="宋体" w:hAnsi="宋体"/>
      <w:b/>
      <w:kern w:val="0"/>
      <w:szCs w:val="20"/>
    </w:rPr>
  </w:style>
  <w:style w:type="paragraph" w:customStyle="1" w:styleId="2468">
    <w:name w:val="说明-正文"/>
    <w:basedOn w:val="1"/>
    <w:qFormat/>
    <w:uiPriority w:val="0"/>
    <w:pPr>
      <w:adjustRightInd w:val="0"/>
      <w:jc w:val="both"/>
    </w:pPr>
    <w:rPr>
      <w:kern w:val="0"/>
      <w:szCs w:val="20"/>
    </w:rPr>
  </w:style>
  <w:style w:type="paragraph" w:customStyle="1" w:styleId="2469">
    <w:name w:val="说明-标题2"/>
    <w:basedOn w:val="4"/>
    <w:qFormat/>
    <w:uiPriority w:val="0"/>
    <w:pPr>
      <w:keepNext/>
      <w:keepLines/>
      <w:pageBreakBefore/>
      <w:numPr>
        <w:ilvl w:val="0"/>
        <w:numId w:val="0"/>
      </w:numPr>
      <w:tabs>
        <w:tab w:val="left" w:pos="927"/>
        <w:tab w:val="left" w:pos="1134"/>
      </w:tabs>
      <w:snapToGrid/>
      <w:spacing w:before="260" w:beforeLines="0" w:after="260" w:afterLines="0" w:line="416" w:lineRule="atLeast"/>
      <w:jc w:val="both"/>
    </w:pPr>
    <w:rPr>
      <w:rFonts w:ascii="Arial" w:hAnsi="Arial" w:eastAsia="黑体"/>
      <w:bCs w:val="0"/>
      <w:kern w:val="0"/>
      <w:sz w:val="36"/>
      <w:szCs w:val="20"/>
    </w:rPr>
  </w:style>
  <w:style w:type="paragraph" w:customStyle="1" w:styleId="2470">
    <w:name w:val="表格用字"/>
    <w:basedOn w:val="76"/>
    <w:qFormat/>
    <w:uiPriority w:val="0"/>
    <w:pPr>
      <w:spacing w:beforeLines="0" w:afterLines="0" w:line="0" w:lineRule="atLeast"/>
      <w:ind w:firstLine="0" w:firstLineChars="0"/>
    </w:pPr>
    <w:rPr>
      <w:rFonts w:ascii="宋体" w:eastAsia="仿宋_GB2312"/>
      <w:szCs w:val="20"/>
    </w:rPr>
  </w:style>
  <w:style w:type="paragraph" w:customStyle="1" w:styleId="2471">
    <w:name w:val="样式 小四 首行缩进:  2 字符"/>
    <w:basedOn w:val="1"/>
    <w:qFormat/>
    <w:uiPriority w:val="0"/>
    <w:pPr>
      <w:adjustRightInd w:val="0"/>
      <w:snapToGrid/>
      <w:spacing w:line="480" w:lineRule="atLeast"/>
      <w:ind w:firstLine="180" w:firstLineChars="180"/>
      <w:jc w:val="both"/>
    </w:pPr>
    <w:rPr>
      <w:kern w:val="0"/>
      <w:szCs w:val="20"/>
    </w:rPr>
  </w:style>
  <w:style w:type="paragraph" w:customStyle="1" w:styleId="2472">
    <w:name w:val="说明-标题4"/>
    <w:basedOn w:val="6"/>
    <w:autoRedefine/>
    <w:qFormat/>
    <w:uiPriority w:val="0"/>
    <w:pPr>
      <w:keepNext/>
      <w:keepLines/>
      <w:numPr>
        <w:ilvl w:val="0"/>
        <w:numId w:val="0"/>
      </w:numPr>
      <w:tabs>
        <w:tab w:val="left" w:pos="1134"/>
        <w:tab w:val="left" w:pos="1630"/>
      </w:tabs>
      <w:snapToGrid/>
      <w:spacing w:before="280" w:beforeLines="0" w:after="290" w:afterLines="0" w:line="376" w:lineRule="atLeast"/>
      <w:ind w:left="100" w:leftChars="100"/>
      <w:jc w:val="both"/>
    </w:pPr>
    <w:rPr>
      <w:rFonts w:ascii="Arial" w:hAnsi="Arial"/>
      <w:b w:val="0"/>
      <w:bCs w:val="0"/>
      <w:kern w:val="0"/>
      <w:szCs w:val="20"/>
    </w:rPr>
  </w:style>
  <w:style w:type="paragraph" w:customStyle="1" w:styleId="2473">
    <w:name w:val="样式 正文文本缩进 2正文文字缩进 2 + 自动设置 首行缩进:  2 字符"/>
    <w:basedOn w:val="51"/>
    <w:qFormat/>
    <w:uiPriority w:val="0"/>
    <w:pPr>
      <w:tabs>
        <w:tab w:val="left" w:pos="4500"/>
      </w:tabs>
      <w:spacing w:line="440" w:lineRule="exact"/>
      <w:ind w:left="0" w:leftChars="0" w:firstLine="200"/>
      <w:jc w:val="both"/>
    </w:pPr>
    <w:rPr>
      <w:rFonts w:ascii="宋体" w:hAnsi="宋体" w:eastAsia="Times New Roman"/>
      <w:kern w:val="0"/>
      <w:szCs w:val="20"/>
    </w:rPr>
  </w:style>
  <w:style w:type="paragraph" w:customStyle="1" w:styleId="2474">
    <w:name w:val="样式 样式 标题 2 + 加粗 段前: 1 行 + 四号 首行缩进:  0 厘米"/>
    <w:basedOn w:val="1"/>
    <w:qFormat/>
    <w:uiPriority w:val="0"/>
    <w:pPr>
      <w:keepNext/>
      <w:keepLines/>
      <w:adjustRightInd w:val="0"/>
      <w:snapToGrid/>
      <w:spacing w:line="240" w:lineRule="auto"/>
      <w:ind w:firstLine="567" w:firstLineChars="0"/>
    </w:pPr>
    <w:rPr>
      <w:rFonts w:ascii="宋体"/>
      <w:b/>
      <w:kern w:val="0"/>
      <w:sz w:val="28"/>
      <w:szCs w:val="20"/>
    </w:rPr>
  </w:style>
  <w:style w:type="paragraph" w:customStyle="1" w:styleId="2475">
    <w:name w:val="样式 小五 首行缩进:  2 字符"/>
    <w:basedOn w:val="1"/>
    <w:autoRedefine/>
    <w:uiPriority w:val="0"/>
    <w:pPr>
      <w:snapToGrid/>
      <w:spacing w:line="240" w:lineRule="auto"/>
      <w:ind w:firstLine="0" w:firstLineChars="0"/>
      <w:jc w:val="both"/>
    </w:pPr>
    <w:rPr>
      <w:sz w:val="18"/>
      <w:szCs w:val="20"/>
    </w:rPr>
  </w:style>
  <w:style w:type="paragraph" w:customStyle="1" w:styleId="2476">
    <w:name w:val="样式 标题 1 + 首行缩进:  0 厘米"/>
    <w:basedOn w:val="3"/>
    <w:qFormat/>
    <w:uiPriority w:val="0"/>
    <w:pPr>
      <w:keepNext/>
      <w:keepLines/>
      <w:numPr>
        <w:numId w:val="0"/>
      </w:numPr>
      <w:tabs>
        <w:tab w:val="left" w:pos="360"/>
      </w:tabs>
      <w:overflowPunct/>
      <w:adjustRightInd w:val="0"/>
      <w:spacing w:before="340" w:after="330" w:line="360" w:lineRule="auto"/>
      <w:ind w:firstLine="567"/>
      <w:jc w:val="left"/>
    </w:pPr>
    <w:rPr>
      <w:rFonts w:eastAsia="宋体"/>
      <w:bCs w:val="0"/>
      <w:snapToGrid/>
      <w:color w:val="auto"/>
      <w:sz w:val="32"/>
      <w:szCs w:val="20"/>
    </w:rPr>
  </w:style>
  <w:style w:type="paragraph" w:customStyle="1" w:styleId="2477">
    <w:name w:val="表格用字 Char Char"/>
    <w:basedOn w:val="76"/>
    <w:qFormat/>
    <w:uiPriority w:val="0"/>
    <w:pPr>
      <w:spacing w:beforeLines="0" w:afterLines="0" w:line="0" w:lineRule="atLeast"/>
      <w:ind w:firstLine="0" w:firstLineChars="0"/>
    </w:pPr>
    <w:rPr>
      <w:rFonts w:ascii="宋体" w:eastAsia="仿宋_GB2312"/>
      <w:szCs w:val="20"/>
    </w:rPr>
  </w:style>
  <w:style w:type="paragraph" w:customStyle="1" w:styleId="2478">
    <w:name w:val="样式 标题 3标题 3 Char标题 3 Char Char Char Char Char标题 3 Char Char C..."/>
    <w:basedOn w:val="5"/>
    <w:autoRedefine/>
    <w:qFormat/>
    <w:uiPriority w:val="0"/>
    <w:pPr>
      <w:keepNext/>
      <w:keepLines/>
      <w:numPr>
        <w:ilvl w:val="0"/>
        <w:numId w:val="0"/>
      </w:numPr>
      <w:tabs>
        <w:tab w:val="left" w:pos="636"/>
      </w:tabs>
      <w:adjustRightInd w:val="0"/>
      <w:snapToGrid/>
      <w:spacing w:before="260" w:beforeLines="0" w:after="260" w:afterLines="0" w:line="480" w:lineRule="exact"/>
    </w:pPr>
    <w:rPr>
      <w:rFonts w:ascii="宋体" w:hAnsi="宋体"/>
      <w:bCs w:val="0"/>
      <w:kern w:val="0"/>
      <w:sz w:val="24"/>
      <w:szCs w:val="20"/>
    </w:rPr>
  </w:style>
  <w:style w:type="paragraph" w:customStyle="1" w:styleId="2479">
    <w:name w:val="样式 标题 2 + Times New Roman 段前: 0.5 行 段后: 0.5 行"/>
    <w:basedOn w:val="4"/>
    <w:qFormat/>
    <w:uiPriority w:val="0"/>
    <w:pPr>
      <w:keepNext/>
      <w:keepLines/>
      <w:numPr>
        <w:ilvl w:val="0"/>
        <w:numId w:val="0"/>
      </w:numPr>
      <w:tabs>
        <w:tab w:val="left" w:pos="4500"/>
      </w:tabs>
      <w:adjustRightInd w:val="0"/>
      <w:spacing w:before="260" w:beforeLines="0" w:after="260" w:afterLines="0" w:line="460" w:lineRule="exact"/>
      <w:jc w:val="both"/>
    </w:pPr>
    <w:rPr>
      <w:bCs w:val="0"/>
      <w:kern w:val="0"/>
      <w:sz w:val="28"/>
      <w:szCs w:val="20"/>
    </w:rPr>
  </w:style>
  <w:style w:type="paragraph" w:customStyle="1" w:styleId="2480">
    <w:name w:val="说明-正文-公式"/>
    <w:basedOn w:val="2468"/>
    <w:qFormat/>
    <w:uiPriority w:val="0"/>
    <w:pPr>
      <w:ind w:firstLine="200"/>
    </w:pPr>
  </w:style>
  <w:style w:type="paragraph" w:customStyle="1" w:styleId="2481">
    <w:name w:val="样式 标题 2 + 浅蓝 段前: 1 行"/>
    <w:basedOn w:val="4"/>
    <w:uiPriority w:val="0"/>
    <w:pPr>
      <w:keepNext/>
      <w:keepLines/>
      <w:numPr>
        <w:ilvl w:val="0"/>
        <w:numId w:val="0"/>
      </w:numPr>
      <w:tabs>
        <w:tab w:val="left" w:pos="927"/>
        <w:tab w:val="left" w:pos="1134"/>
      </w:tabs>
      <w:adjustRightInd w:val="0"/>
      <w:spacing w:before="260" w:beforeLines="0" w:after="260" w:afterLines="0"/>
      <w:ind w:firstLine="567"/>
      <w:jc w:val="both"/>
    </w:pPr>
    <w:rPr>
      <w:rFonts w:ascii="宋体"/>
      <w:bCs w:val="0"/>
      <w:color w:val="3366FF"/>
      <w:kern w:val="0"/>
      <w:sz w:val="28"/>
      <w:szCs w:val="20"/>
    </w:rPr>
  </w:style>
  <w:style w:type="paragraph" w:customStyle="1" w:styleId="2482">
    <w:name w:val="样式 样式7 + 小四"/>
    <w:basedOn w:val="295"/>
    <w:qFormat/>
    <w:uiPriority w:val="0"/>
    <w:pPr>
      <w:keepNext/>
      <w:keepLines/>
      <w:tabs>
        <w:tab w:val="left" w:pos="560"/>
      </w:tabs>
      <w:spacing w:before="240"/>
      <w:ind w:firstLine="0" w:firstLineChars="0"/>
      <w:jc w:val="left"/>
      <w:outlineLvl w:val="2"/>
    </w:pPr>
    <w:rPr>
      <w:rFonts w:ascii="宋体" w:hAnsi="宋体"/>
      <w:b/>
      <w:kern w:val="0"/>
      <w:sz w:val="24"/>
      <w:szCs w:val="20"/>
    </w:rPr>
  </w:style>
  <w:style w:type="paragraph" w:customStyle="1" w:styleId="2483">
    <w:name w:val="样式 样式 标题 2 + 左侧:  2 字符 + 首行缩进:  2 字符1"/>
    <w:basedOn w:val="1"/>
    <w:qFormat/>
    <w:uiPriority w:val="0"/>
    <w:pPr>
      <w:keepNext/>
      <w:keepLines/>
      <w:adjustRightInd w:val="0"/>
      <w:spacing w:line="416" w:lineRule="atLeast"/>
      <w:ind w:firstLine="640"/>
    </w:pPr>
    <w:rPr>
      <w:rFonts w:ascii="Arial" w:hAnsi="Arial" w:eastAsia="黑体"/>
      <w:b/>
      <w:kern w:val="0"/>
      <w:sz w:val="28"/>
      <w:szCs w:val="20"/>
    </w:rPr>
  </w:style>
  <w:style w:type="paragraph" w:customStyle="1" w:styleId="2484">
    <w:name w:val="表格用字 Char1"/>
    <w:basedOn w:val="76"/>
    <w:autoRedefine/>
    <w:qFormat/>
    <w:uiPriority w:val="0"/>
    <w:pPr>
      <w:spacing w:beforeLines="0" w:afterLines="0" w:line="0" w:lineRule="atLeast"/>
      <w:ind w:firstLine="0" w:firstLineChars="0"/>
    </w:pPr>
    <w:rPr>
      <w:rFonts w:ascii="宋体" w:eastAsia="仿宋_GB2312"/>
      <w:szCs w:val="20"/>
    </w:rPr>
  </w:style>
  <w:style w:type="paragraph" w:customStyle="1" w:styleId="2485">
    <w:name w:val="插图1"/>
    <w:basedOn w:val="1"/>
    <w:uiPriority w:val="0"/>
    <w:pPr>
      <w:adjustRightInd w:val="0"/>
      <w:snapToGrid/>
      <w:spacing w:line="240" w:lineRule="auto"/>
      <w:ind w:firstLine="0" w:firstLineChars="0"/>
      <w:jc w:val="both"/>
    </w:pPr>
    <w:rPr>
      <w:kern w:val="0"/>
      <w:szCs w:val="20"/>
    </w:rPr>
  </w:style>
  <w:style w:type="paragraph" w:customStyle="1" w:styleId="2486">
    <w:name w:val="样式 小二 加粗 黑色 居中 段后: 12 磅"/>
    <w:basedOn w:val="84"/>
    <w:uiPriority w:val="0"/>
    <w:pPr>
      <w:adjustRightInd/>
      <w:snapToGrid/>
      <w:spacing w:beforeLines="0" w:line="460" w:lineRule="exact"/>
    </w:pPr>
    <w:rPr>
      <w:rFonts w:ascii="Arial" w:hAnsi="Arial" w:eastAsia="Times New Roman"/>
      <w:b/>
      <w:bCs w:val="0"/>
      <w:snapToGrid/>
      <w:color w:val="000000"/>
      <w:spacing w:val="0"/>
      <w:sz w:val="36"/>
      <w:szCs w:val="20"/>
    </w:rPr>
  </w:style>
  <w:style w:type="paragraph" w:customStyle="1" w:styleId="2487">
    <w:name w:val="样式 节 + 段前: 0.5 行 段后: 0.5 行"/>
    <w:basedOn w:val="4"/>
    <w:autoRedefine/>
    <w:qFormat/>
    <w:uiPriority w:val="0"/>
    <w:pPr>
      <w:keepNext/>
      <w:keepLines/>
      <w:numPr>
        <w:ilvl w:val="0"/>
        <w:numId w:val="0"/>
      </w:numPr>
      <w:tabs>
        <w:tab w:val="left" w:pos="840"/>
      </w:tabs>
      <w:snapToGrid/>
      <w:spacing w:before="260" w:beforeLines="0" w:after="260" w:line="240" w:lineRule="auto"/>
      <w:ind w:left="839" w:hanging="839"/>
      <w:jc w:val="both"/>
      <w:outlineLvl w:val="2"/>
    </w:pPr>
    <w:rPr>
      <w:rFonts w:ascii="宋体" w:hAnsi="宋体"/>
      <w:b w:val="0"/>
      <w:bCs w:val="0"/>
      <w:kern w:val="0"/>
      <w:sz w:val="28"/>
      <w:szCs w:val="20"/>
    </w:rPr>
  </w:style>
  <w:style w:type="paragraph" w:customStyle="1" w:styleId="2488">
    <w:name w:val="条-成果 Char"/>
    <w:basedOn w:val="5"/>
    <w:uiPriority w:val="0"/>
    <w:pPr>
      <w:keepNext/>
      <w:keepLines/>
      <w:numPr>
        <w:ilvl w:val="0"/>
        <w:numId w:val="0"/>
      </w:numPr>
      <w:tabs>
        <w:tab w:val="left" w:pos="1440"/>
      </w:tabs>
      <w:snapToGrid/>
      <w:spacing w:before="260" w:beforeLines="0" w:after="260" w:afterLines="0" w:line="400" w:lineRule="exact"/>
      <w:ind w:left="1440" w:hanging="720"/>
      <w:jc w:val="both"/>
      <w:outlineLvl w:val="9"/>
    </w:pPr>
    <w:rPr>
      <w:rFonts w:ascii="宋体" w:hAnsi="宋体"/>
      <w:b w:val="0"/>
      <w:bCs w:val="0"/>
      <w:kern w:val="0"/>
      <w:sz w:val="24"/>
      <w:szCs w:val="20"/>
    </w:rPr>
  </w:style>
  <w:style w:type="paragraph" w:customStyle="1" w:styleId="2489">
    <w:name w:val="样式 标题 2 + Times New Roman 小三 行距: 最小值 24 磅"/>
    <w:basedOn w:val="4"/>
    <w:autoRedefine/>
    <w:qFormat/>
    <w:uiPriority w:val="0"/>
    <w:pPr>
      <w:keepNext/>
      <w:keepLines/>
      <w:numPr>
        <w:numId w:val="0"/>
      </w:numPr>
      <w:tabs>
        <w:tab w:val="left" w:pos="2242"/>
      </w:tabs>
      <w:snapToGrid/>
      <w:spacing w:before="260" w:beforeLines="0" w:after="260" w:afterLines="0" w:line="480" w:lineRule="atLeast"/>
      <w:ind w:left="680" w:hanging="680" w:firstLineChars="200"/>
      <w:jc w:val="both"/>
    </w:pPr>
    <w:rPr>
      <w:rFonts w:eastAsia="黑体" w:cs="宋体"/>
      <w:b w:val="0"/>
      <w:bCs w:val="0"/>
      <w:kern w:val="0"/>
      <w:szCs w:val="20"/>
    </w:rPr>
  </w:style>
  <w:style w:type="character" w:customStyle="1" w:styleId="2490">
    <w:name w:val="样式 小四 Char Char"/>
    <w:link w:val="2491"/>
    <w:locked/>
    <w:uiPriority w:val="0"/>
    <w:rPr>
      <w:b/>
      <w:color w:val="000000"/>
      <w:szCs w:val="21"/>
    </w:rPr>
  </w:style>
  <w:style w:type="paragraph" w:customStyle="1" w:styleId="2491">
    <w:name w:val="样式 小四 Char"/>
    <w:basedOn w:val="1"/>
    <w:link w:val="2490"/>
    <w:qFormat/>
    <w:uiPriority w:val="0"/>
    <w:pPr>
      <w:adjustRightInd w:val="0"/>
      <w:snapToGrid/>
      <w:spacing w:line="400" w:lineRule="atLeast"/>
      <w:ind w:firstLine="510" w:firstLineChars="0"/>
      <w:jc w:val="both"/>
    </w:pPr>
    <w:rPr>
      <w:b/>
      <w:color w:val="000000"/>
      <w:kern w:val="0"/>
      <w:sz w:val="20"/>
      <w:szCs w:val="21"/>
    </w:rPr>
  </w:style>
  <w:style w:type="paragraph" w:customStyle="1" w:styleId="2492">
    <w:name w:val="样式 首行缩进:  2 字符 行距: 1.5 倍行距"/>
    <w:basedOn w:val="1"/>
    <w:qFormat/>
    <w:uiPriority w:val="0"/>
    <w:pPr>
      <w:snapToGrid/>
      <w:spacing w:line="440" w:lineRule="exact"/>
      <w:ind w:firstLine="200"/>
      <w:jc w:val="both"/>
    </w:pPr>
    <w:rPr>
      <w:rFonts w:cs="宋体"/>
      <w:szCs w:val="20"/>
    </w:rPr>
  </w:style>
  <w:style w:type="paragraph" w:customStyle="1" w:styleId="2493">
    <w:name w:val="样式 首行缩进:  2 字符 行距: 固定值 30 磅"/>
    <w:basedOn w:val="1"/>
    <w:qFormat/>
    <w:uiPriority w:val="0"/>
    <w:pPr>
      <w:snapToGrid/>
      <w:spacing w:line="440" w:lineRule="exact"/>
      <w:ind w:firstLine="200"/>
      <w:jc w:val="both"/>
    </w:pPr>
    <w:rPr>
      <w:rFonts w:cs="宋体"/>
      <w:szCs w:val="20"/>
    </w:rPr>
  </w:style>
  <w:style w:type="paragraph" w:customStyle="1" w:styleId="2494">
    <w:name w:val="样式 样式 首行缩进:  2 字符 行距: 固定值 30 磅 + 首行缩进:  2 字符"/>
    <w:basedOn w:val="2493"/>
    <w:autoRedefine/>
    <w:qFormat/>
    <w:uiPriority w:val="0"/>
    <w:pPr>
      <w:spacing w:line="480" w:lineRule="exact"/>
    </w:pPr>
  </w:style>
  <w:style w:type="paragraph" w:customStyle="1" w:styleId="2495">
    <w:name w:val="样式 行距: 最小值 18 磅"/>
    <w:basedOn w:val="1"/>
    <w:uiPriority w:val="0"/>
    <w:pPr>
      <w:snapToGrid/>
      <w:spacing w:line="480" w:lineRule="exact"/>
      <w:ind w:firstLine="567" w:firstLineChars="0"/>
      <w:jc w:val="both"/>
    </w:pPr>
    <w:rPr>
      <w:rFonts w:cs="宋体"/>
      <w:kern w:val="0"/>
      <w:szCs w:val="20"/>
    </w:rPr>
  </w:style>
  <w:style w:type="paragraph" w:customStyle="1" w:styleId="2496">
    <w:name w:val="样式 首行缩进:  2 字符 右侧:  -0.04 厘米"/>
    <w:basedOn w:val="1"/>
    <w:uiPriority w:val="0"/>
    <w:pPr>
      <w:snapToGrid/>
      <w:spacing w:line="480" w:lineRule="exact"/>
      <w:ind w:right="-23" w:firstLine="200"/>
      <w:jc w:val="both"/>
    </w:pPr>
    <w:rPr>
      <w:rFonts w:cs="宋体"/>
      <w:szCs w:val="20"/>
    </w:rPr>
  </w:style>
  <w:style w:type="paragraph" w:customStyle="1" w:styleId="2497">
    <w:name w:val="样式 行距: 最小值 24 磅 首行缩进:  0 字符"/>
    <w:basedOn w:val="1"/>
    <w:autoRedefine/>
    <w:qFormat/>
    <w:uiPriority w:val="0"/>
    <w:pPr>
      <w:snapToGrid/>
      <w:spacing w:line="460" w:lineRule="exact"/>
      <w:ind w:firstLine="567" w:firstLineChars="0"/>
      <w:jc w:val="both"/>
    </w:pPr>
    <w:rPr>
      <w:rFonts w:cs="宋体"/>
      <w:szCs w:val="20"/>
    </w:rPr>
  </w:style>
  <w:style w:type="paragraph" w:customStyle="1" w:styleId="2498">
    <w:name w:val="样式 首行缩进:  2 字符 右侧:  0.5 厘米"/>
    <w:basedOn w:val="1"/>
    <w:uiPriority w:val="0"/>
    <w:pPr>
      <w:snapToGrid/>
      <w:spacing w:line="480" w:lineRule="exact"/>
      <w:ind w:right="284" w:firstLine="200"/>
      <w:jc w:val="both"/>
    </w:pPr>
    <w:rPr>
      <w:rFonts w:cs="宋体"/>
      <w:szCs w:val="20"/>
    </w:rPr>
  </w:style>
  <w:style w:type="paragraph" w:customStyle="1" w:styleId="2499">
    <w:name w:val="样式 行距: 最小值 24 磅"/>
    <w:basedOn w:val="1"/>
    <w:autoRedefine/>
    <w:qFormat/>
    <w:uiPriority w:val="0"/>
    <w:pPr>
      <w:snapToGrid/>
      <w:spacing w:line="480" w:lineRule="exact"/>
      <w:ind w:firstLine="567" w:firstLineChars="0"/>
      <w:jc w:val="both"/>
    </w:pPr>
    <w:rPr>
      <w:rFonts w:cs="宋体"/>
      <w:kern w:val="0"/>
      <w:szCs w:val="20"/>
    </w:rPr>
  </w:style>
  <w:style w:type="paragraph" w:customStyle="1" w:styleId="2500">
    <w:name w:val="样式 样式 首行缩进:  2 字符 行距: 1.5 倍行距 + 首行缩进:  2 字符"/>
    <w:basedOn w:val="2492"/>
    <w:uiPriority w:val="0"/>
    <w:pPr>
      <w:spacing w:line="480" w:lineRule="exact"/>
    </w:pPr>
  </w:style>
  <w:style w:type="paragraph" w:customStyle="1" w:styleId="2501">
    <w:name w:val="样式 首行缩进:  2 字符 行距: 固定值 29 磅"/>
    <w:basedOn w:val="1"/>
    <w:uiPriority w:val="0"/>
    <w:pPr>
      <w:snapToGrid/>
      <w:spacing w:line="480" w:lineRule="exact"/>
      <w:ind w:firstLine="200"/>
      <w:jc w:val="both"/>
    </w:pPr>
    <w:rPr>
      <w:rFonts w:cs="宋体"/>
      <w:szCs w:val="20"/>
    </w:rPr>
  </w:style>
  <w:style w:type="paragraph" w:customStyle="1" w:styleId="2502">
    <w:name w:val="样式 日期 + 首行缩进:  2 字符"/>
    <w:basedOn w:val="50"/>
    <w:uiPriority w:val="0"/>
    <w:pPr>
      <w:snapToGrid/>
      <w:spacing w:line="480" w:lineRule="exact"/>
      <w:ind w:left="0" w:leftChars="0" w:firstLine="200"/>
      <w:jc w:val="both"/>
    </w:pPr>
    <w:rPr>
      <w:rFonts w:eastAsia="Times New Roman" w:cs="宋体"/>
    </w:rPr>
  </w:style>
  <w:style w:type="paragraph" w:customStyle="1" w:styleId="2503">
    <w:name w:val="样式 首行缩进:  2 字符 行距: 最小值 19 磅"/>
    <w:basedOn w:val="1"/>
    <w:autoRedefine/>
    <w:qFormat/>
    <w:uiPriority w:val="0"/>
    <w:pPr>
      <w:snapToGrid/>
      <w:spacing w:line="480" w:lineRule="exact"/>
      <w:ind w:firstLine="200"/>
      <w:jc w:val="both"/>
    </w:pPr>
    <w:rPr>
      <w:rFonts w:cs="宋体"/>
      <w:szCs w:val="20"/>
    </w:rPr>
  </w:style>
  <w:style w:type="paragraph" w:customStyle="1" w:styleId="2504">
    <w:name w:val="样式 行距: 最小值 18 磅 首行缩进:  0 字符"/>
    <w:basedOn w:val="1"/>
    <w:uiPriority w:val="0"/>
    <w:pPr>
      <w:snapToGrid/>
      <w:spacing w:line="480" w:lineRule="exact"/>
      <w:ind w:firstLine="567" w:firstLineChars="0"/>
      <w:jc w:val="both"/>
    </w:pPr>
    <w:rPr>
      <w:rFonts w:cs="宋体"/>
      <w:szCs w:val="20"/>
    </w:rPr>
  </w:style>
  <w:style w:type="paragraph" w:customStyle="1" w:styleId="2505">
    <w:name w:val="样式 左 首行缩进:  2 字符"/>
    <w:basedOn w:val="1"/>
    <w:autoRedefine/>
    <w:uiPriority w:val="0"/>
    <w:pPr>
      <w:snapToGrid/>
      <w:spacing w:line="480" w:lineRule="exact"/>
      <w:ind w:firstLine="200"/>
    </w:pPr>
    <w:rPr>
      <w:rFonts w:cs="宋体"/>
      <w:szCs w:val="20"/>
    </w:rPr>
  </w:style>
  <w:style w:type="paragraph" w:customStyle="1" w:styleId="2506">
    <w:name w:val="样式 宋体 左 首行缩进:  2 字符 行距: 固定值 28 磅"/>
    <w:basedOn w:val="1"/>
    <w:autoRedefine/>
    <w:qFormat/>
    <w:uiPriority w:val="0"/>
    <w:pPr>
      <w:snapToGrid/>
      <w:spacing w:line="480" w:lineRule="exact"/>
      <w:ind w:firstLine="200"/>
    </w:pPr>
    <w:rPr>
      <w:rFonts w:ascii="宋体" w:cs="宋体"/>
      <w:szCs w:val="20"/>
    </w:rPr>
  </w:style>
  <w:style w:type="paragraph" w:customStyle="1" w:styleId="2507">
    <w:name w:val="样式 标题 1 + 段前: 17 磅 段后: 16.5 磅"/>
    <w:basedOn w:val="3"/>
    <w:uiPriority w:val="0"/>
    <w:pPr>
      <w:keepNext/>
      <w:keepLines/>
      <w:numPr>
        <w:numId w:val="0"/>
      </w:numPr>
      <w:tabs>
        <w:tab w:val="left" w:pos="1134"/>
      </w:tabs>
      <w:overflowPunct/>
      <w:adjustRightInd w:val="0"/>
      <w:snapToGrid/>
      <w:spacing w:before="340" w:after="330" w:line="480" w:lineRule="atLeast"/>
      <w:ind w:firstLine="723" w:firstLineChars="200"/>
      <w:jc w:val="both"/>
    </w:pPr>
    <w:rPr>
      <w:rFonts w:eastAsia="宋体"/>
      <w:snapToGrid/>
      <w:color w:val="auto"/>
      <w:sz w:val="36"/>
      <w:szCs w:val="20"/>
    </w:rPr>
  </w:style>
  <w:style w:type="paragraph" w:customStyle="1" w:styleId="2508">
    <w:name w:val="图片"/>
    <w:basedOn w:val="1"/>
    <w:autoRedefine/>
    <w:uiPriority w:val="0"/>
    <w:pPr>
      <w:adjustRightInd w:val="0"/>
      <w:spacing w:line="400" w:lineRule="atLeast"/>
      <w:ind w:firstLine="0" w:firstLineChars="0"/>
      <w:jc w:val="center"/>
    </w:pPr>
    <w:rPr>
      <w:kern w:val="0"/>
      <w:sz w:val="28"/>
      <w:szCs w:val="20"/>
    </w:rPr>
  </w:style>
  <w:style w:type="paragraph" w:customStyle="1" w:styleId="2509">
    <w:name w:val="南郊正文"/>
    <w:basedOn w:val="1"/>
    <w:next w:val="1"/>
    <w:autoRedefine/>
    <w:uiPriority w:val="0"/>
    <w:pPr>
      <w:snapToGrid/>
      <w:spacing w:line="240" w:lineRule="auto"/>
      <w:ind w:firstLine="0" w:firstLineChars="0"/>
      <w:jc w:val="both"/>
    </w:pPr>
  </w:style>
  <w:style w:type="paragraph" w:customStyle="1" w:styleId="2510">
    <w:name w:val="样式 区划正文+小4 24 + 首行缩进:  2 字符1"/>
    <w:basedOn w:val="1"/>
    <w:uiPriority w:val="0"/>
    <w:pPr>
      <w:adjustRightInd w:val="0"/>
      <w:spacing w:line="460" w:lineRule="exact"/>
      <w:ind w:firstLine="200"/>
      <w:jc w:val="both"/>
    </w:pPr>
    <w:rPr>
      <w:szCs w:val="20"/>
    </w:rPr>
  </w:style>
  <w:style w:type="character" w:customStyle="1" w:styleId="2511">
    <w:name w:val="正文（首行缩进） Char1"/>
    <w:link w:val="1881"/>
    <w:autoRedefine/>
    <w:qFormat/>
    <w:locked/>
    <w:uiPriority w:val="0"/>
    <w:rPr>
      <w:rFonts w:ascii="宋体" w:hAnsi="宋体" w:cs="Calibri"/>
      <w:snapToGrid w:val="0"/>
      <w:color w:val="000000"/>
      <w:kern w:val="2"/>
      <w:sz w:val="24"/>
    </w:rPr>
  </w:style>
  <w:style w:type="paragraph" w:customStyle="1" w:styleId="2512">
    <w:name w:val="样式 居中"/>
    <w:basedOn w:val="1"/>
    <w:uiPriority w:val="0"/>
    <w:pPr>
      <w:adjustRightInd w:val="0"/>
      <w:spacing w:line="440" w:lineRule="atLeast"/>
      <w:ind w:firstLine="200"/>
      <w:jc w:val="center"/>
    </w:pPr>
    <w:rPr>
      <w:szCs w:val="20"/>
    </w:rPr>
  </w:style>
  <w:style w:type="paragraph" w:customStyle="1" w:styleId="2513">
    <w:name w:val="样式 小四 居中 行距: 单倍行距"/>
    <w:basedOn w:val="1"/>
    <w:uiPriority w:val="0"/>
    <w:pPr>
      <w:adjustRightInd w:val="0"/>
      <w:snapToGrid/>
      <w:spacing w:line="440" w:lineRule="exact"/>
      <w:ind w:firstLine="0" w:firstLineChars="0"/>
      <w:jc w:val="center"/>
    </w:pPr>
    <w:rPr>
      <w:color w:val="FF0000"/>
      <w:kern w:val="0"/>
      <w:szCs w:val="20"/>
    </w:rPr>
  </w:style>
  <w:style w:type="paragraph" w:customStyle="1" w:styleId="2514">
    <w:name w:val="分标题"/>
    <w:basedOn w:val="1"/>
    <w:next w:val="1"/>
    <w:autoRedefine/>
    <w:qFormat/>
    <w:uiPriority w:val="0"/>
    <w:pPr>
      <w:widowControl/>
      <w:snapToGrid/>
      <w:ind w:firstLine="0" w:firstLineChars="0"/>
    </w:pPr>
    <w:rPr>
      <w:rFonts w:ascii="宋体"/>
      <w:b/>
      <w:kern w:val="0"/>
    </w:rPr>
  </w:style>
  <w:style w:type="paragraph" w:customStyle="1" w:styleId="2515">
    <w:name w:val="样式 标题 3 + Times New Roman 四号 加粗"/>
    <w:basedOn w:val="5"/>
    <w:uiPriority w:val="0"/>
    <w:pPr>
      <w:keepNext/>
      <w:keepLines/>
      <w:numPr>
        <w:ilvl w:val="0"/>
        <w:numId w:val="0"/>
      </w:numPr>
      <w:tabs>
        <w:tab w:val="left" w:pos="1134"/>
        <w:tab w:val="left" w:pos="1256"/>
      </w:tabs>
      <w:adjustRightInd w:val="0"/>
      <w:spacing w:before="260" w:beforeLines="0" w:after="260" w:afterLines="0" w:line="320" w:lineRule="atLeast"/>
      <w:jc w:val="both"/>
    </w:pPr>
    <w:rPr>
      <w:rFonts w:ascii="宋体" w:hAnsi="宋体" w:eastAsia="楷体_GB2312"/>
      <w:kern w:val="0"/>
      <w:szCs w:val="28"/>
    </w:rPr>
  </w:style>
  <w:style w:type="paragraph" w:customStyle="1" w:styleId="2516">
    <w:name w:val="正文样式一"/>
    <w:basedOn w:val="1"/>
    <w:uiPriority w:val="0"/>
    <w:pPr>
      <w:adjustRightInd w:val="0"/>
      <w:snapToGrid/>
      <w:spacing w:line="400" w:lineRule="atLeast"/>
      <w:ind w:firstLine="510" w:firstLineChars="0"/>
      <w:jc w:val="both"/>
    </w:pPr>
    <w:rPr>
      <w:kern w:val="0"/>
      <w:szCs w:val="20"/>
    </w:rPr>
  </w:style>
  <w:style w:type="paragraph" w:customStyle="1" w:styleId="2517">
    <w:name w:val="标题样式1"/>
    <w:basedOn w:val="34"/>
    <w:uiPriority w:val="0"/>
    <w:pPr>
      <w:widowControl w:val="0"/>
      <w:adjustRightInd w:val="0"/>
      <w:snapToGrid/>
      <w:spacing w:before="0" w:after="120" w:line="400" w:lineRule="atLeast"/>
      <w:ind w:right="0" w:firstLine="540" w:firstLineChars="0"/>
      <w:jc w:val="both"/>
    </w:pPr>
    <w:rPr>
      <w:rFonts w:ascii="黑体" w:eastAsia="黑体"/>
      <w:b/>
      <w:sz w:val="28"/>
    </w:rPr>
  </w:style>
  <w:style w:type="paragraph" w:customStyle="1" w:styleId="2518">
    <w:name w:val="标题样式2"/>
    <w:basedOn w:val="4"/>
    <w:uiPriority w:val="0"/>
    <w:pPr>
      <w:keepNext/>
      <w:keepLines/>
      <w:numPr>
        <w:ilvl w:val="0"/>
        <w:numId w:val="0"/>
      </w:numPr>
      <w:tabs>
        <w:tab w:val="left" w:pos="927"/>
        <w:tab w:val="left" w:pos="1134"/>
      </w:tabs>
      <w:adjustRightInd w:val="0"/>
      <w:spacing w:before="260" w:after="260" w:line="300" w:lineRule="atLeast"/>
      <w:jc w:val="center"/>
    </w:pPr>
    <w:rPr>
      <w:rFonts w:ascii="宋体" w:hAnsi="宋体"/>
      <w:b w:val="0"/>
      <w:bCs w:val="0"/>
      <w:kern w:val="0"/>
      <w:sz w:val="21"/>
      <w:szCs w:val="20"/>
    </w:rPr>
  </w:style>
  <w:style w:type="paragraph" w:customStyle="1" w:styleId="2519">
    <w:name w:val="标题样式3"/>
    <w:basedOn w:val="5"/>
    <w:qFormat/>
    <w:uiPriority w:val="0"/>
    <w:pPr>
      <w:keepNext/>
      <w:keepLines/>
      <w:numPr>
        <w:ilvl w:val="0"/>
        <w:numId w:val="0"/>
      </w:numPr>
      <w:tabs>
        <w:tab w:val="left" w:pos="1134"/>
        <w:tab w:val="left" w:pos="1256"/>
      </w:tabs>
      <w:snapToGrid/>
      <w:spacing w:before="260" w:beforeLines="0" w:after="260" w:afterLines="0" w:line="400" w:lineRule="atLeast"/>
      <w:ind w:firstLine="510"/>
      <w:jc w:val="both"/>
    </w:pPr>
    <w:rPr>
      <w:rFonts w:ascii="宋体" w:hAnsi="宋体" w:eastAsia="黑体"/>
      <w:b w:val="0"/>
      <w:bCs w:val="0"/>
      <w:kern w:val="0"/>
      <w:sz w:val="24"/>
      <w:szCs w:val="20"/>
    </w:rPr>
  </w:style>
  <w:style w:type="paragraph" w:customStyle="1" w:styleId="2520">
    <w:name w:val="正文样式2"/>
    <w:basedOn w:val="1"/>
    <w:next w:val="779"/>
    <w:qFormat/>
    <w:uiPriority w:val="0"/>
    <w:pPr>
      <w:keepNext/>
      <w:adjustRightInd w:val="0"/>
      <w:snapToGrid/>
      <w:spacing w:line="480" w:lineRule="atLeast"/>
      <w:ind w:firstLine="567" w:firstLineChars="0"/>
      <w:jc w:val="both"/>
    </w:pPr>
    <w:rPr>
      <w:rFonts w:ascii="黑体" w:eastAsia="黑体"/>
      <w:kern w:val="0"/>
      <w:sz w:val="28"/>
      <w:szCs w:val="20"/>
    </w:rPr>
  </w:style>
  <w:style w:type="paragraph" w:customStyle="1" w:styleId="2521">
    <w:name w:val="样式 首行缩进:  2 字符 行距: 最小值 22 磅"/>
    <w:basedOn w:val="1"/>
    <w:autoRedefine/>
    <w:uiPriority w:val="0"/>
    <w:pPr>
      <w:adjustRightInd w:val="0"/>
      <w:spacing w:line="420" w:lineRule="atLeast"/>
      <w:ind w:firstLine="200"/>
      <w:jc w:val="both"/>
    </w:pPr>
    <w:rPr>
      <w:rFonts w:cs="宋体"/>
      <w:kern w:val="0"/>
    </w:rPr>
  </w:style>
  <w:style w:type="paragraph" w:customStyle="1" w:styleId="2522">
    <w:name w:val="样式 首行缩进:  2 字符 行距: 最小值 22 磅1"/>
    <w:basedOn w:val="1"/>
    <w:autoRedefine/>
    <w:uiPriority w:val="0"/>
    <w:pPr>
      <w:adjustRightInd w:val="0"/>
      <w:spacing w:line="420" w:lineRule="atLeast"/>
      <w:ind w:firstLine="200"/>
      <w:jc w:val="both"/>
    </w:pPr>
    <w:rPr>
      <w:rFonts w:cs="宋体"/>
      <w:kern w:val="0"/>
    </w:rPr>
  </w:style>
  <w:style w:type="paragraph" w:customStyle="1" w:styleId="2523">
    <w:name w:val="样式 正文文字缩进 3 + 自动设置 图案: 清除 行距: 最小值 23 磅"/>
    <w:basedOn w:val="70"/>
    <w:autoRedefine/>
    <w:uiPriority w:val="0"/>
    <w:pPr>
      <w:adjustRightInd w:val="0"/>
      <w:snapToGrid w:val="0"/>
      <w:spacing w:beforeLines="0" w:afterLines="0" w:line="420" w:lineRule="atLeast"/>
      <w:ind w:left="0" w:leftChars="0"/>
    </w:pPr>
    <w:rPr>
      <w:rFonts w:eastAsia="Times New Roman" w:cs="宋体"/>
      <w:kern w:val="0"/>
      <w:sz w:val="24"/>
      <w:szCs w:val="24"/>
    </w:rPr>
  </w:style>
  <w:style w:type="paragraph" w:customStyle="1" w:styleId="2524">
    <w:name w:val="样式 首行缩进:  1.82 字符"/>
    <w:basedOn w:val="1"/>
    <w:autoRedefine/>
    <w:uiPriority w:val="0"/>
    <w:pPr>
      <w:adjustRightInd w:val="0"/>
      <w:spacing w:line="420" w:lineRule="atLeast"/>
      <w:ind w:firstLine="200"/>
      <w:jc w:val="both"/>
    </w:pPr>
    <w:rPr>
      <w:rFonts w:cs="宋体"/>
      <w:kern w:val="0"/>
    </w:rPr>
  </w:style>
  <w:style w:type="paragraph" w:customStyle="1" w:styleId="2525">
    <w:name w:val="样式 首行缩进:  2 字符 行距: 最小值 22 磅2"/>
    <w:basedOn w:val="1"/>
    <w:autoRedefine/>
    <w:qFormat/>
    <w:uiPriority w:val="0"/>
    <w:pPr>
      <w:adjustRightInd w:val="0"/>
      <w:spacing w:line="420" w:lineRule="atLeast"/>
      <w:ind w:firstLine="200"/>
      <w:jc w:val="both"/>
    </w:pPr>
    <w:rPr>
      <w:rFonts w:cs="宋体"/>
      <w:kern w:val="0"/>
    </w:rPr>
  </w:style>
  <w:style w:type="paragraph" w:customStyle="1" w:styleId="2526">
    <w:name w:val="样式 行距: 最小值 22 磅 首行缩进:  0 字符"/>
    <w:basedOn w:val="1"/>
    <w:autoRedefine/>
    <w:uiPriority w:val="0"/>
    <w:pPr>
      <w:adjustRightInd w:val="0"/>
      <w:spacing w:line="420" w:lineRule="atLeast"/>
      <w:ind w:firstLine="0" w:firstLineChars="0"/>
      <w:jc w:val="both"/>
    </w:pPr>
    <w:rPr>
      <w:rFonts w:cs="宋体"/>
      <w:kern w:val="0"/>
    </w:rPr>
  </w:style>
  <w:style w:type="paragraph" w:customStyle="1" w:styleId="2527">
    <w:name w:val="样式 首行缩进:  0 字符"/>
    <w:basedOn w:val="1"/>
    <w:autoRedefine/>
    <w:qFormat/>
    <w:uiPriority w:val="0"/>
    <w:pPr>
      <w:adjustRightInd w:val="0"/>
      <w:spacing w:line="420" w:lineRule="atLeast"/>
      <w:ind w:firstLine="0" w:firstLineChars="0"/>
      <w:jc w:val="both"/>
    </w:pPr>
    <w:rPr>
      <w:rFonts w:cs="宋体"/>
      <w:kern w:val="0"/>
    </w:rPr>
  </w:style>
  <w:style w:type="paragraph" w:customStyle="1" w:styleId="2528">
    <w:name w:val="样式 首行缩进:  2 字符2"/>
    <w:basedOn w:val="1"/>
    <w:autoRedefine/>
    <w:uiPriority w:val="0"/>
    <w:pPr>
      <w:adjustRightInd w:val="0"/>
      <w:spacing w:line="420" w:lineRule="atLeast"/>
      <w:ind w:firstLine="200"/>
      <w:jc w:val="both"/>
    </w:pPr>
    <w:rPr>
      <w:rFonts w:cs="宋体"/>
      <w:kern w:val="0"/>
    </w:rPr>
  </w:style>
  <w:style w:type="paragraph" w:customStyle="1" w:styleId="2529">
    <w:name w:val="样式 首行缩进:  2 字符 行距: 固定值 24 磅"/>
    <w:basedOn w:val="1"/>
    <w:autoRedefine/>
    <w:uiPriority w:val="0"/>
    <w:pPr>
      <w:adjustRightInd w:val="0"/>
      <w:spacing w:line="420" w:lineRule="atLeast"/>
      <w:ind w:firstLine="200"/>
      <w:jc w:val="both"/>
    </w:pPr>
    <w:rPr>
      <w:rFonts w:cs="宋体"/>
      <w:kern w:val="0"/>
    </w:rPr>
  </w:style>
  <w:style w:type="paragraph" w:customStyle="1" w:styleId="2530">
    <w:name w:val="样式 首行缩进:  2 字符 行距: 固定值 22 磅"/>
    <w:basedOn w:val="1"/>
    <w:autoRedefine/>
    <w:qFormat/>
    <w:uiPriority w:val="0"/>
    <w:pPr>
      <w:adjustRightInd w:val="0"/>
      <w:spacing w:line="420" w:lineRule="atLeast"/>
      <w:ind w:firstLine="200"/>
      <w:jc w:val="both"/>
    </w:pPr>
    <w:rPr>
      <w:rFonts w:cs="宋体"/>
      <w:kern w:val="0"/>
    </w:rPr>
  </w:style>
  <w:style w:type="paragraph" w:customStyle="1" w:styleId="2531">
    <w:name w:val="样式 左侧:  0.19 厘米 首行缩进:  2 字符 加宽量  0.2 磅 行距: 固定值 24 磅"/>
    <w:basedOn w:val="1"/>
    <w:autoRedefine/>
    <w:uiPriority w:val="0"/>
    <w:pPr>
      <w:adjustRightInd w:val="0"/>
      <w:spacing w:line="420" w:lineRule="atLeast"/>
      <w:ind w:left="108" w:firstLine="200"/>
      <w:jc w:val="both"/>
    </w:pPr>
    <w:rPr>
      <w:rFonts w:cs="宋体"/>
      <w:spacing w:val="4"/>
      <w:kern w:val="0"/>
    </w:rPr>
  </w:style>
  <w:style w:type="paragraph" w:customStyle="1" w:styleId="2532">
    <w:name w:val="样式 首行缩进:  2 字符 行距: 固定值 25 磅"/>
    <w:basedOn w:val="1"/>
    <w:autoRedefine/>
    <w:uiPriority w:val="0"/>
    <w:pPr>
      <w:adjustRightInd w:val="0"/>
      <w:spacing w:line="420" w:lineRule="atLeast"/>
      <w:ind w:firstLine="200"/>
      <w:jc w:val="both"/>
    </w:pPr>
    <w:rPr>
      <w:rFonts w:cs="宋体"/>
      <w:kern w:val="0"/>
    </w:rPr>
  </w:style>
  <w:style w:type="paragraph" w:customStyle="1" w:styleId="2533">
    <w:name w:val="样式 首行缩进:  1.7 字符"/>
    <w:basedOn w:val="1"/>
    <w:autoRedefine/>
    <w:qFormat/>
    <w:uiPriority w:val="0"/>
    <w:pPr>
      <w:adjustRightInd w:val="0"/>
      <w:spacing w:line="420" w:lineRule="atLeast"/>
      <w:ind w:firstLine="200"/>
      <w:jc w:val="both"/>
    </w:pPr>
    <w:rPr>
      <w:rFonts w:cs="宋体"/>
      <w:kern w:val="0"/>
    </w:rPr>
  </w:style>
  <w:style w:type="paragraph" w:customStyle="1" w:styleId="2534">
    <w:name w:val="样式 (西文) 宋体 首行缩进:  2 字符"/>
    <w:basedOn w:val="1"/>
    <w:autoRedefine/>
    <w:uiPriority w:val="0"/>
    <w:pPr>
      <w:adjustRightInd w:val="0"/>
      <w:spacing w:line="420" w:lineRule="atLeast"/>
      <w:ind w:firstLine="200"/>
      <w:jc w:val="both"/>
    </w:pPr>
    <w:rPr>
      <w:rFonts w:ascii="宋体" w:hAnsi="宋体" w:cs="宋体"/>
      <w:kern w:val="0"/>
    </w:rPr>
  </w:style>
  <w:style w:type="paragraph" w:customStyle="1" w:styleId="2535">
    <w:name w:val="样式 样式 (西文) 宋体 首行缩进:  2 字符 + 首行缩进:  2 字符"/>
    <w:basedOn w:val="2534"/>
    <w:uiPriority w:val="0"/>
  </w:style>
  <w:style w:type="paragraph" w:customStyle="1" w:styleId="2536">
    <w:name w:val="xl389"/>
    <w:basedOn w:val="1"/>
    <w:autoRedefine/>
    <w:qFormat/>
    <w:uiPriority w:val="0"/>
    <w:pPr>
      <w:widowControl/>
      <w:pBdr>
        <w:left w:val="single" w:color="auto" w:sz="4" w:space="0"/>
        <w:bottom w:val="single" w:color="auto" w:sz="4" w:space="0"/>
      </w:pBdr>
      <w:snapToGrid/>
      <w:spacing w:beforeAutospacing="1" w:afterAutospacing="1" w:line="240" w:lineRule="auto"/>
      <w:ind w:firstLine="0" w:firstLineChars="0"/>
      <w:jc w:val="center"/>
    </w:pPr>
    <w:rPr>
      <w:rFonts w:ascii="宋体" w:hAnsi="宋体"/>
      <w:kern w:val="0"/>
    </w:rPr>
  </w:style>
  <w:style w:type="paragraph" w:customStyle="1" w:styleId="2537">
    <w:name w:val="样式 正文宋体小四 + 首行缩进:  2 字符"/>
    <w:basedOn w:val="1"/>
    <w:autoRedefine/>
    <w:uiPriority w:val="0"/>
    <w:pPr>
      <w:snapToGrid/>
      <w:spacing w:line="240" w:lineRule="auto"/>
      <w:ind w:firstLine="0" w:firstLineChars="0"/>
      <w:jc w:val="both"/>
    </w:pPr>
    <w:rPr>
      <w:rFonts w:cs="宋体"/>
      <w:sz w:val="21"/>
    </w:rPr>
  </w:style>
  <w:style w:type="paragraph" w:customStyle="1" w:styleId="2538">
    <w:name w:val="样式 样式 表格1 + 首行缩进:  2 字符 + 首行缩进:  2 字符"/>
    <w:basedOn w:val="1"/>
    <w:autoRedefine/>
    <w:uiPriority w:val="0"/>
    <w:pPr>
      <w:snapToGrid/>
      <w:spacing w:line="400" w:lineRule="exact"/>
      <w:ind w:firstLine="0" w:firstLineChars="0"/>
    </w:pPr>
    <w:rPr>
      <w:rFonts w:cs="宋体"/>
      <w:sz w:val="21"/>
      <w:szCs w:val="20"/>
    </w:rPr>
  </w:style>
  <w:style w:type="paragraph" w:customStyle="1" w:styleId="2539">
    <w:name w:val="样式 表格1 + 首行缩进:  2 字符1"/>
    <w:basedOn w:val="346"/>
    <w:autoRedefine/>
    <w:uiPriority w:val="0"/>
    <w:pPr>
      <w:spacing w:line="400" w:lineRule="exact"/>
      <w:jc w:val="left"/>
    </w:pPr>
    <w:rPr>
      <w:rFonts w:eastAsia="Times New Roman" w:cs="宋体"/>
      <w:bCs w:val="0"/>
      <w:color w:val="auto"/>
      <w:kern w:val="2"/>
      <w:szCs w:val="20"/>
    </w:rPr>
  </w:style>
  <w:style w:type="character" w:customStyle="1" w:styleId="2540">
    <w:name w:val="珠江啤酒正文 Char"/>
    <w:link w:val="2541"/>
    <w:autoRedefine/>
    <w:locked/>
    <w:uiPriority w:val="0"/>
  </w:style>
  <w:style w:type="paragraph" w:customStyle="1" w:styleId="2541">
    <w:name w:val="珠江啤酒正文"/>
    <w:basedOn w:val="1"/>
    <w:link w:val="2540"/>
    <w:qFormat/>
    <w:uiPriority w:val="0"/>
    <w:pPr>
      <w:snapToGrid/>
      <w:spacing w:line="240" w:lineRule="auto"/>
      <w:ind w:firstLine="0" w:firstLineChars="0"/>
      <w:jc w:val="both"/>
    </w:pPr>
    <w:rPr>
      <w:kern w:val="0"/>
      <w:sz w:val="20"/>
      <w:szCs w:val="20"/>
    </w:rPr>
  </w:style>
  <w:style w:type="paragraph" w:customStyle="1" w:styleId="2542">
    <w:name w:val="样式 表格 + 五号1"/>
    <w:basedOn w:val="1"/>
    <w:autoRedefine/>
    <w:uiPriority w:val="0"/>
    <w:pPr>
      <w:snapToGrid/>
      <w:spacing w:line="400" w:lineRule="exact"/>
      <w:ind w:firstLine="0" w:firstLineChars="0"/>
      <w:jc w:val="center"/>
    </w:pPr>
    <w:rPr>
      <w:sz w:val="21"/>
      <w:szCs w:val="21"/>
    </w:rPr>
  </w:style>
  <w:style w:type="paragraph" w:customStyle="1" w:styleId="2543">
    <w:name w:val="区划正文"/>
    <w:basedOn w:val="1"/>
    <w:autoRedefine/>
    <w:uiPriority w:val="0"/>
    <w:pPr>
      <w:spacing w:line="240" w:lineRule="auto"/>
      <w:ind w:firstLine="0" w:firstLineChars="0"/>
      <w:jc w:val="both"/>
    </w:pPr>
    <w:rPr>
      <w:rFonts w:cs="宋体"/>
      <w:sz w:val="21"/>
      <w:szCs w:val="20"/>
    </w:rPr>
  </w:style>
  <w:style w:type="paragraph" w:customStyle="1" w:styleId="2544">
    <w:name w:val="正文111"/>
    <w:basedOn w:val="21"/>
    <w:uiPriority w:val="0"/>
    <w:pPr>
      <w:spacing w:line="360" w:lineRule="auto"/>
      <w:ind w:firstLine="200"/>
    </w:pPr>
    <w:rPr>
      <w:kern w:val="0"/>
      <w:szCs w:val="24"/>
    </w:rPr>
  </w:style>
  <w:style w:type="paragraph" w:customStyle="1" w:styleId="2545">
    <w:name w:val="标题3-3"/>
    <w:basedOn w:val="5"/>
    <w:uiPriority w:val="0"/>
    <w:pPr>
      <w:keepNext/>
      <w:keepLines/>
      <w:numPr>
        <w:ilvl w:val="0"/>
        <w:numId w:val="0"/>
      </w:numPr>
      <w:tabs>
        <w:tab w:val="left" w:pos="720"/>
      </w:tabs>
      <w:adjustRightInd w:val="0"/>
      <w:snapToGrid/>
      <w:spacing w:before="260" w:after="260" w:afterLines="25"/>
      <w:ind w:left="720" w:hanging="720"/>
    </w:pPr>
    <w:rPr>
      <w:rFonts w:ascii="Arial" w:hAnsi="Arial" w:eastAsia="黑体"/>
      <w:b w:val="0"/>
      <w:bCs w:val="0"/>
      <w:kern w:val="0"/>
      <w:sz w:val="24"/>
      <w:szCs w:val="24"/>
    </w:rPr>
  </w:style>
  <w:style w:type="character" w:customStyle="1" w:styleId="2546">
    <w:name w:val="表中文字 Char1"/>
    <w:autoRedefine/>
    <w:qFormat/>
    <w:locked/>
    <w:uiPriority w:val="0"/>
    <w:rPr>
      <w:rFonts w:ascii="Times New Roman" w:hAnsi="Times New Roman"/>
      <w:snapToGrid w:val="0"/>
      <w:sz w:val="21"/>
    </w:rPr>
  </w:style>
  <w:style w:type="character" w:customStyle="1" w:styleId="2547">
    <w:name w:val="样式 正文缩进正文（首行缩进两字）s4 + Arial Char"/>
    <w:link w:val="2548"/>
    <w:semiHidden/>
    <w:locked/>
    <w:uiPriority w:val="0"/>
    <w:rPr>
      <w:sz w:val="24"/>
      <w:szCs w:val="24"/>
    </w:rPr>
  </w:style>
  <w:style w:type="paragraph" w:customStyle="1" w:styleId="2548">
    <w:name w:val="样式 正文缩进正文（首行缩进两字）s4 + Arial"/>
    <w:basedOn w:val="21"/>
    <w:link w:val="2547"/>
    <w:autoRedefine/>
    <w:semiHidden/>
    <w:qFormat/>
    <w:uiPriority w:val="0"/>
    <w:pPr>
      <w:spacing w:line="400" w:lineRule="exact"/>
      <w:ind w:firstLine="0" w:firstLineChars="0"/>
    </w:pPr>
    <w:rPr>
      <w:kern w:val="0"/>
      <w:szCs w:val="24"/>
    </w:rPr>
  </w:style>
  <w:style w:type="character" w:customStyle="1" w:styleId="2549">
    <w:name w:val="样式 题注 + (西文) Times New Roman (中文) 宋体 小四 加粗 黑色 Char Char"/>
    <w:link w:val="2550"/>
    <w:locked/>
    <w:uiPriority w:val="0"/>
    <w:rPr>
      <w:rFonts w:ascii="Arial" w:hAnsi="Arial"/>
      <w:b/>
      <w:bCs/>
      <w:color w:val="000000"/>
      <w:sz w:val="24"/>
      <w:szCs w:val="24"/>
    </w:rPr>
  </w:style>
  <w:style w:type="paragraph" w:customStyle="1" w:styleId="2550">
    <w:name w:val="样式 题注 + (西文) Times New Roman (中文) 宋体 小四 加粗 黑色 Char"/>
    <w:basedOn w:val="22"/>
    <w:link w:val="2549"/>
    <w:uiPriority w:val="0"/>
    <w:pPr>
      <w:adjustRightInd w:val="0"/>
      <w:snapToGrid/>
      <w:spacing w:beforeLines="100"/>
      <w:ind w:firstLine="0" w:firstLineChars="0"/>
      <w:jc w:val="center"/>
    </w:pPr>
    <w:rPr>
      <w:rFonts w:ascii="Arial" w:hAnsi="Arial" w:eastAsia="宋体"/>
      <w:b/>
      <w:bCs/>
      <w:color w:val="000000"/>
      <w:kern w:val="0"/>
      <w:sz w:val="24"/>
      <w:szCs w:val="24"/>
    </w:rPr>
  </w:style>
  <w:style w:type="paragraph" w:customStyle="1" w:styleId="2551">
    <w:name w:val="标题4-4"/>
    <w:basedOn w:val="6"/>
    <w:uiPriority w:val="0"/>
    <w:pPr>
      <w:keepNext/>
      <w:keepLines/>
      <w:numPr>
        <w:ilvl w:val="0"/>
        <w:numId w:val="0"/>
      </w:numPr>
      <w:tabs>
        <w:tab w:val="left" w:pos="1134"/>
        <w:tab w:val="left" w:pos="1630"/>
      </w:tabs>
      <w:snapToGrid/>
      <w:spacing w:before="280" w:beforeLines="0" w:after="290" w:afterLines="0"/>
      <w:jc w:val="both"/>
    </w:pPr>
    <w:rPr>
      <w:kern w:val="0"/>
      <w:szCs w:val="24"/>
    </w:rPr>
  </w:style>
  <w:style w:type="paragraph" w:customStyle="1" w:styleId="2552">
    <w:name w:val="新标题2"/>
    <w:basedOn w:val="4"/>
    <w:uiPriority w:val="0"/>
    <w:pPr>
      <w:keepNext/>
      <w:keepLines/>
      <w:widowControl/>
      <w:numPr>
        <w:ilvl w:val="0"/>
        <w:numId w:val="0"/>
      </w:numPr>
      <w:tabs>
        <w:tab w:val="left" w:pos="645"/>
      </w:tabs>
      <w:overflowPunct w:val="0"/>
      <w:topLinePunct/>
      <w:autoSpaceDE w:val="0"/>
      <w:autoSpaceDN w:val="0"/>
      <w:adjustRightInd w:val="0"/>
      <w:spacing w:before="260" w:after="260" w:line="520" w:lineRule="exact"/>
      <w:ind w:left="645" w:hanging="567"/>
    </w:pPr>
    <w:rPr>
      <w:rFonts w:ascii="Arial" w:hAnsi="Arial" w:eastAsia="黑体" w:cs="宋体"/>
      <w:b w:val="0"/>
      <w:bCs w:val="0"/>
      <w:kern w:val="0"/>
      <w:sz w:val="32"/>
      <w:szCs w:val="20"/>
    </w:rPr>
  </w:style>
  <w:style w:type="paragraph" w:customStyle="1" w:styleId="2553">
    <w:name w:val="新标题1"/>
    <w:basedOn w:val="3"/>
    <w:uiPriority w:val="0"/>
    <w:pPr>
      <w:keepNext/>
      <w:keepLines/>
      <w:numPr>
        <w:numId w:val="0"/>
      </w:numPr>
      <w:tabs>
        <w:tab w:val="left" w:pos="503"/>
      </w:tabs>
      <w:topLinePunct/>
      <w:autoSpaceDE w:val="0"/>
      <w:autoSpaceDN w:val="0"/>
      <w:adjustRightInd w:val="0"/>
      <w:spacing w:before="340" w:after="330" w:line="520" w:lineRule="exact"/>
      <w:ind w:left="503" w:hanging="425"/>
      <w:jc w:val="both"/>
    </w:pPr>
    <w:rPr>
      <w:rFonts w:ascii="Arial" w:hAnsi="Arial" w:eastAsia="宋体" w:cs="宋体"/>
      <w:snapToGrid/>
      <w:color w:val="auto"/>
      <w:kern w:val="2"/>
      <w:sz w:val="36"/>
      <w:szCs w:val="20"/>
    </w:rPr>
  </w:style>
  <w:style w:type="paragraph" w:customStyle="1" w:styleId="2554">
    <w:name w:val="新标题3"/>
    <w:basedOn w:val="5"/>
    <w:qFormat/>
    <w:uiPriority w:val="0"/>
    <w:pPr>
      <w:keepNext/>
      <w:keepLines/>
      <w:numPr>
        <w:ilvl w:val="0"/>
        <w:numId w:val="0"/>
      </w:numPr>
      <w:tabs>
        <w:tab w:val="left" w:pos="1229"/>
      </w:tabs>
      <w:overflowPunct w:val="0"/>
      <w:topLinePunct/>
      <w:autoSpaceDE w:val="0"/>
      <w:autoSpaceDN w:val="0"/>
      <w:adjustRightInd w:val="0"/>
      <w:spacing w:before="260" w:beforeLines="0" w:after="260" w:afterLines="0" w:line="520" w:lineRule="exact"/>
      <w:ind w:left="1229" w:hanging="709"/>
      <w:jc w:val="both"/>
    </w:pPr>
    <w:rPr>
      <w:rFonts w:ascii="黑体" w:eastAsia="黑体" w:cs="宋体"/>
      <w:b w:val="0"/>
      <w:bCs w:val="0"/>
      <w:kern w:val="0"/>
      <w:sz w:val="30"/>
      <w:szCs w:val="20"/>
    </w:rPr>
  </w:style>
  <w:style w:type="character" w:customStyle="1" w:styleId="2555">
    <w:name w:val="新标题4 Char"/>
    <w:link w:val="2556"/>
    <w:autoRedefine/>
    <w:qFormat/>
    <w:locked/>
    <w:uiPriority w:val="0"/>
    <w:rPr>
      <w:rFonts w:ascii="Arial" w:hAnsi="Arial"/>
      <w:b/>
      <w:bCs/>
      <w:spacing w:val="8"/>
      <w:sz w:val="24"/>
    </w:rPr>
  </w:style>
  <w:style w:type="paragraph" w:customStyle="1" w:styleId="2556">
    <w:name w:val="新标题4"/>
    <w:basedOn w:val="6"/>
    <w:link w:val="2555"/>
    <w:autoRedefine/>
    <w:qFormat/>
    <w:uiPriority w:val="0"/>
    <w:pPr>
      <w:keepNext/>
      <w:keepLines/>
      <w:numPr>
        <w:ilvl w:val="0"/>
        <w:numId w:val="0"/>
      </w:numPr>
      <w:tabs>
        <w:tab w:val="left" w:pos="1024"/>
        <w:tab w:val="left" w:pos="1241"/>
      </w:tabs>
      <w:overflowPunct w:val="0"/>
      <w:topLinePunct/>
      <w:autoSpaceDE w:val="0"/>
      <w:autoSpaceDN w:val="0"/>
      <w:adjustRightInd w:val="0"/>
      <w:spacing w:before="280" w:beforeLines="0" w:after="290" w:afterLines="0" w:line="440" w:lineRule="exact"/>
      <w:ind w:left="1241" w:hanging="851"/>
    </w:pPr>
    <w:rPr>
      <w:rFonts w:ascii="Arial" w:hAnsi="Arial"/>
      <w:spacing w:val="8"/>
      <w:kern w:val="0"/>
      <w:szCs w:val="20"/>
    </w:rPr>
  </w:style>
  <w:style w:type="paragraph" w:customStyle="1" w:styleId="2557">
    <w:name w:val="样式 首行缩进:  2 字符20"/>
    <w:basedOn w:val="1"/>
    <w:autoRedefine/>
    <w:qFormat/>
    <w:uiPriority w:val="0"/>
    <w:pPr>
      <w:snapToGrid/>
      <w:spacing w:line="520" w:lineRule="exact"/>
      <w:ind w:firstLine="560"/>
      <w:jc w:val="both"/>
    </w:pPr>
    <w:rPr>
      <w:rFonts w:cs="宋体"/>
      <w:szCs w:val="20"/>
    </w:rPr>
  </w:style>
  <w:style w:type="paragraph" w:customStyle="1" w:styleId="2558">
    <w:name w:val="neirong"/>
    <w:basedOn w:val="1"/>
    <w:autoRedefine/>
    <w:qFormat/>
    <w:uiPriority w:val="0"/>
    <w:pPr>
      <w:widowControl/>
      <w:snapToGrid/>
      <w:spacing w:beforeAutospacing="1" w:afterAutospacing="1" w:line="240" w:lineRule="auto"/>
      <w:ind w:firstLine="0" w:firstLineChars="0"/>
    </w:pPr>
    <w:rPr>
      <w:rFonts w:ascii="宋体" w:hAnsi="宋体"/>
      <w:kern w:val="0"/>
    </w:rPr>
  </w:style>
  <w:style w:type="character" w:customStyle="1" w:styleId="2559">
    <w:name w:val="段落 Char Char"/>
    <w:link w:val="1274"/>
    <w:autoRedefine/>
    <w:qFormat/>
    <w:locked/>
    <w:uiPriority w:val="0"/>
    <w:rPr>
      <w:kern w:val="24"/>
      <w:sz w:val="24"/>
      <w:szCs w:val="24"/>
    </w:rPr>
  </w:style>
  <w:style w:type="paragraph" w:customStyle="1" w:styleId="2560">
    <w:name w:val="91"/>
    <w:basedOn w:val="1"/>
    <w:autoRedefine/>
    <w:qFormat/>
    <w:uiPriority w:val="0"/>
    <w:pPr>
      <w:keepNext/>
      <w:snapToGrid/>
      <w:spacing w:beforeLines="30"/>
      <w:ind w:firstLine="0" w:firstLineChars="0"/>
      <w:jc w:val="both"/>
    </w:pPr>
  </w:style>
  <w:style w:type="paragraph" w:customStyle="1" w:styleId="2561">
    <w:name w:val="段落2"/>
    <w:basedOn w:val="1274"/>
    <w:autoRedefine/>
    <w:qFormat/>
    <w:uiPriority w:val="0"/>
    <w:pPr>
      <w:tabs>
        <w:tab w:val="clear" w:pos="1021"/>
      </w:tabs>
      <w:spacing w:line="400" w:lineRule="atLeast"/>
      <w:ind w:firstLine="454" w:firstLineChars="0"/>
      <w:jc w:val="left"/>
    </w:pPr>
    <w:rPr>
      <w:rFonts w:ascii="Calibri" w:hAnsi="Calibri"/>
      <w:kern w:val="0"/>
      <w:sz w:val="28"/>
      <w:szCs w:val="20"/>
    </w:rPr>
  </w:style>
  <w:style w:type="paragraph" w:customStyle="1" w:styleId="2562">
    <w:name w:val="样式 首行缩进:  2 字符16"/>
    <w:basedOn w:val="1"/>
    <w:autoRedefine/>
    <w:uiPriority w:val="0"/>
    <w:pPr>
      <w:snapToGrid/>
      <w:spacing w:line="520" w:lineRule="exact"/>
      <w:ind w:firstLine="560"/>
      <w:jc w:val="both"/>
    </w:pPr>
    <w:rPr>
      <w:szCs w:val="20"/>
    </w:rPr>
  </w:style>
  <w:style w:type="paragraph" w:customStyle="1" w:styleId="2563">
    <w:name w:val="样式 首行缩进:  2 字符17"/>
    <w:basedOn w:val="1"/>
    <w:autoRedefine/>
    <w:qFormat/>
    <w:uiPriority w:val="0"/>
    <w:pPr>
      <w:snapToGrid/>
      <w:spacing w:line="520" w:lineRule="exact"/>
      <w:ind w:firstLine="560"/>
      <w:jc w:val="both"/>
    </w:pPr>
    <w:rPr>
      <w:szCs w:val="20"/>
    </w:rPr>
  </w:style>
  <w:style w:type="paragraph" w:customStyle="1" w:styleId="2564">
    <w:name w:val="样式 标题 2节标题 1.1b2H2BSH-2节标题 1.1 Charb2 CharH2 Char条标题1.1..."/>
    <w:basedOn w:val="4"/>
    <w:autoRedefine/>
    <w:qFormat/>
    <w:uiPriority w:val="0"/>
    <w:pPr>
      <w:keepNext/>
      <w:keepLines/>
      <w:numPr>
        <w:ilvl w:val="0"/>
        <w:numId w:val="0"/>
      </w:numPr>
      <w:tabs>
        <w:tab w:val="left" w:pos="927"/>
        <w:tab w:val="left" w:pos="1134"/>
      </w:tabs>
      <w:adjustRightInd w:val="0"/>
      <w:spacing w:before="260" w:beforeLines="0" w:after="260" w:line="412" w:lineRule="auto"/>
    </w:pPr>
    <w:rPr>
      <w:rFonts w:cs="宋体"/>
      <w:kern w:val="0"/>
      <w:szCs w:val="20"/>
    </w:rPr>
  </w:style>
  <w:style w:type="character" w:customStyle="1" w:styleId="2565">
    <w:name w:val="正文qrz Char Char Char"/>
    <w:link w:val="2566"/>
    <w:autoRedefine/>
    <w:qFormat/>
    <w:locked/>
    <w:uiPriority w:val="0"/>
    <w:rPr>
      <w:rFonts w:ascii="宋体" w:hAnsi="宋体"/>
      <w:color w:val="FF00FF"/>
      <w:sz w:val="24"/>
      <w:szCs w:val="28"/>
    </w:rPr>
  </w:style>
  <w:style w:type="paragraph" w:customStyle="1" w:styleId="2566">
    <w:name w:val="正文qrz Char Char"/>
    <w:basedOn w:val="1"/>
    <w:link w:val="2565"/>
    <w:autoRedefine/>
    <w:qFormat/>
    <w:uiPriority w:val="0"/>
    <w:pPr>
      <w:jc w:val="both"/>
    </w:pPr>
    <w:rPr>
      <w:rFonts w:ascii="宋体" w:hAnsi="宋体"/>
      <w:color w:val="FF00FF"/>
      <w:kern w:val="0"/>
      <w:szCs w:val="28"/>
    </w:rPr>
  </w:style>
  <w:style w:type="character" w:customStyle="1" w:styleId="2567">
    <w:name w:val="正文qrz Char"/>
    <w:link w:val="2568"/>
    <w:autoRedefine/>
    <w:qFormat/>
    <w:locked/>
    <w:uiPriority w:val="0"/>
    <w:rPr>
      <w:color w:val="FF00FF"/>
      <w:sz w:val="24"/>
      <w:szCs w:val="24"/>
    </w:rPr>
  </w:style>
  <w:style w:type="paragraph" w:customStyle="1" w:styleId="2568">
    <w:name w:val="正文qrz"/>
    <w:basedOn w:val="1"/>
    <w:link w:val="2567"/>
    <w:autoRedefine/>
    <w:qFormat/>
    <w:uiPriority w:val="0"/>
    <w:pPr>
      <w:spacing w:line="440" w:lineRule="exact"/>
    </w:pPr>
    <w:rPr>
      <w:color w:val="FF00FF"/>
      <w:kern w:val="0"/>
    </w:rPr>
  </w:style>
  <w:style w:type="paragraph" w:customStyle="1" w:styleId="2569">
    <w:name w:val="表格 + 五号"/>
    <w:basedOn w:val="1"/>
    <w:autoRedefine/>
    <w:qFormat/>
    <w:uiPriority w:val="0"/>
    <w:pPr>
      <w:keepNext/>
      <w:keepLines/>
      <w:adjustRightInd w:val="0"/>
      <w:snapToGrid/>
      <w:spacing w:line="400" w:lineRule="exact"/>
      <w:ind w:firstLine="0" w:firstLineChars="0"/>
      <w:jc w:val="center"/>
    </w:pPr>
    <w:rPr>
      <w:rFonts w:eastAsia="Times New Roman"/>
      <w:kern w:val="0"/>
      <w:sz w:val="21"/>
      <w:szCs w:val="21"/>
    </w:rPr>
  </w:style>
  <w:style w:type="paragraph" w:customStyle="1" w:styleId="2570">
    <w:name w:val="样式 正文文字 + 首行缩进:  2 字符 行距: 最小值 24 磅"/>
    <w:basedOn w:val="1"/>
    <w:autoRedefine/>
    <w:uiPriority w:val="0"/>
    <w:pPr>
      <w:adjustRightInd w:val="0"/>
      <w:spacing w:line="480" w:lineRule="atLeast"/>
      <w:jc w:val="both"/>
    </w:pPr>
    <w:rPr>
      <w:rFonts w:cs="宋体"/>
      <w:szCs w:val="20"/>
    </w:rPr>
  </w:style>
  <w:style w:type="character" w:customStyle="1" w:styleId="2571">
    <w:name w:val="正文宋体小四 Char"/>
    <w:link w:val="2572"/>
    <w:autoRedefine/>
    <w:qFormat/>
    <w:locked/>
    <w:uiPriority w:val="0"/>
    <w:rPr>
      <w:sz w:val="24"/>
      <w:szCs w:val="24"/>
    </w:rPr>
  </w:style>
  <w:style w:type="paragraph" w:customStyle="1" w:styleId="2572">
    <w:name w:val="正文宋体小四"/>
    <w:basedOn w:val="21"/>
    <w:link w:val="2571"/>
    <w:uiPriority w:val="0"/>
    <w:pPr>
      <w:adjustRightInd w:val="0"/>
      <w:spacing w:line="480" w:lineRule="exact"/>
      <w:ind w:firstLine="480"/>
    </w:pPr>
    <w:rPr>
      <w:kern w:val="0"/>
      <w:szCs w:val="24"/>
    </w:rPr>
  </w:style>
  <w:style w:type="character" w:customStyle="1" w:styleId="2573">
    <w:name w:val="样式 正文（首行缩进两字） + 小三 首行缩进:  1 厘米 行距: 固定值 24 磅 Char Char"/>
    <w:link w:val="2574"/>
    <w:locked/>
    <w:uiPriority w:val="0"/>
    <w:rPr>
      <w:sz w:val="28"/>
      <w:szCs w:val="30"/>
    </w:rPr>
  </w:style>
  <w:style w:type="paragraph" w:customStyle="1" w:styleId="2574">
    <w:name w:val="样式 正文（首行缩进两字） + 小三 首行缩进:  1 厘米 行距: 固定值 24 磅 Char"/>
    <w:basedOn w:val="21"/>
    <w:link w:val="2573"/>
    <w:autoRedefine/>
    <w:uiPriority w:val="0"/>
    <w:pPr>
      <w:adjustRightInd w:val="0"/>
      <w:spacing w:line="480" w:lineRule="exact"/>
      <w:ind w:firstLine="567" w:firstLineChars="0"/>
    </w:pPr>
    <w:rPr>
      <w:kern w:val="0"/>
      <w:sz w:val="28"/>
      <w:szCs w:val="30"/>
    </w:rPr>
  </w:style>
  <w:style w:type="character" w:customStyle="1" w:styleId="2575">
    <w:name w:val="样式 样式 正文（首行缩进两字） + 小三 首行缩进:  1 厘米 行距: 固定值 24 磅 + 宋体 黑色 Char"/>
    <w:link w:val="2576"/>
    <w:autoRedefine/>
    <w:qFormat/>
    <w:locked/>
    <w:uiPriority w:val="0"/>
    <w:rPr>
      <w:color w:val="000000"/>
      <w:sz w:val="28"/>
      <w:szCs w:val="28"/>
    </w:rPr>
  </w:style>
  <w:style w:type="paragraph" w:customStyle="1" w:styleId="2576">
    <w:name w:val="样式 样式 正文（首行缩进两字） + 小三 首行缩进:  1 厘米 行距: 固定值 24 磅 + 宋体 黑色"/>
    <w:basedOn w:val="2574"/>
    <w:link w:val="2575"/>
    <w:autoRedefine/>
    <w:qFormat/>
    <w:uiPriority w:val="0"/>
    <w:rPr>
      <w:color w:val="000000"/>
      <w:szCs w:val="28"/>
    </w:rPr>
  </w:style>
  <w:style w:type="paragraph" w:customStyle="1" w:styleId="2577">
    <w:name w:val="样式 表格 + 五号"/>
    <w:basedOn w:val="1"/>
    <w:autoRedefine/>
    <w:qFormat/>
    <w:uiPriority w:val="0"/>
    <w:pPr>
      <w:keepNext/>
      <w:keepLines/>
      <w:adjustRightInd w:val="0"/>
      <w:snapToGrid/>
      <w:spacing w:line="400" w:lineRule="exact"/>
      <w:ind w:firstLine="546" w:firstLineChars="260"/>
      <w:jc w:val="both"/>
    </w:pPr>
    <w:rPr>
      <w:rFonts w:eastAsia="Times New Roman"/>
      <w:kern w:val="0"/>
      <w:sz w:val="21"/>
      <w:szCs w:val="21"/>
    </w:rPr>
  </w:style>
  <w:style w:type="paragraph" w:customStyle="1" w:styleId="2578">
    <w:name w:val="集团要求内容格式"/>
    <w:basedOn w:val="1"/>
    <w:autoRedefine/>
    <w:qFormat/>
    <w:uiPriority w:val="0"/>
    <w:pPr>
      <w:snapToGrid/>
      <w:spacing w:line="240" w:lineRule="auto"/>
      <w:ind w:firstLine="560"/>
      <w:jc w:val="both"/>
    </w:pPr>
    <w:rPr>
      <w:rFonts w:ascii="仿宋_GB2312" w:eastAsia="仿宋_GB2312"/>
      <w:sz w:val="28"/>
      <w:szCs w:val="28"/>
    </w:rPr>
  </w:style>
  <w:style w:type="paragraph" w:customStyle="1" w:styleId="2579">
    <w:name w:val="样式 桔黄 首行缩进:  1 厘米 行距: 固定值 25 磅"/>
    <w:basedOn w:val="1"/>
    <w:autoRedefine/>
    <w:qFormat/>
    <w:uiPriority w:val="0"/>
    <w:pPr>
      <w:adjustRightInd w:val="0"/>
      <w:snapToGrid/>
      <w:spacing w:line="500" w:lineRule="exact"/>
      <w:ind w:firstLine="560"/>
      <w:jc w:val="both"/>
    </w:pPr>
    <w:rPr>
      <w:rFonts w:ascii="宋体" w:hAnsi="宋体" w:cs="宋体"/>
      <w:kern w:val="0"/>
      <w:sz w:val="28"/>
      <w:szCs w:val="20"/>
    </w:rPr>
  </w:style>
  <w:style w:type="paragraph" w:customStyle="1" w:styleId="2580">
    <w:name w:val="样式 纯文本 + (符号) 宋体 四号"/>
    <w:basedOn w:val="45"/>
    <w:autoRedefine/>
    <w:qFormat/>
    <w:uiPriority w:val="0"/>
    <w:pPr>
      <w:adjustRightInd/>
      <w:spacing w:beforeLines="0" w:afterLines="0" w:line="500" w:lineRule="exact"/>
      <w:ind w:firstLine="560"/>
      <w:jc w:val="both"/>
      <w:textAlignment w:val="auto"/>
    </w:pPr>
    <w:rPr>
      <w:rFonts w:cs="Century"/>
      <w:kern w:val="0"/>
      <w:sz w:val="28"/>
      <w:szCs w:val="21"/>
    </w:rPr>
  </w:style>
  <w:style w:type="paragraph" w:customStyle="1" w:styleId="2581">
    <w:name w:val="样式 四号 行距: 多倍行距 1.25 字行1"/>
    <w:basedOn w:val="1"/>
    <w:autoRedefine/>
    <w:qFormat/>
    <w:uiPriority w:val="0"/>
    <w:pPr>
      <w:overflowPunct w:val="0"/>
      <w:autoSpaceDE w:val="0"/>
      <w:autoSpaceDN w:val="0"/>
      <w:adjustRightInd w:val="0"/>
      <w:spacing w:line="500" w:lineRule="exact"/>
      <w:ind w:firstLine="560"/>
      <w:jc w:val="both"/>
    </w:pPr>
    <w:rPr>
      <w:rFonts w:ascii="宋体" w:hAnsi="宋体" w:cs="宋体"/>
      <w:kern w:val="24"/>
      <w:sz w:val="28"/>
      <w:szCs w:val="20"/>
    </w:rPr>
  </w:style>
  <w:style w:type="paragraph" w:customStyle="1" w:styleId="2582">
    <w:name w:val="样式 标题 2 +"/>
    <w:basedOn w:val="4"/>
    <w:autoRedefine/>
    <w:qFormat/>
    <w:uiPriority w:val="0"/>
    <w:pPr>
      <w:keepNext/>
      <w:keepLines/>
      <w:numPr>
        <w:ilvl w:val="0"/>
        <w:numId w:val="0"/>
      </w:numPr>
      <w:tabs>
        <w:tab w:val="left" w:pos="927"/>
        <w:tab w:val="left" w:pos="1134"/>
      </w:tabs>
      <w:adjustRightInd w:val="0"/>
      <w:spacing w:before="260" w:beforeLines="0" w:after="260" w:line="520" w:lineRule="exact"/>
    </w:pPr>
    <w:rPr>
      <w:rFonts w:ascii="Arial" w:hAnsi="Arial"/>
      <w:kern w:val="0"/>
    </w:rPr>
  </w:style>
  <w:style w:type="paragraph" w:customStyle="1" w:styleId="2583">
    <w:name w:val="样式 热电厂正文 + 首行缩进:  2 字符"/>
    <w:basedOn w:val="2448"/>
    <w:uiPriority w:val="0"/>
    <w:pPr>
      <w:spacing w:line="480" w:lineRule="exact"/>
    </w:pPr>
    <w:rPr>
      <w:rFonts w:cs="宋体"/>
      <w:szCs w:val="20"/>
    </w:rPr>
  </w:style>
  <w:style w:type="paragraph" w:customStyle="1" w:styleId="2584">
    <w:name w:val="样式 首行缩进:  2 字符6"/>
    <w:basedOn w:val="1"/>
    <w:autoRedefine/>
    <w:qFormat/>
    <w:uiPriority w:val="0"/>
    <w:pPr>
      <w:snapToGrid/>
      <w:spacing w:line="520" w:lineRule="exact"/>
      <w:ind w:firstLine="560"/>
      <w:jc w:val="both"/>
    </w:pPr>
    <w:rPr>
      <w:rFonts w:cs="宋体"/>
      <w:szCs w:val="20"/>
    </w:rPr>
  </w:style>
  <w:style w:type="paragraph" w:customStyle="1" w:styleId="2585">
    <w:name w:val="样式 首行缩进:  2 字符8"/>
    <w:basedOn w:val="1"/>
    <w:uiPriority w:val="0"/>
    <w:pPr>
      <w:snapToGrid/>
      <w:spacing w:line="520" w:lineRule="exact"/>
      <w:ind w:firstLine="560"/>
      <w:jc w:val="both"/>
    </w:pPr>
    <w:rPr>
      <w:rFonts w:cs="宋体"/>
      <w:szCs w:val="20"/>
    </w:rPr>
  </w:style>
  <w:style w:type="paragraph" w:customStyle="1" w:styleId="2586">
    <w:name w:val="样式 五号 居中 行距: 固定值 20 磅"/>
    <w:basedOn w:val="1"/>
    <w:autoRedefine/>
    <w:qFormat/>
    <w:uiPriority w:val="0"/>
    <w:pPr>
      <w:snapToGrid/>
      <w:spacing w:line="400" w:lineRule="exact"/>
      <w:ind w:firstLine="2" w:firstLineChars="0"/>
      <w:jc w:val="center"/>
    </w:pPr>
    <w:rPr>
      <w:rFonts w:cs="宋体"/>
      <w:sz w:val="21"/>
      <w:szCs w:val="20"/>
    </w:rPr>
  </w:style>
  <w:style w:type="paragraph" w:customStyle="1" w:styleId="2587">
    <w:name w:val="样式 样式 首行缩进:  2 字符 行距: 最小值 24 磅 + 首行缩进:  2 字符"/>
    <w:basedOn w:val="1"/>
    <w:qFormat/>
    <w:uiPriority w:val="0"/>
    <w:pPr>
      <w:snapToGrid/>
      <w:spacing w:line="480" w:lineRule="atLeast"/>
      <w:jc w:val="both"/>
    </w:pPr>
    <w:rPr>
      <w:rFonts w:cs="宋体"/>
    </w:rPr>
  </w:style>
  <w:style w:type="paragraph" w:customStyle="1" w:styleId="2588">
    <w:name w:val="样式 样式 四号 黑色 首行缩进:  2 字符 + 自动设置 首行缩进:  2 字符 行距: 固定值 24 磅"/>
    <w:basedOn w:val="775"/>
    <w:qFormat/>
    <w:uiPriority w:val="0"/>
    <w:pPr>
      <w:spacing w:line="480" w:lineRule="exact"/>
      <w:ind w:firstLine="480"/>
    </w:pPr>
    <w:rPr>
      <w:rFonts w:cs="宋体"/>
      <w:color w:val="auto"/>
      <w:szCs w:val="20"/>
    </w:rPr>
  </w:style>
  <w:style w:type="paragraph" w:customStyle="1" w:styleId="2589">
    <w:name w:val="正文 Char Char Char"/>
    <w:basedOn w:val="1"/>
    <w:qFormat/>
    <w:uiPriority w:val="0"/>
    <w:pPr>
      <w:snapToGrid/>
      <w:spacing w:line="240" w:lineRule="auto"/>
      <w:ind w:firstLine="0" w:firstLineChars="0"/>
      <w:jc w:val="both"/>
    </w:pPr>
    <w:rPr>
      <w:rFonts w:cs="宋体"/>
      <w:szCs w:val="20"/>
    </w:rPr>
  </w:style>
  <w:style w:type="paragraph" w:customStyle="1" w:styleId="2590">
    <w:name w:val="样式 首行缩进:  2 字符13"/>
    <w:basedOn w:val="1"/>
    <w:qFormat/>
    <w:uiPriority w:val="0"/>
    <w:pPr>
      <w:snapToGrid/>
      <w:spacing w:line="520" w:lineRule="exact"/>
      <w:ind w:firstLine="560"/>
      <w:jc w:val="both"/>
    </w:pPr>
  </w:style>
  <w:style w:type="paragraph" w:customStyle="1" w:styleId="2591">
    <w:name w:val="表内五号两端对齐"/>
    <w:basedOn w:val="1"/>
    <w:qFormat/>
    <w:uiPriority w:val="0"/>
    <w:pPr>
      <w:snapToGrid/>
      <w:ind w:firstLine="720" w:firstLineChars="300"/>
      <w:jc w:val="both"/>
    </w:pPr>
    <w:rPr>
      <w:rFonts w:ascii="Arial" w:hAnsi="Arial" w:cs="Arial"/>
    </w:rPr>
  </w:style>
  <w:style w:type="paragraph" w:customStyle="1" w:styleId="2592">
    <w:name w:val="款，1."/>
    <w:basedOn w:val="1"/>
    <w:qFormat/>
    <w:uiPriority w:val="0"/>
    <w:pPr>
      <w:snapToGrid/>
      <w:spacing w:line="460" w:lineRule="exact"/>
      <w:ind w:firstLine="567" w:firstLineChars="0"/>
      <w:jc w:val="both"/>
      <w:outlineLvl w:val="2"/>
    </w:pPr>
    <w:rPr>
      <w:rFonts w:eastAsia="仿宋_GB2312"/>
      <w:sz w:val="28"/>
      <w:szCs w:val="20"/>
    </w:rPr>
  </w:style>
  <w:style w:type="paragraph" w:customStyle="1" w:styleId="2593">
    <w:name w:val="style2"/>
    <w:basedOn w:val="1"/>
    <w:uiPriority w:val="0"/>
    <w:pPr>
      <w:widowControl/>
      <w:snapToGrid/>
      <w:spacing w:beforeAutospacing="1" w:afterAutospacing="1" w:line="240" w:lineRule="auto"/>
      <w:ind w:firstLine="0" w:firstLineChars="0"/>
    </w:pPr>
    <w:rPr>
      <w:rFonts w:ascii="宋体" w:hAnsi="宋体" w:cs="宋体"/>
      <w:kern w:val="0"/>
      <w:sz w:val="36"/>
      <w:szCs w:val="36"/>
    </w:rPr>
  </w:style>
  <w:style w:type="paragraph" w:customStyle="1" w:styleId="2594">
    <w:name w:val="7.2.2"/>
    <w:basedOn w:val="4"/>
    <w:qFormat/>
    <w:uiPriority w:val="0"/>
    <w:pPr>
      <w:keepNext/>
      <w:keepLines/>
      <w:numPr>
        <w:ilvl w:val="0"/>
        <w:numId w:val="0"/>
      </w:numPr>
      <w:tabs>
        <w:tab w:val="left" w:pos="927"/>
        <w:tab w:val="left" w:pos="1134"/>
      </w:tabs>
      <w:spacing w:before="260" w:after="260" w:line="400" w:lineRule="exact"/>
      <w:jc w:val="both"/>
    </w:pPr>
    <w:rPr>
      <w:rFonts w:ascii="Arial" w:hAnsi="Arial"/>
      <w:color w:val="000000"/>
      <w:kern w:val="0"/>
      <w:sz w:val="24"/>
      <w:szCs w:val="24"/>
    </w:rPr>
  </w:style>
  <w:style w:type="paragraph" w:customStyle="1" w:styleId="2595">
    <w:name w:val="表内小四居中"/>
    <w:uiPriority w:val="0"/>
    <w:pPr>
      <w:adjustRightInd w:val="0"/>
      <w:snapToGrid w:val="0"/>
      <w:spacing w:line="360" w:lineRule="auto"/>
      <w:ind w:left="-57" w:right="-57"/>
      <w:jc w:val="center"/>
    </w:pPr>
    <w:rPr>
      <w:rFonts w:ascii="仿宋_GB2312" w:hAnsi="Times New Roman" w:eastAsia="仿宋_GB2312" w:cs="Times New Roman"/>
      <w:sz w:val="28"/>
      <w:lang w:val="en-US" w:eastAsia="zh-CN" w:bidi="ar-SA"/>
    </w:rPr>
  </w:style>
  <w:style w:type="paragraph" w:customStyle="1" w:styleId="2596">
    <w:name w:val="?y??"/>
    <w:autoRedefine/>
    <w:qFormat/>
    <w:uiPriority w:val="0"/>
    <w:pPr>
      <w:widowControl w:val="0"/>
      <w:snapToGrid w:val="0"/>
      <w:jc w:val="both"/>
    </w:pPr>
    <w:rPr>
      <w:rFonts w:ascii="宋体" w:hAnsi="Times New Roman" w:eastAsia="宋体" w:cs="Times New Roman"/>
      <w:kern w:val="2"/>
      <w:sz w:val="21"/>
      <w:lang w:val="en-US" w:eastAsia="en-US" w:bidi="ar-SA"/>
    </w:rPr>
  </w:style>
  <w:style w:type="paragraph" w:customStyle="1" w:styleId="2597">
    <w:name w:val="Char1 Char Char Char1"/>
    <w:basedOn w:val="1"/>
    <w:autoRedefine/>
    <w:uiPriority w:val="0"/>
    <w:pPr>
      <w:snapToGrid/>
      <w:spacing w:line="240" w:lineRule="auto"/>
      <w:ind w:firstLine="0" w:firstLineChars="0"/>
      <w:jc w:val="both"/>
    </w:pPr>
    <w:rPr>
      <w:sz w:val="21"/>
    </w:rPr>
  </w:style>
  <w:style w:type="character" w:customStyle="1" w:styleId="2598">
    <w:name w:val="c正文 Char"/>
    <w:link w:val="2599"/>
    <w:locked/>
    <w:uiPriority w:val="0"/>
    <w:rPr>
      <w:rFonts w:ascii="仿宋_GB2312" w:eastAsia="仿宋_GB2312"/>
      <w:sz w:val="28"/>
      <w:szCs w:val="28"/>
    </w:rPr>
  </w:style>
  <w:style w:type="paragraph" w:customStyle="1" w:styleId="2599">
    <w:name w:val="c正文"/>
    <w:basedOn w:val="1"/>
    <w:link w:val="2598"/>
    <w:qFormat/>
    <w:uiPriority w:val="0"/>
    <w:pPr>
      <w:adjustRightInd w:val="0"/>
      <w:ind w:firstLine="200"/>
      <w:jc w:val="both"/>
    </w:pPr>
    <w:rPr>
      <w:rFonts w:ascii="仿宋_GB2312" w:eastAsia="仿宋_GB2312"/>
      <w:kern w:val="0"/>
      <w:sz w:val="28"/>
      <w:szCs w:val="28"/>
    </w:rPr>
  </w:style>
  <w:style w:type="paragraph" w:customStyle="1" w:styleId="2600">
    <w:name w:val="标题40"/>
    <w:basedOn w:val="1"/>
    <w:autoRedefine/>
    <w:uiPriority w:val="0"/>
    <w:pPr>
      <w:spacing w:beforeLines="50"/>
      <w:ind w:firstLine="0" w:firstLineChars="0"/>
      <w:jc w:val="both"/>
      <w:outlineLvl w:val="3"/>
    </w:pPr>
    <w:rPr>
      <w:rFonts w:ascii="宋体" w:hAnsi="宋体"/>
      <w:b/>
      <w:bCs/>
      <w:kern w:val="0"/>
      <w:szCs w:val="20"/>
    </w:rPr>
  </w:style>
  <w:style w:type="paragraph" w:customStyle="1" w:styleId="2601">
    <w:name w:val="样式 标题 3 + 小三 段前: 6 磅 段后: 6 磅 行距: 多倍行距 1.25 字行"/>
    <w:basedOn w:val="5"/>
    <w:uiPriority w:val="0"/>
    <w:pPr>
      <w:keepNext/>
      <w:keepLines/>
      <w:numPr>
        <w:ilvl w:val="0"/>
        <w:numId w:val="0"/>
      </w:numPr>
      <w:tabs>
        <w:tab w:val="left" w:pos="1134"/>
        <w:tab w:val="left" w:pos="1256"/>
      </w:tabs>
      <w:snapToGrid/>
      <w:spacing w:before="260" w:beforeLines="0" w:after="260" w:afterLines="0"/>
      <w:jc w:val="both"/>
    </w:pPr>
    <w:rPr>
      <w:rFonts w:ascii="宋体" w:hAnsi="宋体" w:eastAsia="黑体" w:cs="宋体"/>
      <w:kern w:val="0"/>
      <w:szCs w:val="28"/>
    </w:rPr>
  </w:style>
  <w:style w:type="paragraph" w:customStyle="1" w:styleId="2602">
    <w:name w:val="样式 标题 3 + 四号 段前: 6 磅 段后: 6 磅 行距: 多倍行距 1.25 字行"/>
    <w:basedOn w:val="5"/>
    <w:autoRedefine/>
    <w:uiPriority w:val="0"/>
    <w:pPr>
      <w:keepNext/>
      <w:keepLines/>
      <w:numPr>
        <w:ilvl w:val="0"/>
        <w:numId w:val="0"/>
      </w:numPr>
      <w:tabs>
        <w:tab w:val="left" w:pos="1134"/>
        <w:tab w:val="left" w:pos="1256"/>
      </w:tabs>
      <w:spacing w:before="260" w:beforeLines="0" w:after="260" w:afterLines="0" w:line="300" w:lineRule="auto"/>
      <w:jc w:val="both"/>
    </w:pPr>
    <w:rPr>
      <w:rFonts w:ascii="黑体" w:eastAsia="黑体" w:cs="宋体"/>
      <w:kern w:val="0"/>
      <w:szCs w:val="20"/>
    </w:rPr>
  </w:style>
  <w:style w:type="character" w:customStyle="1" w:styleId="2603">
    <w:name w:val="样式 标题 2 + (西文) Times New Roman (中文) 宋体 段前: 12 磅 段后: 6 磅 行距: ... Char"/>
    <w:link w:val="2604"/>
    <w:qFormat/>
    <w:locked/>
    <w:uiPriority w:val="0"/>
    <w:rPr>
      <w:rFonts w:ascii="宋体" w:hAnsi="宋体"/>
      <w:b/>
      <w:bCs/>
      <w:sz w:val="32"/>
    </w:rPr>
  </w:style>
  <w:style w:type="paragraph" w:customStyle="1" w:styleId="2604">
    <w:name w:val="样式 标题 2 + (西文) Times New Roman (中文) 宋体 段前: 12 磅 段后: 6 磅 行距: ..."/>
    <w:basedOn w:val="4"/>
    <w:link w:val="2603"/>
    <w:autoRedefine/>
    <w:uiPriority w:val="0"/>
    <w:pPr>
      <w:keepNext/>
      <w:keepLines/>
      <w:numPr>
        <w:ilvl w:val="0"/>
        <w:numId w:val="0"/>
      </w:numPr>
      <w:tabs>
        <w:tab w:val="left" w:pos="927"/>
        <w:tab w:val="left" w:pos="1134"/>
      </w:tabs>
      <w:snapToGrid/>
      <w:spacing w:before="260" w:after="260" w:line="300" w:lineRule="auto"/>
      <w:jc w:val="both"/>
    </w:pPr>
    <w:rPr>
      <w:rFonts w:ascii="宋体" w:hAnsi="宋体"/>
      <w:kern w:val="0"/>
      <w:sz w:val="32"/>
      <w:szCs w:val="20"/>
    </w:rPr>
  </w:style>
  <w:style w:type="paragraph" w:customStyle="1" w:styleId="2605">
    <w:name w:val="样式 标题 2 + (西文) Times New Roman (中文) 宋体 段前: 12 磅 段后: 6 磅 行距: ...1"/>
    <w:basedOn w:val="4"/>
    <w:autoRedefine/>
    <w:qFormat/>
    <w:uiPriority w:val="0"/>
    <w:pPr>
      <w:keepNext/>
      <w:keepLines/>
      <w:numPr>
        <w:ilvl w:val="0"/>
        <w:numId w:val="0"/>
      </w:numPr>
      <w:tabs>
        <w:tab w:val="left" w:pos="2700"/>
      </w:tabs>
      <w:spacing w:before="260" w:after="260"/>
      <w:jc w:val="both"/>
    </w:pPr>
    <w:rPr>
      <w:rFonts w:ascii="黑体" w:eastAsia="黑体" w:cs="宋体"/>
      <w:kern w:val="0"/>
      <w:sz w:val="32"/>
    </w:rPr>
  </w:style>
  <w:style w:type="paragraph" w:customStyle="1" w:styleId="2606">
    <w:name w:val="样式 标题 3 + 小三 段前: 7.8 磅 段后: 7.8 磅 行距: 1.5 倍行距"/>
    <w:basedOn w:val="5"/>
    <w:autoRedefine/>
    <w:uiPriority w:val="0"/>
    <w:pPr>
      <w:keepNext/>
      <w:keepLines/>
      <w:numPr>
        <w:ilvl w:val="0"/>
        <w:numId w:val="0"/>
      </w:numPr>
      <w:tabs>
        <w:tab w:val="left" w:pos="1134"/>
        <w:tab w:val="left" w:pos="1256"/>
      </w:tabs>
      <w:snapToGrid/>
      <w:spacing w:before="260" w:beforeLines="0" w:after="260" w:afterLines="0"/>
      <w:jc w:val="both"/>
    </w:pPr>
    <w:rPr>
      <w:rFonts w:ascii="黑体" w:eastAsia="黑体" w:cs="宋体"/>
      <w:kern w:val="0"/>
      <w:sz w:val="30"/>
      <w:szCs w:val="20"/>
    </w:rPr>
  </w:style>
  <w:style w:type="paragraph" w:customStyle="1" w:styleId="2607">
    <w:name w:val="样式 标题 4 + 行距: 1.5 倍行距"/>
    <w:basedOn w:val="6"/>
    <w:uiPriority w:val="0"/>
    <w:pPr>
      <w:keepNext/>
      <w:keepLines/>
      <w:numPr>
        <w:ilvl w:val="0"/>
        <w:numId w:val="0"/>
      </w:numPr>
      <w:tabs>
        <w:tab w:val="left" w:pos="1134"/>
        <w:tab w:val="left" w:pos="1630"/>
      </w:tabs>
      <w:adjustRightInd w:val="0"/>
      <w:snapToGrid/>
      <w:spacing w:before="280" w:beforeLines="0" w:after="290" w:afterLines="0"/>
      <w:jc w:val="both"/>
    </w:pPr>
    <w:rPr>
      <w:rFonts w:cs="宋体"/>
      <w:kern w:val="0"/>
      <w:sz w:val="28"/>
      <w:szCs w:val="20"/>
    </w:rPr>
  </w:style>
  <w:style w:type="paragraph" w:customStyle="1" w:styleId="2608">
    <w:name w:val="样式 宋体 小四 行距: 1.5 倍行距"/>
    <w:basedOn w:val="1"/>
    <w:uiPriority w:val="0"/>
    <w:pPr>
      <w:snapToGrid/>
      <w:spacing w:line="500" w:lineRule="exact"/>
      <w:ind w:firstLine="0" w:firstLineChars="0"/>
      <w:jc w:val="both"/>
    </w:pPr>
    <w:rPr>
      <w:rFonts w:ascii="宋体"/>
      <w:szCs w:val="20"/>
    </w:rPr>
  </w:style>
  <w:style w:type="paragraph" w:customStyle="1" w:styleId="2609">
    <w:name w:val="样式 标题 2节标题 1.1 + Times New Roman 首行缩进:  0 厘米"/>
    <w:basedOn w:val="4"/>
    <w:autoRedefine/>
    <w:qFormat/>
    <w:uiPriority w:val="0"/>
    <w:pPr>
      <w:keepNext/>
      <w:keepLines/>
      <w:numPr>
        <w:ilvl w:val="0"/>
        <w:numId w:val="0"/>
      </w:numPr>
      <w:tabs>
        <w:tab w:val="left" w:pos="927"/>
        <w:tab w:val="left" w:pos="1134"/>
      </w:tabs>
      <w:adjustRightInd w:val="0"/>
      <w:snapToGrid/>
      <w:spacing w:before="260" w:beforeLines="0" w:after="260" w:afterLines="0" w:line="416" w:lineRule="atLeast"/>
      <w:jc w:val="both"/>
    </w:pPr>
    <w:rPr>
      <w:rFonts w:eastAsia="黑体" w:cs="宋体"/>
      <w:kern w:val="0"/>
      <w:sz w:val="32"/>
      <w:szCs w:val="20"/>
    </w:rPr>
  </w:style>
  <w:style w:type="paragraph" w:customStyle="1" w:styleId="2610">
    <w:name w:val="Char Char Char Char Char Char Char Char Char Char Char Char Char Char Char Char Char Char Char Char Char Char"/>
    <w:basedOn w:val="1"/>
    <w:autoRedefine/>
    <w:qFormat/>
    <w:uiPriority w:val="0"/>
    <w:pPr>
      <w:snapToGrid/>
      <w:spacing w:line="240" w:lineRule="exact"/>
      <w:ind w:firstLine="200"/>
      <w:jc w:val="both"/>
    </w:pPr>
    <w:rPr>
      <w:rFonts w:ascii="宋体" w:hAnsi="宋体" w:cs="宋体"/>
    </w:rPr>
  </w:style>
  <w:style w:type="character" w:customStyle="1" w:styleId="2611">
    <w:name w:val="陈正文 Char"/>
    <w:link w:val="2612"/>
    <w:locked/>
    <w:uiPriority w:val="0"/>
    <w:rPr>
      <w:b/>
      <w:sz w:val="24"/>
      <w:szCs w:val="24"/>
    </w:rPr>
  </w:style>
  <w:style w:type="paragraph" w:customStyle="1" w:styleId="2612">
    <w:name w:val="陈正文"/>
    <w:basedOn w:val="1"/>
    <w:next w:val="1"/>
    <w:link w:val="2611"/>
    <w:qFormat/>
    <w:uiPriority w:val="0"/>
    <w:pPr>
      <w:snapToGrid/>
      <w:ind w:firstLine="0" w:firstLineChars="0"/>
      <w:jc w:val="center"/>
    </w:pPr>
    <w:rPr>
      <w:b/>
      <w:kern w:val="0"/>
    </w:rPr>
  </w:style>
  <w:style w:type="character" w:customStyle="1" w:styleId="2613">
    <w:name w:val="陈表格中内容 Char"/>
    <w:link w:val="2614"/>
    <w:autoRedefine/>
    <w:qFormat/>
    <w:locked/>
    <w:uiPriority w:val="0"/>
    <w:rPr>
      <w:rFonts w:ascii="仿宋_GB2312" w:eastAsia="仿宋_GB2312"/>
      <w:szCs w:val="21"/>
    </w:rPr>
  </w:style>
  <w:style w:type="paragraph" w:customStyle="1" w:styleId="2614">
    <w:name w:val="陈表格中内容"/>
    <w:basedOn w:val="1"/>
    <w:next w:val="1"/>
    <w:link w:val="2613"/>
    <w:uiPriority w:val="0"/>
    <w:pPr>
      <w:snapToGrid/>
      <w:spacing w:line="240" w:lineRule="auto"/>
      <w:ind w:left="-66" w:leftChars="-66" w:firstLine="105" w:firstLineChars="50"/>
      <w:jc w:val="both"/>
    </w:pPr>
    <w:rPr>
      <w:rFonts w:ascii="仿宋_GB2312" w:eastAsia="仿宋_GB2312"/>
      <w:kern w:val="0"/>
      <w:sz w:val="20"/>
      <w:szCs w:val="21"/>
    </w:rPr>
  </w:style>
  <w:style w:type="character" w:customStyle="1" w:styleId="2615">
    <w:name w:val="1-正文 Char"/>
    <w:link w:val="2616"/>
    <w:autoRedefine/>
    <w:locked/>
    <w:uiPriority w:val="0"/>
    <w:rPr>
      <w:rFonts w:ascii="宋体" w:hAnsi="宋体"/>
      <w:sz w:val="24"/>
      <w:szCs w:val="24"/>
    </w:rPr>
  </w:style>
  <w:style w:type="paragraph" w:customStyle="1" w:styleId="2616">
    <w:name w:val="1-正文"/>
    <w:basedOn w:val="1"/>
    <w:link w:val="2615"/>
    <w:qFormat/>
    <w:uiPriority w:val="0"/>
    <w:pPr>
      <w:snapToGrid/>
      <w:jc w:val="both"/>
    </w:pPr>
    <w:rPr>
      <w:rFonts w:ascii="宋体" w:hAnsi="宋体"/>
      <w:kern w:val="0"/>
    </w:rPr>
  </w:style>
  <w:style w:type="paragraph" w:customStyle="1" w:styleId="2617">
    <w:name w:val="标题1（新）"/>
    <w:basedOn w:val="1"/>
    <w:next w:val="1"/>
    <w:uiPriority w:val="0"/>
    <w:pPr>
      <w:widowControl/>
      <w:snapToGrid/>
      <w:spacing w:beforeLines="50" w:line="240" w:lineRule="auto"/>
      <w:ind w:firstLine="0" w:firstLineChars="0"/>
    </w:pPr>
    <w:rPr>
      <w:rFonts w:eastAsia="黑体"/>
      <w:kern w:val="0"/>
      <w:szCs w:val="28"/>
    </w:rPr>
  </w:style>
  <w:style w:type="character" w:customStyle="1" w:styleId="2618">
    <w:name w:val="热电厂正文 Char Char Char"/>
    <w:link w:val="2619"/>
    <w:locked/>
    <w:uiPriority w:val="0"/>
    <w:rPr>
      <w:sz w:val="24"/>
      <w:szCs w:val="24"/>
    </w:rPr>
  </w:style>
  <w:style w:type="paragraph" w:customStyle="1" w:styleId="2619">
    <w:name w:val="热电厂正文 Char Char"/>
    <w:basedOn w:val="1"/>
    <w:link w:val="2618"/>
    <w:qFormat/>
    <w:uiPriority w:val="0"/>
    <w:pPr>
      <w:snapToGrid/>
      <w:spacing w:line="440" w:lineRule="exact"/>
      <w:jc w:val="both"/>
    </w:pPr>
    <w:rPr>
      <w:kern w:val="0"/>
    </w:rPr>
  </w:style>
  <w:style w:type="paragraph" w:customStyle="1" w:styleId="2620">
    <w:name w:val="表格02"/>
    <w:basedOn w:val="1"/>
    <w:uiPriority w:val="0"/>
    <w:pPr>
      <w:spacing w:line="400" w:lineRule="exact"/>
      <w:ind w:firstLine="0" w:firstLineChars="0"/>
      <w:jc w:val="center"/>
    </w:pPr>
    <w:rPr>
      <w:kern w:val="0"/>
    </w:rPr>
  </w:style>
  <w:style w:type="paragraph" w:customStyle="1" w:styleId="2621">
    <w:name w:val="表格02左"/>
    <w:basedOn w:val="2620"/>
    <w:uiPriority w:val="0"/>
    <w:pPr>
      <w:jc w:val="left"/>
    </w:pPr>
  </w:style>
  <w:style w:type="paragraph" w:customStyle="1" w:styleId="2622">
    <w:name w:val="正文表标题"/>
    <w:next w:val="1"/>
    <w:uiPriority w:val="0"/>
    <w:pPr>
      <w:tabs>
        <w:tab w:val="left" w:pos="1134"/>
      </w:tabs>
      <w:ind w:left="1134" w:hanging="567"/>
      <w:jc w:val="center"/>
    </w:pPr>
    <w:rPr>
      <w:rFonts w:ascii="黑体" w:hAnsi="Times New Roman" w:eastAsia="黑体" w:cs="Times New Roman"/>
      <w:sz w:val="21"/>
      <w:lang w:val="en-US" w:eastAsia="zh-CN" w:bidi="ar-SA"/>
    </w:rPr>
  </w:style>
  <w:style w:type="character" w:customStyle="1" w:styleId="2623">
    <w:name w:val="正文正式格式 Char"/>
    <w:link w:val="2624"/>
    <w:qFormat/>
    <w:locked/>
    <w:uiPriority w:val="0"/>
    <w:rPr>
      <w:szCs w:val="24"/>
    </w:rPr>
  </w:style>
  <w:style w:type="paragraph" w:customStyle="1" w:styleId="2624">
    <w:name w:val="正文正式格式"/>
    <w:basedOn w:val="1"/>
    <w:link w:val="2623"/>
    <w:uiPriority w:val="0"/>
    <w:pPr>
      <w:snapToGrid/>
      <w:ind w:firstLine="200"/>
    </w:pPr>
    <w:rPr>
      <w:kern w:val="0"/>
      <w:sz w:val="20"/>
    </w:rPr>
  </w:style>
  <w:style w:type="paragraph" w:customStyle="1" w:styleId="2625">
    <w:name w:val="样式33"/>
    <w:basedOn w:val="1"/>
    <w:uiPriority w:val="0"/>
    <w:pPr>
      <w:snapToGrid/>
      <w:spacing w:beforeLines="50" w:line="300" w:lineRule="auto"/>
      <w:ind w:firstLine="0" w:firstLineChars="0"/>
      <w:jc w:val="both"/>
      <w:outlineLvl w:val="2"/>
    </w:pPr>
    <w:rPr>
      <w:b/>
      <w:sz w:val="28"/>
      <w:szCs w:val="28"/>
    </w:rPr>
  </w:style>
  <w:style w:type="paragraph" w:customStyle="1" w:styleId="2626">
    <w:name w:val="标题4，正式三级标题"/>
    <w:basedOn w:val="6"/>
    <w:autoRedefine/>
    <w:uiPriority w:val="0"/>
    <w:pPr>
      <w:keepNext/>
      <w:keepLines/>
      <w:numPr>
        <w:ilvl w:val="0"/>
        <w:numId w:val="0"/>
      </w:numPr>
      <w:tabs>
        <w:tab w:val="left" w:pos="1134"/>
        <w:tab w:val="left" w:pos="1630"/>
      </w:tabs>
      <w:autoSpaceDE w:val="0"/>
      <w:autoSpaceDN w:val="0"/>
      <w:adjustRightInd w:val="0"/>
      <w:snapToGrid/>
      <w:spacing w:before="280" w:beforeLines="0" w:after="290" w:afterLines="0"/>
    </w:pPr>
    <w:rPr>
      <w:rFonts w:ascii="Arial" w:hAnsi="Arial"/>
      <w:kern w:val="0"/>
      <w:sz w:val="21"/>
      <w:szCs w:val="28"/>
    </w:rPr>
  </w:style>
  <w:style w:type="paragraph" w:customStyle="1" w:styleId="2627">
    <w:name w:val="table_description"/>
    <w:basedOn w:val="1"/>
    <w:uiPriority w:val="0"/>
    <w:pPr>
      <w:widowControl/>
      <w:snapToGrid/>
      <w:spacing w:beforeAutospacing="1" w:afterAutospacing="1" w:line="240" w:lineRule="auto"/>
      <w:ind w:firstLine="0" w:firstLineChars="0"/>
      <w:jc w:val="center"/>
    </w:pPr>
    <w:rPr>
      <w:rFonts w:ascii="宋体" w:hAnsi="宋体"/>
      <w:kern w:val="0"/>
    </w:rPr>
  </w:style>
  <w:style w:type="paragraph" w:customStyle="1" w:styleId="2628">
    <w:name w:val="table_title"/>
    <w:basedOn w:val="1"/>
    <w:qFormat/>
    <w:uiPriority w:val="0"/>
    <w:pPr>
      <w:widowControl/>
      <w:snapToGrid/>
      <w:spacing w:beforeAutospacing="1" w:afterAutospacing="1" w:line="240" w:lineRule="auto"/>
      <w:ind w:firstLine="0" w:firstLineChars="0"/>
      <w:jc w:val="center"/>
    </w:pPr>
    <w:rPr>
      <w:rFonts w:ascii="宋体" w:hAnsi="宋体"/>
      <w:b/>
      <w:bCs/>
      <w:kern w:val="0"/>
    </w:rPr>
  </w:style>
  <w:style w:type="paragraph" w:customStyle="1" w:styleId="2629">
    <w:name w:val="封面标准号1"/>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2630">
    <w:name w:val="注×："/>
    <w:uiPriority w:val="0"/>
    <w:pPr>
      <w:widowControl w:val="0"/>
      <w:tabs>
        <w:tab w:val="left" w:pos="630"/>
        <w:tab w:val="left" w:pos="1470"/>
      </w:tabs>
      <w:autoSpaceDE w:val="0"/>
      <w:autoSpaceDN w:val="0"/>
      <w:ind w:left="1470" w:hanging="720"/>
      <w:jc w:val="both"/>
    </w:pPr>
    <w:rPr>
      <w:rFonts w:ascii="宋体" w:hAnsi="Times New Roman" w:eastAsia="宋体" w:cs="Times New Roman"/>
      <w:sz w:val="18"/>
      <w:lang w:val="en-US" w:eastAsia="zh-CN" w:bidi="ar-SA"/>
    </w:rPr>
  </w:style>
  <w:style w:type="paragraph" w:customStyle="1" w:styleId="2631">
    <w:name w:val="标准书眉_偶数页"/>
    <w:basedOn w:val="1"/>
    <w:next w:val="1"/>
    <w:qFormat/>
    <w:uiPriority w:val="0"/>
    <w:pPr>
      <w:widowControl/>
      <w:tabs>
        <w:tab w:val="center" w:pos="4154"/>
        <w:tab w:val="right" w:pos="8306"/>
      </w:tabs>
      <w:snapToGrid/>
      <w:spacing w:line="240" w:lineRule="auto"/>
      <w:ind w:firstLine="0" w:firstLineChars="0"/>
    </w:pPr>
    <w:rPr>
      <w:kern w:val="0"/>
      <w:sz w:val="21"/>
      <w:szCs w:val="20"/>
    </w:rPr>
  </w:style>
  <w:style w:type="paragraph" w:customStyle="1" w:styleId="2632">
    <w:name w:val="标准书眉一"/>
    <w:uiPriority w:val="0"/>
    <w:pPr>
      <w:jc w:val="both"/>
    </w:pPr>
    <w:rPr>
      <w:rFonts w:ascii="Times New Roman" w:hAnsi="Times New Roman" w:eastAsia="宋体" w:cs="Times New Roman"/>
      <w:lang w:val="en-US" w:eastAsia="zh-CN" w:bidi="ar-SA"/>
    </w:rPr>
  </w:style>
  <w:style w:type="paragraph" w:customStyle="1" w:styleId="2633">
    <w:name w:val="样式 Times New Roman :  2 字符"/>
    <w:basedOn w:val="1"/>
    <w:autoRedefine/>
    <w:qFormat/>
    <w:uiPriority w:val="0"/>
    <w:pPr>
      <w:snapToGrid/>
      <w:jc w:val="both"/>
    </w:pPr>
    <w:rPr>
      <w:szCs w:val="20"/>
    </w:rPr>
  </w:style>
  <w:style w:type="paragraph" w:customStyle="1" w:styleId="2634">
    <w:name w:val="f14"/>
    <w:basedOn w:val="1"/>
    <w:qFormat/>
    <w:uiPriority w:val="0"/>
    <w:pPr>
      <w:widowControl/>
      <w:wordWrap w:val="0"/>
      <w:snapToGrid/>
      <w:spacing w:line="240" w:lineRule="auto"/>
      <w:ind w:firstLine="0" w:firstLineChars="0"/>
    </w:pPr>
    <w:rPr>
      <w:rFonts w:ascii="宋体" w:hAnsi="宋体"/>
      <w:kern w:val="0"/>
      <w:sz w:val="21"/>
      <w:szCs w:val="21"/>
    </w:rPr>
  </w:style>
  <w:style w:type="paragraph" w:customStyle="1" w:styleId="2635">
    <w:name w:val="table_note"/>
    <w:basedOn w:val="1"/>
    <w:uiPriority w:val="0"/>
    <w:pPr>
      <w:widowControl/>
      <w:snapToGrid/>
      <w:spacing w:beforeAutospacing="1" w:afterAutospacing="1" w:line="240" w:lineRule="auto"/>
      <w:ind w:firstLine="0" w:firstLineChars="0"/>
    </w:pPr>
    <w:rPr>
      <w:rFonts w:ascii="宋体" w:hAnsi="宋体"/>
      <w:kern w:val="0"/>
    </w:rPr>
  </w:style>
  <w:style w:type="paragraph" w:customStyle="1" w:styleId="2636">
    <w:name w:val="tr"/>
    <w:basedOn w:val="1"/>
    <w:autoRedefine/>
    <w:uiPriority w:val="0"/>
    <w:pPr>
      <w:widowControl/>
      <w:snapToGrid/>
      <w:spacing w:beforeAutospacing="1" w:afterAutospacing="1" w:line="240" w:lineRule="auto"/>
      <w:ind w:firstLine="0" w:firstLineChars="0"/>
    </w:pPr>
    <w:rPr>
      <w:rFonts w:ascii="Arial" w:hAnsi="Arial" w:cs="Arial"/>
      <w:kern w:val="0"/>
      <w:sz w:val="14"/>
      <w:szCs w:val="14"/>
    </w:rPr>
  </w:style>
  <w:style w:type="paragraph" w:customStyle="1" w:styleId="2637">
    <w:name w:val="题注1"/>
    <w:basedOn w:val="1"/>
    <w:autoRedefine/>
    <w:uiPriority w:val="0"/>
    <w:pPr>
      <w:widowControl/>
      <w:snapToGrid/>
      <w:spacing w:beforeAutospacing="1" w:line="240" w:lineRule="auto"/>
      <w:ind w:firstLine="0" w:firstLineChars="0"/>
    </w:pPr>
    <w:rPr>
      <w:rFonts w:ascii="Arial" w:hAnsi="Arial" w:cs="Arial"/>
      <w:b/>
      <w:bCs/>
      <w:kern w:val="0"/>
      <w:sz w:val="14"/>
      <w:szCs w:val="14"/>
    </w:rPr>
  </w:style>
  <w:style w:type="paragraph" w:customStyle="1" w:styleId="2638">
    <w:name w:val="top"/>
    <w:basedOn w:val="1"/>
    <w:autoRedefine/>
    <w:qFormat/>
    <w:uiPriority w:val="0"/>
    <w:pPr>
      <w:widowControl/>
      <w:snapToGrid/>
      <w:spacing w:beforeAutospacing="1" w:afterAutospacing="1" w:line="240" w:lineRule="auto"/>
      <w:ind w:firstLine="0" w:firstLineChars="0"/>
      <w:jc w:val="right"/>
    </w:pPr>
    <w:rPr>
      <w:rFonts w:ascii="Arial" w:hAnsi="Arial" w:cs="Arial"/>
      <w:kern w:val="0"/>
      <w:sz w:val="12"/>
      <w:szCs w:val="12"/>
    </w:rPr>
  </w:style>
  <w:style w:type="paragraph" w:customStyle="1" w:styleId="2639">
    <w:name w:val="tablespacing"/>
    <w:basedOn w:val="1"/>
    <w:autoRedefine/>
    <w:uiPriority w:val="0"/>
    <w:pPr>
      <w:widowControl/>
      <w:snapToGrid/>
      <w:spacing w:beforeAutospacing="1" w:afterAutospacing="1" w:line="240" w:lineRule="auto"/>
      <w:ind w:firstLine="0" w:firstLineChars="0"/>
    </w:pPr>
    <w:rPr>
      <w:rFonts w:ascii="宋体" w:hAnsi="宋体" w:cs="宋体"/>
      <w:kern w:val="0"/>
    </w:rPr>
  </w:style>
  <w:style w:type="paragraph" w:customStyle="1" w:styleId="2640">
    <w:name w:val="fontsmall"/>
    <w:basedOn w:val="1"/>
    <w:uiPriority w:val="0"/>
    <w:pPr>
      <w:widowControl/>
      <w:snapToGrid/>
      <w:spacing w:beforeAutospacing="1" w:afterAutospacing="1" w:line="240" w:lineRule="auto"/>
      <w:ind w:firstLine="0" w:firstLineChars="0"/>
    </w:pPr>
    <w:rPr>
      <w:rFonts w:ascii="Arial" w:hAnsi="Arial" w:cs="Arial"/>
      <w:kern w:val="0"/>
      <w:sz w:val="13"/>
      <w:szCs w:val="13"/>
    </w:rPr>
  </w:style>
  <w:style w:type="paragraph" w:customStyle="1" w:styleId="2641">
    <w:name w:val="navigation"/>
    <w:basedOn w:val="1"/>
    <w:autoRedefine/>
    <w:uiPriority w:val="0"/>
    <w:pPr>
      <w:widowControl/>
      <w:snapToGrid/>
      <w:spacing w:beforeAutospacing="1" w:afterAutospacing="1" w:line="240" w:lineRule="auto"/>
      <w:ind w:firstLine="0" w:firstLineChars="0"/>
    </w:pPr>
    <w:rPr>
      <w:rFonts w:ascii="Arial" w:hAnsi="Arial" w:cs="Arial"/>
      <w:kern w:val="0"/>
      <w:sz w:val="12"/>
      <w:szCs w:val="12"/>
    </w:rPr>
  </w:style>
  <w:style w:type="paragraph" w:customStyle="1" w:styleId="2642">
    <w:name w:val="invisiblelink"/>
    <w:basedOn w:val="1"/>
    <w:autoRedefine/>
    <w:uiPriority w:val="0"/>
    <w:pPr>
      <w:widowControl/>
      <w:snapToGrid/>
      <w:spacing w:beforeAutospacing="1" w:afterAutospacing="1" w:line="240" w:lineRule="auto"/>
      <w:ind w:firstLine="0" w:firstLineChars="0"/>
    </w:pPr>
    <w:rPr>
      <w:rFonts w:ascii="Arial" w:hAnsi="Arial" w:cs="Arial"/>
      <w:color w:val="FFFFFF"/>
      <w:kern w:val="0"/>
      <w:sz w:val="12"/>
      <w:szCs w:val="12"/>
    </w:rPr>
  </w:style>
  <w:style w:type="paragraph" w:customStyle="1" w:styleId="2643">
    <w:name w:val="toplogo"/>
    <w:basedOn w:val="1"/>
    <w:autoRedefine/>
    <w:qFormat/>
    <w:uiPriority w:val="0"/>
    <w:pPr>
      <w:widowControl/>
      <w:snapToGrid/>
      <w:spacing w:beforeAutospacing="1" w:line="240" w:lineRule="auto"/>
      <w:ind w:firstLine="0" w:firstLineChars="0"/>
    </w:pPr>
    <w:rPr>
      <w:rFonts w:ascii="Arial" w:hAnsi="Arial" w:cs="Arial"/>
      <w:b/>
      <w:bCs/>
      <w:kern w:val="0"/>
      <w:sz w:val="17"/>
      <w:szCs w:val="17"/>
    </w:rPr>
  </w:style>
  <w:style w:type="paragraph" w:customStyle="1" w:styleId="2644">
    <w:name w:val="search"/>
    <w:basedOn w:val="1"/>
    <w:autoRedefine/>
    <w:uiPriority w:val="0"/>
    <w:pPr>
      <w:widowControl/>
      <w:snapToGrid/>
      <w:spacing w:beforeAutospacing="1" w:afterAutospacing="1" w:line="240" w:lineRule="auto"/>
      <w:ind w:firstLine="0" w:firstLineChars="0"/>
    </w:pPr>
    <w:rPr>
      <w:rFonts w:ascii="Arial" w:hAnsi="Arial" w:cs="Arial"/>
      <w:kern w:val="0"/>
      <w:sz w:val="12"/>
      <w:szCs w:val="12"/>
    </w:rPr>
  </w:style>
  <w:style w:type="paragraph" w:customStyle="1" w:styleId="2645">
    <w:name w:val="side"/>
    <w:basedOn w:val="1"/>
    <w:autoRedefine/>
    <w:qFormat/>
    <w:uiPriority w:val="0"/>
    <w:pPr>
      <w:widowControl/>
      <w:snapToGrid/>
      <w:spacing w:beforeAutospacing="1" w:afterAutospacing="1" w:line="240" w:lineRule="auto"/>
      <w:ind w:firstLine="0" w:firstLineChars="0"/>
    </w:pPr>
    <w:rPr>
      <w:rFonts w:ascii="Arial" w:hAnsi="Arial" w:cs="Arial"/>
      <w:kern w:val="0"/>
      <w:sz w:val="14"/>
      <w:szCs w:val="14"/>
    </w:rPr>
  </w:style>
  <w:style w:type="paragraph" w:customStyle="1" w:styleId="2646">
    <w:name w:val="subparagraph"/>
    <w:basedOn w:val="1"/>
    <w:autoRedefine/>
    <w:uiPriority w:val="0"/>
    <w:pPr>
      <w:widowControl/>
      <w:snapToGrid/>
      <w:spacing w:beforeAutospacing="1" w:afterAutospacing="1" w:line="240" w:lineRule="auto"/>
      <w:ind w:firstLine="0" w:firstLineChars="0"/>
    </w:pPr>
    <w:rPr>
      <w:rFonts w:ascii="Arial" w:hAnsi="Arial" w:cs="Arial"/>
      <w:kern w:val="0"/>
      <w:sz w:val="14"/>
      <w:szCs w:val="14"/>
    </w:rPr>
  </w:style>
  <w:style w:type="paragraph" w:customStyle="1" w:styleId="2647">
    <w:name w:val="head"/>
    <w:basedOn w:val="1"/>
    <w:autoRedefine/>
    <w:uiPriority w:val="0"/>
    <w:pPr>
      <w:widowControl/>
      <w:snapToGrid/>
      <w:spacing w:beforeAutospacing="1" w:afterAutospacing="1" w:line="240" w:lineRule="auto"/>
      <w:ind w:firstLine="0" w:firstLineChars="0"/>
    </w:pPr>
    <w:rPr>
      <w:rFonts w:ascii="Arial" w:hAnsi="Arial" w:cs="Arial"/>
      <w:b/>
      <w:bCs/>
      <w:kern w:val="0"/>
      <w:sz w:val="21"/>
      <w:szCs w:val="21"/>
    </w:rPr>
  </w:style>
  <w:style w:type="paragraph" w:customStyle="1" w:styleId="2648">
    <w:name w:val="recentupdateslink"/>
    <w:basedOn w:val="1"/>
    <w:autoRedefine/>
    <w:uiPriority w:val="0"/>
    <w:pPr>
      <w:widowControl/>
      <w:snapToGrid/>
      <w:spacing w:beforeAutospacing="1" w:afterAutospacing="1" w:line="240" w:lineRule="auto"/>
      <w:ind w:firstLine="0" w:firstLineChars="0"/>
    </w:pPr>
    <w:rPr>
      <w:rFonts w:ascii="Arial" w:hAnsi="Arial" w:cs="Arial"/>
      <w:b/>
      <w:bCs/>
      <w:kern w:val="0"/>
      <w:sz w:val="14"/>
      <w:szCs w:val="14"/>
    </w:rPr>
  </w:style>
  <w:style w:type="paragraph" w:customStyle="1" w:styleId="2649">
    <w:name w:val="updatetitle"/>
    <w:basedOn w:val="1"/>
    <w:autoRedefine/>
    <w:uiPriority w:val="0"/>
    <w:pPr>
      <w:widowControl/>
      <w:snapToGrid/>
      <w:spacing w:beforeAutospacing="1" w:afterAutospacing="1" w:line="240" w:lineRule="auto"/>
      <w:ind w:firstLine="100" w:firstLineChars="0"/>
    </w:pPr>
    <w:rPr>
      <w:rFonts w:ascii="Arial" w:hAnsi="Arial" w:cs="Arial"/>
      <w:b/>
      <w:bCs/>
      <w:color w:val="FF0000"/>
      <w:kern w:val="0"/>
      <w:sz w:val="17"/>
      <w:szCs w:val="17"/>
    </w:rPr>
  </w:style>
  <w:style w:type="paragraph" w:customStyle="1" w:styleId="2650">
    <w:name w:val="updatebodytest"/>
    <w:basedOn w:val="1"/>
    <w:autoRedefine/>
    <w:uiPriority w:val="0"/>
    <w:pPr>
      <w:widowControl/>
      <w:snapToGrid/>
      <w:spacing w:beforeAutospacing="1" w:afterAutospacing="1" w:line="240" w:lineRule="auto"/>
      <w:ind w:firstLine="0" w:firstLineChars="0"/>
    </w:pPr>
    <w:rPr>
      <w:rFonts w:ascii="Arial" w:hAnsi="Arial" w:cs="Arial"/>
      <w:kern w:val="0"/>
      <w:sz w:val="14"/>
      <w:szCs w:val="14"/>
    </w:rPr>
  </w:style>
  <w:style w:type="paragraph" w:customStyle="1" w:styleId="2651">
    <w:name w:val="updatebold"/>
    <w:basedOn w:val="1"/>
    <w:autoRedefine/>
    <w:uiPriority w:val="0"/>
    <w:pPr>
      <w:widowControl/>
      <w:snapToGrid/>
      <w:spacing w:beforeAutospacing="1" w:afterAutospacing="1" w:line="240" w:lineRule="auto"/>
      <w:ind w:firstLine="0" w:firstLineChars="0"/>
    </w:pPr>
    <w:rPr>
      <w:rFonts w:ascii="Arial" w:hAnsi="Arial" w:cs="Arial"/>
      <w:b/>
      <w:bCs/>
      <w:kern w:val="0"/>
      <w:sz w:val="14"/>
      <w:szCs w:val="14"/>
    </w:rPr>
  </w:style>
  <w:style w:type="paragraph" w:customStyle="1" w:styleId="2652">
    <w:name w:val="body"/>
    <w:basedOn w:val="1"/>
    <w:autoRedefine/>
    <w:qFormat/>
    <w:uiPriority w:val="0"/>
    <w:pPr>
      <w:widowControl/>
      <w:shd w:val="clear" w:color="auto" w:fill="FFFFFF"/>
      <w:snapToGrid/>
      <w:spacing w:beforeAutospacing="1" w:afterAutospacing="1" w:line="240" w:lineRule="auto"/>
      <w:ind w:firstLine="0" w:firstLineChars="0"/>
    </w:pPr>
    <w:rPr>
      <w:rFonts w:ascii="Arial" w:hAnsi="Arial" w:cs="Arial"/>
      <w:color w:val="000000"/>
      <w:kern w:val="0"/>
    </w:rPr>
  </w:style>
  <w:style w:type="paragraph" w:customStyle="1" w:styleId="2653">
    <w:name w:val="p"/>
    <w:basedOn w:val="1"/>
    <w:autoRedefine/>
    <w:uiPriority w:val="0"/>
    <w:pPr>
      <w:widowControl/>
      <w:snapToGrid/>
      <w:spacing w:beforeAutospacing="1" w:afterAutospacing="1" w:line="240" w:lineRule="auto"/>
      <w:ind w:firstLine="0" w:firstLineChars="0"/>
      <w:jc w:val="center"/>
    </w:pPr>
    <w:rPr>
      <w:rFonts w:ascii="Arial" w:hAnsi="Arial" w:cs="Arial"/>
      <w:kern w:val="0"/>
    </w:rPr>
  </w:style>
  <w:style w:type="paragraph" w:customStyle="1" w:styleId="2654">
    <w:name w:val="副标题1"/>
    <w:basedOn w:val="1"/>
    <w:uiPriority w:val="0"/>
    <w:pPr>
      <w:widowControl/>
      <w:snapToGrid/>
      <w:spacing w:beforeAutospacing="1" w:afterAutospacing="1" w:line="240" w:lineRule="auto"/>
      <w:ind w:firstLine="0" w:firstLineChars="0"/>
    </w:pPr>
    <w:rPr>
      <w:rFonts w:ascii="Arial" w:hAnsi="Arial" w:cs="Arial"/>
      <w:b/>
      <w:bCs/>
      <w:kern w:val="0"/>
      <w:sz w:val="17"/>
      <w:szCs w:val="17"/>
    </w:rPr>
  </w:style>
  <w:style w:type="paragraph" w:customStyle="1" w:styleId="2655">
    <w:name w:val="mainheader"/>
    <w:basedOn w:val="1"/>
    <w:uiPriority w:val="0"/>
    <w:pPr>
      <w:widowControl/>
      <w:snapToGrid/>
      <w:spacing w:beforeAutospacing="1" w:afterAutospacing="1" w:line="240" w:lineRule="auto"/>
      <w:ind w:firstLine="0" w:firstLineChars="0"/>
    </w:pPr>
    <w:rPr>
      <w:rFonts w:ascii="宋体" w:hAnsi="宋体" w:cs="宋体"/>
      <w:b/>
      <w:bCs/>
      <w:kern w:val="0"/>
      <w:sz w:val="31"/>
      <w:szCs w:val="31"/>
    </w:rPr>
  </w:style>
  <w:style w:type="paragraph" w:customStyle="1" w:styleId="2656">
    <w:name w:val="chapter"/>
    <w:basedOn w:val="1"/>
    <w:autoRedefine/>
    <w:qFormat/>
    <w:uiPriority w:val="0"/>
    <w:pPr>
      <w:widowControl/>
      <w:snapToGrid/>
      <w:spacing w:beforeAutospacing="1" w:afterAutospacing="1" w:line="240" w:lineRule="auto"/>
      <w:ind w:firstLine="0" w:firstLineChars="0"/>
    </w:pPr>
    <w:rPr>
      <w:rFonts w:ascii="Arial" w:hAnsi="Arial" w:cs="Arial"/>
      <w:b/>
      <w:bCs/>
      <w:kern w:val="0"/>
      <w:sz w:val="19"/>
      <w:szCs w:val="19"/>
    </w:rPr>
  </w:style>
  <w:style w:type="paragraph" w:customStyle="1" w:styleId="2657">
    <w:name w:val="subchapter"/>
    <w:basedOn w:val="1"/>
    <w:qFormat/>
    <w:uiPriority w:val="0"/>
    <w:pPr>
      <w:widowControl/>
      <w:snapToGrid/>
      <w:spacing w:beforeAutospacing="1" w:afterAutospacing="1" w:line="240" w:lineRule="auto"/>
      <w:ind w:firstLine="0" w:firstLineChars="0"/>
    </w:pPr>
    <w:rPr>
      <w:rFonts w:ascii="Arial" w:hAnsi="Arial" w:cs="Arial"/>
      <w:b/>
      <w:bCs/>
      <w:kern w:val="0"/>
      <w:sz w:val="17"/>
      <w:szCs w:val="17"/>
    </w:rPr>
  </w:style>
  <w:style w:type="paragraph" w:customStyle="1" w:styleId="2658">
    <w:name w:val="part"/>
    <w:basedOn w:val="1"/>
    <w:uiPriority w:val="0"/>
    <w:pPr>
      <w:widowControl/>
      <w:snapToGrid/>
      <w:spacing w:beforeAutospacing="1" w:afterAutospacing="1" w:line="240" w:lineRule="auto"/>
      <w:ind w:firstLine="0" w:firstLineChars="0"/>
    </w:pPr>
    <w:rPr>
      <w:rFonts w:ascii="宋体" w:hAnsi="宋体" w:cs="宋体"/>
      <w:b/>
      <w:bCs/>
      <w:kern w:val="0"/>
    </w:rPr>
  </w:style>
  <w:style w:type="paragraph" w:customStyle="1" w:styleId="2659">
    <w:name w:val="subpart"/>
    <w:basedOn w:val="1"/>
    <w:uiPriority w:val="0"/>
    <w:pPr>
      <w:widowControl/>
      <w:shd w:val="clear" w:color="auto" w:fill="FFFFFF"/>
      <w:snapToGrid/>
      <w:spacing w:beforeAutospacing="1" w:afterAutospacing="1" w:line="240" w:lineRule="auto"/>
      <w:ind w:firstLine="0" w:firstLineChars="0"/>
    </w:pPr>
    <w:rPr>
      <w:rFonts w:ascii="宋体" w:hAnsi="宋体" w:cs="宋体"/>
      <w:color w:val="0000FF"/>
      <w:kern w:val="0"/>
      <w:sz w:val="22"/>
      <w:szCs w:val="22"/>
    </w:rPr>
  </w:style>
  <w:style w:type="paragraph" w:customStyle="1" w:styleId="2660">
    <w:name w:val="nopart"/>
    <w:basedOn w:val="1"/>
    <w:uiPriority w:val="0"/>
    <w:pPr>
      <w:widowControl/>
      <w:shd w:val="clear" w:color="auto" w:fill="FFFFFF"/>
      <w:snapToGrid/>
      <w:spacing w:beforeAutospacing="1" w:afterAutospacing="1" w:line="240" w:lineRule="auto"/>
      <w:ind w:firstLine="0" w:firstLineChars="0"/>
    </w:pPr>
    <w:rPr>
      <w:rFonts w:ascii="宋体" w:hAnsi="宋体" w:cs="宋体"/>
      <w:color w:val="008000"/>
      <w:kern w:val="0"/>
    </w:rPr>
  </w:style>
  <w:style w:type="paragraph" w:customStyle="1" w:styleId="2661">
    <w:name w:val="reserved"/>
    <w:basedOn w:val="1"/>
    <w:autoRedefine/>
    <w:uiPriority w:val="0"/>
    <w:pPr>
      <w:widowControl/>
      <w:shd w:val="clear" w:color="auto" w:fill="FFFFFF"/>
      <w:snapToGrid/>
      <w:spacing w:beforeAutospacing="1" w:afterAutospacing="1" w:line="240" w:lineRule="auto"/>
      <w:ind w:firstLine="0" w:firstLineChars="0"/>
    </w:pPr>
    <w:rPr>
      <w:rFonts w:ascii="宋体" w:hAnsi="宋体" w:cs="宋体"/>
      <w:color w:val="FF0000"/>
      <w:kern w:val="0"/>
    </w:rPr>
  </w:style>
  <w:style w:type="paragraph" w:customStyle="1" w:styleId="2662">
    <w:name w:val="menu"/>
    <w:basedOn w:val="1"/>
    <w:uiPriority w:val="0"/>
    <w:pPr>
      <w:widowControl/>
      <w:snapToGrid/>
      <w:spacing w:beforeAutospacing="1" w:afterAutospacing="1" w:line="240" w:lineRule="auto"/>
      <w:ind w:firstLine="0" w:firstLineChars="0"/>
    </w:pPr>
    <w:rPr>
      <w:rFonts w:ascii="Arial" w:hAnsi="Arial" w:cs="Arial"/>
      <w:kern w:val="0"/>
      <w:sz w:val="14"/>
      <w:szCs w:val="14"/>
    </w:rPr>
  </w:style>
  <w:style w:type="paragraph" w:customStyle="1" w:styleId="2663">
    <w:name w:val="hilite"/>
    <w:basedOn w:val="1"/>
    <w:autoRedefine/>
    <w:uiPriority w:val="0"/>
    <w:pPr>
      <w:widowControl/>
      <w:snapToGrid/>
      <w:spacing w:beforeAutospacing="1" w:afterAutospacing="1" w:line="240" w:lineRule="auto"/>
      <w:ind w:firstLine="0" w:firstLineChars="0"/>
    </w:pPr>
    <w:rPr>
      <w:rFonts w:ascii="宋体" w:hAnsi="宋体" w:cs="宋体"/>
      <w:b/>
      <w:bCs/>
      <w:color w:val="CC0000"/>
      <w:kern w:val="0"/>
    </w:rPr>
  </w:style>
  <w:style w:type="paragraph" w:customStyle="1" w:styleId="2664">
    <w:name w:val="hang"/>
    <w:basedOn w:val="1"/>
    <w:uiPriority w:val="0"/>
    <w:pPr>
      <w:widowControl/>
      <w:snapToGrid/>
      <w:spacing w:beforeAutospacing="1" w:afterAutospacing="1" w:line="240" w:lineRule="auto"/>
      <w:ind w:hanging="480" w:firstLineChars="0"/>
    </w:pPr>
    <w:rPr>
      <w:rFonts w:ascii="宋体" w:hAnsi="宋体" w:cs="宋体"/>
      <w:kern w:val="0"/>
    </w:rPr>
  </w:style>
  <w:style w:type="paragraph" w:customStyle="1" w:styleId="2665">
    <w:name w:val="table_div"/>
    <w:basedOn w:val="1"/>
    <w:autoRedefine/>
    <w:uiPriority w:val="0"/>
    <w:pPr>
      <w:widowControl/>
      <w:pBdr>
        <w:top w:val="single" w:color="000000" w:sz="12" w:space="0"/>
        <w:left w:val="single" w:color="000000" w:sz="12" w:space="0"/>
        <w:bottom w:val="single" w:color="000000" w:sz="12" w:space="0"/>
        <w:right w:val="single" w:color="000000" w:sz="12" w:space="0"/>
      </w:pBdr>
      <w:snapToGrid/>
      <w:spacing w:beforeAutospacing="1" w:afterAutospacing="1" w:line="240" w:lineRule="auto"/>
      <w:ind w:firstLine="0" w:firstLineChars="0"/>
    </w:pPr>
    <w:rPr>
      <w:rFonts w:ascii="宋体" w:hAnsi="宋体" w:cs="宋体"/>
      <w:kern w:val="0"/>
    </w:rPr>
  </w:style>
  <w:style w:type="paragraph" w:customStyle="1" w:styleId="2666">
    <w:name w:val="table_cell"/>
    <w:basedOn w:val="1"/>
    <w:qFormat/>
    <w:uiPriority w:val="0"/>
    <w:pPr>
      <w:widowControl/>
      <w:pBdr>
        <w:top w:val="single" w:color="000000" w:sz="4" w:space="0"/>
        <w:left w:val="single" w:color="000000" w:sz="4" w:space="0"/>
        <w:bottom w:val="single" w:color="000000" w:sz="4" w:space="0"/>
        <w:right w:val="single" w:color="000000" w:sz="4" w:space="0"/>
      </w:pBdr>
      <w:snapToGrid/>
      <w:spacing w:beforeAutospacing="1" w:afterAutospacing="1" w:line="240" w:lineRule="auto"/>
      <w:ind w:firstLine="0" w:firstLineChars="0"/>
    </w:pPr>
    <w:rPr>
      <w:rFonts w:ascii="宋体" w:hAnsi="宋体" w:cs="宋体"/>
      <w:kern w:val="0"/>
    </w:rPr>
  </w:style>
  <w:style w:type="paragraph" w:customStyle="1" w:styleId="2667">
    <w:name w:val="table_colhed"/>
    <w:basedOn w:val="1"/>
    <w:autoRedefine/>
    <w:qFormat/>
    <w:uiPriority w:val="0"/>
    <w:pPr>
      <w:widowControl/>
      <w:pBdr>
        <w:top w:val="single" w:color="000000" w:sz="4" w:space="0"/>
        <w:left w:val="single" w:color="000000" w:sz="4" w:space="0"/>
        <w:bottom w:val="single" w:color="000000" w:sz="4" w:space="0"/>
        <w:right w:val="single" w:color="000000" w:sz="4" w:space="0"/>
      </w:pBdr>
      <w:snapToGrid/>
      <w:spacing w:beforeAutospacing="1" w:afterAutospacing="1" w:line="240" w:lineRule="auto"/>
      <w:ind w:firstLine="0" w:firstLineChars="0"/>
    </w:pPr>
    <w:rPr>
      <w:rFonts w:ascii="宋体" w:hAnsi="宋体" w:cs="宋体"/>
      <w:kern w:val="0"/>
    </w:rPr>
  </w:style>
  <w:style w:type="paragraph" w:customStyle="1" w:styleId="2668">
    <w:name w:val="表内标题栏"/>
    <w:basedOn w:val="1"/>
    <w:autoRedefine/>
    <w:qFormat/>
    <w:uiPriority w:val="0"/>
    <w:pPr>
      <w:snapToGrid/>
      <w:spacing w:line="300" w:lineRule="exact"/>
      <w:ind w:firstLine="0" w:firstLineChars="0"/>
      <w:jc w:val="center"/>
    </w:pPr>
    <w:rPr>
      <w:rFonts w:ascii="宋体"/>
    </w:rPr>
  </w:style>
  <w:style w:type="paragraph" w:customStyle="1" w:styleId="2669">
    <w:name w:val="标题2 Char Char Char"/>
    <w:basedOn w:val="1"/>
    <w:qFormat/>
    <w:uiPriority w:val="0"/>
    <w:pPr>
      <w:snapToGrid/>
      <w:spacing w:line="240" w:lineRule="auto"/>
      <w:ind w:firstLine="0" w:firstLineChars="0"/>
      <w:jc w:val="both"/>
    </w:pPr>
    <w:rPr>
      <w:sz w:val="30"/>
    </w:rPr>
  </w:style>
  <w:style w:type="paragraph" w:customStyle="1" w:styleId="2670">
    <w:name w:val="Char1 Char Char Char11"/>
    <w:basedOn w:val="1"/>
    <w:uiPriority w:val="0"/>
    <w:pPr>
      <w:snapToGrid/>
      <w:spacing w:line="240" w:lineRule="auto"/>
      <w:ind w:firstLine="0" w:firstLineChars="0"/>
      <w:jc w:val="both"/>
    </w:pPr>
    <w:rPr>
      <w:sz w:val="21"/>
    </w:rPr>
  </w:style>
  <w:style w:type="paragraph" w:customStyle="1" w:styleId="2671">
    <w:name w:val="样式 样式18 + 黑色"/>
    <w:basedOn w:val="1"/>
    <w:qFormat/>
    <w:uiPriority w:val="0"/>
    <w:pPr>
      <w:keepNext/>
      <w:keepLines/>
      <w:tabs>
        <w:tab w:val="left" w:pos="1800"/>
      </w:tabs>
      <w:overflowPunct w:val="0"/>
      <w:topLinePunct/>
      <w:autoSpaceDE w:val="0"/>
      <w:autoSpaceDN w:val="0"/>
      <w:adjustRightInd w:val="0"/>
      <w:spacing w:line="480" w:lineRule="exact"/>
      <w:ind w:firstLine="0" w:firstLineChars="0"/>
      <w:outlineLvl w:val="3"/>
    </w:pPr>
    <w:rPr>
      <w:rFonts w:hAnsi="宋体"/>
      <w:color w:val="000000"/>
      <w:kern w:val="0"/>
      <w:szCs w:val="20"/>
    </w:rPr>
  </w:style>
  <w:style w:type="paragraph" w:customStyle="1" w:styleId="2672">
    <w:name w:val="样式 样式11 + 黑色"/>
    <w:basedOn w:val="1"/>
    <w:uiPriority w:val="0"/>
    <w:pPr>
      <w:keepNext/>
      <w:keepLines/>
      <w:tabs>
        <w:tab w:val="left" w:pos="1256"/>
      </w:tabs>
      <w:overflowPunct w:val="0"/>
      <w:topLinePunct/>
      <w:autoSpaceDE w:val="0"/>
      <w:autoSpaceDN w:val="0"/>
      <w:adjustRightInd w:val="0"/>
      <w:spacing w:line="480" w:lineRule="atLeast"/>
      <w:ind w:left="-31" w:firstLine="567" w:firstLineChars="0"/>
      <w:outlineLvl w:val="2"/>
    </w:pPr>
    <w:rPr>
      <w:rFonts w:eastAsia="黑体"/>
      <w:color w:val="000000"/>
      <w:kern w:val="0"/>
      <w:szCs w:val="20"/>
    </w:rPr>
  </w:style>
  <w:style w:type="paragraph" w:customStyle="1" w:styleId="2673">
    <w:name w:val="样式 样式 样式 样式 样式 样式 样式 样式9 + 段前: 0.5 行 段后: 0.5 行 + 段前: 1 行 段后: 0.5..."/>
    <w:basedOn w:val="1"/>
    <w:autoRedefine/>
    <w:qFormat/>
    <w:uiPriority w:val="0"/>
    <w:pPr>
      <w:keepNext/>
      <w:keepLines/>
      <w:tabs>
        <w:tab w:val="left" w:pos="927"/>
      </w:tabs>
      <w:snapToGrid/>
      <w:spacing w:beforeLines="100" w:line="480" w:lineRule="exact"/>
      <w:ind w:firstLine="567" w:firstLineChars="0"/>
      <w:outlineLvl w:val="1"/>
    </w:pPr>
    <w:rPr>
      <w:rFonts w:ascii="Arial" w:hAnsi="Arial" w:eastAsia="黑体"/>
      <w:color w:val="000000"/>
      <w:spacing w:val="6"/>
      <w:sz w:val="28"/>
      <w:szCs w:val="20"/>
    </w:rPr>
  </w:style>
  <w:style w:type="paragraph" w:customStyle="1" w:styleId="2674">
    <w:name w:val="SCIDI环评表格"/>
    <w:basedOn w:val="1"/>
    <w:autoRedefine/>
    <w:qFormat/>
    <w:uiPriority w:val="0"/>
    <w:pPr>
      <w:adjustRightInd w:val="0"/>
      <w:spacing w:line="240" w:lineRule="auto"/>
      <w:ind w:firstLine="0" w:firstLineChars="0"/>
      <w:jc w:val="center"/>
    </w:pPr>
    <w:rPr>
      <w:kern w:val="0"/>
      <w:sz w:val="21"/>
      <w:szCs w:val="21"/>
    </w:rPr>
  </w:style>
  <w:style w:type="paragraph" w:customStyle="1" w:styleId="2675">
    <w:name w:val="样式 样式2 + (符号) 宋体 Char"/>
    <w:basedOn w:val="1"/>
    <w:autoRedefine/>
    <w:uiPriority w:val="0"/>
    <w:pPr>
      <w:adjustRightInd w:val="0"/>
      <w:spacing w:line="440" w:lineRule="exact"/>
      <w:jc w:val="both"/>
    </w:pPr>
    <w:rPr>
      <w:szCs w:val="28"/>
    </w:rPr>
  </w:style>
  <w:style w:type="paragraph" w:customStyle="1" w:styleId="2676">
    <w:name w:val="样式 表格文字 + 居中 首行缩进:  2 字符"/>
    <w:basedOn w:val="185"/>
    <w:qFormat/>
    <w:uiPriority w:val="0"/>
    <w:pPr>
      <w:widowControl w:val="0"/>
      <w:tabs>
        <w:tab w:val="left" w:pos="1960"/>
      </w:tabs>
      <w:spacing w:line="400" w:lineRule="exact"/>
    </w:pPr>
    <w:rPr>
      <w:rFonts w:eastAsia="仿宋_GB2312"/>
      <w:kern w:val="24"/>
      <w:sz w:val="24"/>
      <w:szCs w:val="20"/>
    </w:rPr>
  </w:style>
  <w:style w:type="paragraph" w:customStyle="1" w:styleId="2677">
    <w:name w:val="样式 表格文字 + 首行缩进:  2 字符"/>
    <w:basedOn w:val="185"/>
    <w:qFormat/>
    <w:uiPriority w:val="0"/>
    <w:pPr>
      <w:widowControl w:val="0"/>
      <w:tabs>
        <w:tab w:val="left" w:pos="1960"/>
      </w:tabs>
      <w:spacing w:line="400" w:lineRule="exact"/>
      <w:jc w:val="both"/>
    </w:pPr>
    <w:rPr>
      <w:rFonts w:eastAsia="仿宋_GB2312"/>
      <w:kern w:val="24"/>
      <w:sz w:val="24"/>
      <w:szCs w:val="20"/>
    </w:rPr>
  </w:style>
  <w:style w:type="paragraph" w:customStyle="1" w:styleId="2678">
    <w:name w:val="表——索引"/>
    <w:basedOn w:val="1"/>
    <w:autoRedefine/>
    <w:qFormat/>
    <w:uiPriority w:val="0"/>
    <w:pPr>
      <w:widowControl/>
      <w:snapToGrid/>
      <w:ind w:firstLine="0" w:firstLineChars="0"/>
      <w:jc w:val="center"/>
    </w:pPr>
    <w:rPr>
      <w:rFonts w:ascii="宋体" w:hAnsi="宋体"/>
      <w:color w:val="000000"/>
    </w:rPr>
  </w:style>
  <w:style w:type="paragraph" w:customStyle="1" w:styleId="2679">
    <w:name w:val="标题 B"/>
    <w:basedOn w:val="4"/>
    <w:autoRedefine/>
    <w:qFormat/>
    <w:uiPriority w:val="0"/>
    <w:pPr>
      <w:keepNext/>
      <w:keepLines/>
      <w:numPr>
        <w:ilvl w:val="0"/>
        <w:numId w:val="0"/>
      </w:numPr>
      <w:tabs>
        <w:tab w:val="left" w:pos="927"/>
        <w:tab w:val="left" w:pos="1134"/>
      </w:tabs>
      <w:adjustRightInd w:val="0"/>
      <w:snapToGrid/>
      <w:spacing w:before="260" w:after="260" w:afterLines="0" w:line="400" w:lineRule="exact"/>
      <w:jc w:val="center"/>
      <w:outlineLvl w:val="9"/>
    </w:pPr>
    <w:rPr>
      <w:rFonts w:ascii="Arial Rounded MT Bold" w:hAnsi="Arial Rounded MT Bold" w:eastAsia="黑体"/>
      <w:b w:val="0"/>
      <w:bCs w:val="0"/>
      <w:color w:val="000000"/>
      <w:spacing w:val="8"/>
      <w:kern w:val="0"/>
      <w:sz w:val="32"/>
      <w:szCs w:val="20"/>
    </w:rPr>
  </w:style>
  <w:style w:type="character" w:customStyle="1" w:styleId="2680">
    <w:name w:val="表体 Char"/>
    <w:link w:val="198"/>
    <w:qFormat/>
    <w:locked/>
    <w:uiPriority w:val="0"/>
    <w:rPr>
      <w:rFonts w:ascii="宋体" w:hAnsi="宋体"/>
      <w:color w:val="FF0000"/>
      <w:kern w:val="2"/>
      <w:sz w:val="21"/>
      <w:szCs w:val="21"/>
    </w:rPr>
  </w:style>
  <w:style w:type="paragraph" w:customStyle="1" w:styleId="2681">
    <w:name w:val="Char Char1 Char Char1 Char Char1 Char Char1 Char Char Char Char Char Char Char"/>
    <w:basedOn w:val="1"/>
    <w:qFormat/>
    <w:uiPriority w:val="0"/>
    <w:pPr>
      <w:snapToGrid/>
      <w:spacing w:line="240" w:lineRule="auto"/>
      <w:ind w:firstLine="0" w:firstLineChars="0"/>
      <w:jc w:val="both"/>
    </w:pPr>
    <w:rPr>
      <w:rFonts w:ascii="Tahoma" w:hAnsi="Tahoma"/>
    </w:rPr>
  </w:style>
  <w:style w:type="paragraph" w:customStyle="1" w:styleId="2682">
    <w:name w:val="Char Char7 Char Char Char Char Char Char"/>
    <w:basedOn w:val="5"/>
    <w:qFormat/>
    <w:uiPriority w:val="0"/>
    <w:pPr>
      <w:keepNext/>
      <w:keepLines/>
      <w:numPr>
        <w:ilvl w:val="0"/>
        <w:numId w:val="0"/>
      </w:numPr>
      <w:tabs>
        <w:tab w:val="left" w:pos="360"/>
        <w:tab w:val="left" w:pos="900"/>
      </w:tabs>
      <w:spacing w:before="260" w:beforeLines="0" w:after="260" w:afterLines="0"/>
      <w:ind w:left="-12" w:leftChars="-12" w:firstLine="200" w:firstLineChars="200"/>
    </w:pPr>
    <w:rPr>
      <w:rFonts w:eastAsia="黑体"/>
      <w:bCs w:val="0"/>
      <w:kern w:val="0"/>
      <w:szCs w:val="20"/>
    </w:rPr>
  </w:style>
  <w:style w:type="character" w:customStyle="1" w:styleId="2683">
    <w:name w:val="样式 正文文本缩进 2正文文字缩进 2 + 自动设置 Char Char"/>
    <w:link w:val="2684"/>
    <w:qFormat/>
    <w:locked/>
    <w:uiPriority w:val="0"/>
    <w:rPr>
      <w:rFonts w:ascii="宋体" w:hAnsi="宋体"/>
      <w:sz w:val="24"/>
    </w:rPr>
  </w:style>
  <w:style w:type="paragraph" w:customStyle="1" w:styleId="2684">
    <w:name w:val="样式 正文文本缩进 2正文文字缩进 2 + 自动设置 Char"/>
    <w:basedOn w:val="1"/>
    <w:link w:val="2683"/>
    <w:qFormat/>
    <w:uiPriority w:val="0"/>
    <w:pPr>
      <w:tabs>
        <w:tab w:val="left" w:pos="4500"/>
      </w:tabs>
      <w:spacing w:line="440" w:lineRule="exact"/>
      <w:ind w:firstLine="420"/>
      <w:jc w:val="both"/>
    </w:pPr>
    <w:rPr>
      <w:rFonts w:ascii="宋体" w:hAnsi="宋体"/>
      <w:kern w:val="0"/>
      <w:szCs w:val="20"/>
    </w:rPr>
  </w:style>
  <w:style w:type="paragraph" w:customStyle="1" w:styleId="2685">
    <w:name w:val="标题三"/>
    <w:basedOn w:val="5"/>
    <w:qFormat/>
    <w:uiPriority w:val="0"/>
    <w:pPr>
      <w:keepNext/>
      <w:keepLines/>
      <w:numPr>
        <w:ilvl w:val="0"/>
        <w:numId w:val="0"/>
      </w:numPr>
      <w:tabs>
        <w:tab w:val="left" w:pos="4500"/>
      </w:tabs>
      <w:spacing w:before="260" w:beforeLines="0" w:after="260" w:afterLines="0" w:line="440" w:lineRule="atLeast"/>
      <w:ind w:firstLine="200" w:firstLineChars="200"/>
      <w:jc w:val="both"/>
    </w:pPr>
    <w:rPr>
      <w:rFonts w:ascii="宋体" w:hAnsi="宋体"/>
      <w:bCs w:val="0"/>
      <w:kern w:val="0"/>
      <w:szCs w:val="20"/>
    </w:rPr>
  </w:style>
  <w:style w:type="paragraph" w:customStyle="1" w:styleId="2686">
    <w:name w:val="Char2 Char Char Char Char Char Char Char"/>
    <w:basedOn w:val="1"/>
    <w:qFormat/>
    <w:uiPriority w:val="0"/>
    <w:pPr>
      <w:autoSpaceDE w:val="0"/>
      <w:autoSpaceDN w:val="0"/>
      <w:adjustRightInd w:val="0"/>
      <w:ind w:firstLine="560"/>
      <w:jc w:val="both"/>
    </w:pPr>
    <w:rPr>
      <w:rFonts w:eastAsia="仿宋_GB2312"/>
      <w:color w:val="000000"/>
      <w:szCs w:val="20"/>
    </w:rPr>
  </w:style>
  <w:style w:type="paragraph" w:customStyle="1" w:styleId="2687">
    <w:name w:val="标题二"/>
    <w:basedOn w:val="1"/>
    <w:qFormat/>
    <w:uiPriority w:val="0"/>
    <w:pPr>
      <w:keepNext/>
      <w:keepLines/>
      <w:tabs>
        <w:tab w:val="left" w:pos="4500"/>
      </w:tabs>
      <w:spacing w:line="440" w:lineRule="atLeast"/>
      <w:ind w:firstLine="0" w:firstLineChars="0"/>
      <w:jc w:val="both"/>
      <w:outlineLvl w:val="1"/>
    </w:pPr>
    <w:rPr>
      <w:rFonts w:ascii="宋体" w:hAnsi="宋体"/>
      <w:b/>
      <w:color w:val="000000"/>
      <w:sz w:val="30"/>
      <w:szCs w:val="20"/>
    </w:rPr>
  </w:style>
  <w:style w:type="paragraph" w:customStyle="1" w:styleId="2688">
    <w:name w:val="正文（1）"/>
    <w:basedOn w:val="21"/>
    <w:next w:val="86"/>
    <w:qFormat/>
    <w:uiPriority w:val="0"/>
    <w:pPr>
      <w:widowControl/>
      <w:adjustRightInd w:val="0"/>
      <w:snapToGrid w:val="0"/>
      <w:spacing w:line="480" w:lineRule="atLeast"/>
      <w:ind w:firstLine="480"/>
    </w:pPr>
    <w:rPr>
      <w:rFonts w:hAnsi="宋体"/>
      <w:kern w:val="0"/>
    </w:rPr>
  </w:style>
  <w:style w:type="paragraph" w:customStyle="1" w:styleId="2689">
    <w:name w:val="节标"/>
    <w:basedOn w:val="1"/>
    <w:qFormat/>
    <w:uiPriority w:val="0"/>
    <w:pPr>
      <w:widowControl/>
      <w:autoSpaceDE w:val="0"/>
      <w:autoSpaceDN w:val="0"/>
      <w:adjustRightInd w:val="0"/>
      <w:snapToGrid/>
      <w:spacing w:line="480" w:lineRule="exact"/>
      <w:ind w:firstLine="567" w:firstLineChars="0"/>
      <w:jc w:val="center"/>
    </w:pPr>
    <w:rPr>
      <w:b/>
      <w:kern w:val="0"/>
      <w:sz w:val="30"/>
      <w:szCs w:val="20"/>
    </w:rPr>
  </w:style>
  <w:style w:type="paragraph" w:customStyle="1" w:styleId="2690">
    <w:name w:val="Achievement"/>
    <w:basedOn w:val="34"/>
    <w:qFormat/>
    <w:uiPriority w:val="0"/>
    <w:pPr>
      <w:tabs>
        <w:tab w:val="left" w:pos="960"/>
      </w:tabs>
      <w:snapToGrid/>
      <w:spacing w:before="0" w:after="120" w:line="220" w:lineRule="atLeast"/>
      <w:ind w:left="960" w:right="-360" w:hanging="960" w:firstLineChars="0"/>
    </w:pPr>
    <w:rPr>
      <w:rFonts w:eastAsia="Times New Roman"/>
      <w:sz w:val="20"/>
      <w:szCs w:val="24"/>
    </w:rPr>
  </w:style>
  <w:style w:type="paragraph" w:customStyle="1" w:styleId="2691">
    <w:name w:val="条(三级)"/>
    <w:basedOn w:val="2692"/>
    <w:next w:val="1"/>
    <w:qFormat/>
    <w:uiPriority w:val="0"/>
    <w:pPr>
      <w:tabs>
        <w:tab w:val="left" w:pos="0"/>
      </w:tabs>
    </w:pPr>
    <w:rPr>
      <w:b w:val="0"/>
    </w:rPr>
  </w:style>
  <w:style w:type="paragraph" w:customStyle="1" w:styleId="2692">
    <w:name w:val="条(二级)"/>
    <w:basedOn w:val="4"/>
    <w:next w:val="2691"/>
    <w:qFormat/>
    <w:uiPriority w:val="0"/>
    <w:pPr>
      <w:keepNext/>
      <w:keepLines/>
      <w:numPr>
        <w:ilvl w:val="0"/>
        <w:numId w:val="0"/>
      </w:numPr>
      <w:tabs>
        <w:tab w:val="left" w:pos="927"/>
        <w:tab w:val="left" w:pos="1134"/>
      </w:tabs>
      <w:adjustRightInd w:val="0"/>
      <w:snapToGrid/>
      <w:spacing w:before="260" w:beforeLines="0" w:after="260" w:afterLines="0" w:line="460" w:lineRule="exact"/>
      <w:outlineLvl w:val="9"/>
    </w:pPr>
    <w:rPr>
      <w:rFonts w:ascii="宋体" w:hAnsi="Arial"/>
      <w:bCs w:val="0"/>
      <w:spacing w:val="3"/>
      <w:kern w:val="24"/>
      <w:sz w:val="24"/>
      <w:szCs w:val="20"/>
    </w:rPr>
  </w:style>
  <w:style w:type="paragraph" w:customStyle="1" w:styleId="2693">
    <w:name w:val="条(四级)"/>
    <w:basedOn w:val="1"/>
    <w:next w:val="1"/>
    <w:qFormat/>
    <w:uiPriority w:val="0"/>
    <w:pPr>
      <w:keepNext/>
      <w:keepLines/>
      <w:widowControl/>
      <w:autoSpaceDE w:val="0"/>
      <w:autoSpaceDN w:val="0"/>
      <w:adjustRightInd w:val="0"/>
      <w:snapToGrid/>
      <w:spacing w:line="460" w:lineRule="exact"/>
      <w:ind w:firstLine="0" w:firstLineChars="0"/>
    </w:pPr>
    <w:rPr>
      <w:rFonts w:ascii="宋体" w:hAnsi="Arial"/>
      <w:spacing w:val="3"/>
      <w:kern w:val="24"/>
      <w:sz w:val="26"/>
      <w:szCs w:val="20"/>
    </w:rPr>
  </w:style>
  <w:style w:type="paragraph" w:customStyle="1" w:styleId="2694">
    <w:name w:val="条文1"/>
    <w:basedOn w:val="1"/>
    <w:qFormat/>
    <w:uiPriority w:val="0"/>
    <w:pPr>
      <w:widowControl/>
      <w:autoSpaceDE w:val="0"/>
      <w:autoSpaceDN w:val="0"/>
      <w:adjustRightInd w:val="0"/>
      <w:snapToGrid/>
      <w:spacing w:line="460" w:lineRule="exact"/>
      <w:ind w:left="907" w:hanging="425" w:firstLineChars="0"/>
      <w:jc w:val="both"/>
    </w:pPr>
    <w:rPr>
      <w:rFonts w:ascii="宋体" w:hAnsi="Century Schoolbook"/>
      <w:spacing w:val="3"/>
      <w:kern w:val="24"/>
      <w:sz w:val="26"/>
      <w:szCs w:val="20"/>
    </w:rPr>
  </w:style>
  <w:style w:type="paragraph" w:customStyle="1" w:styleId="2695">
    <w:name w:val="Personal Info"/>
    <w:basedOn w:val="2690"/>
    <w:qFormat/>
    <w:uiPriority w:val="0"/>
    <w:pPr>
      <w:tabs>
        <w:tab w:val="left" w:pos="425"/>
        <w:tab w:val="clear" w:pos="960"/>
      </w:tabs>
      <w:spacing w:before="220"/>
      <w:ind w:left="425" w:hanging="425"/>
    </w:pPr>
    <w:rPr>
      <w:szCs w:val="20"/>
    </w:rPr>
  </w:style>
  <w:style w:type="paragraph" w:customStyle="1" w:styleId="2696">
    <w:name w:val="Address 1"/>
    <w:basedOn w:val="1"/>
    <w:qFormat/>
    <w:uiPriority w:val="0"/>
    <w:pPr>
      <w:framePr w:w="2400" w:wrap="notBeside" w:vAnchor="page" w:hAnchor="page" w:x="8065" w:y="1009" w:anchorLock="1"/>
      <w:widowControl/>
      <w:snapToGrid/>
      <w:spacing w:line="200" w:lineRule="atLeast"/>
      <w:ind w:firstLine="0" w:firstLineChars="0"/>
    </w:pPr>
    <w:rPr>
      <w:kern w:val="0"/>
      <w:sz w:val="16"/>
      <w:szCs w:val="20"/>
    </w:rPr>
  </w:style>
  <w:style w:type="paragraph" w:customStyle="1" w:styleId="2697">
    <w:name w:val="Address 2"/>
    <w:basedOn w:val="1"/>
    <w:uiPriority w:val="0"/>
    <w:pPr>
      <w:framePr w:w="2405" w:wrap="notBeside" w:vAnchor="page" w:hAnchor="page" w:x="5761" w:y="1009" w:anchorLock="1"/>
      <w:widowControl/>
      <w:snapToGrid/>
      <w:spacing w:line="200" w:lineRule="atLeast"/>
      <w:ind w:firstLine="0" w:firstLineChars="0"/>
    </w:pPr>
    <w:rPr>
      <w:kern w:val="0"/>
      <w:sz w:val="16"/>
      <w:szCs w:val="20"/>
    </w:rPr>
  </w:style>
  <w:style w:type="paragraph" w:customStyle="1" w:styleId="2698">
    <w:name w:val="City/State"/>
    <w:basedOn w:val="34"/>
    <w:next w:val="34"/>
    <w:uiPriority w:val="0"/>
    <w:pPr>
      <w:keepNext/>
      <w:snapToGrid/>
      <w:spacing w:before="0" w:after="120" w:line="220" w:lineRule="atLeast"/>
      <w:ind w:right="-360" w:firstLine="0" w:firstLineChars="0"/>
    </w:pPr>
    <w:rPr>
      <w:rFonts w:eastAsia="Times New Roman"/>
      <w:sz w:val="20"/>
    </w:rPr>
  </w:style>
  <w:style w:type="paragraph" w:customStyle="1" w:styleId="2699">
    <w:name w:val="Company Name"/>
    <w:basedOn w:val="1"/>
    <w:next w:val="1"/>
    <w:uiPriority w:val="0"/>
    <w:pPr>
      <w:widowControl/>
      <w:tabs>
        <w:tab w:val="left" w:pos="2160"/>
        <w:tab w:val="right" w:pos="6480"/>
      </w:tabs>
      <w:snapToGrid/>
      <w:spacing w:line="220" w:lineRule="atLeast"/>
      <w:ind w:right="-360" w:firstLine="0" w:firstLineChars="0"/>
    </w:pPr>
    <w:rPr>
      <w:kern w:val="0"/>
      <w:sz w:val="20"/>
      <w:szCs w:val="20"/>
    </w:rPr>
  </w:style>
  <w:style w:type="paragraph" w:customStyle="1" w:styleId="2700">
    <w:name w:val="Company Name One"/>
    <w:basedOn w:val="2699"/>
    <w:next w:val="1"/>
    <w:autoRedefine/>
    <w:qFormat/>
    <w:uiPriority w:val="0"/>
  </w:style>
  <w:style w:type="paragraph" w:customStyle="1" w:styleId="2701">
    <w:name w:val="Document Label"/>
    <w:basedOn w:val="1"/>
    <w:next w:val="1"/>
    <w:uiPriority w:val="0"/>
    <w:pPr>
      <w:widowControl/>
      <w:snapToGrid/>
      <w:spacing w:line="240" w:lineRule="auto"/>
      <w:ind w:right="-360" w:firstLine="0" w:firstLineChars="0"/>
    </w:pPr>
    <w:rPr>
      <w:spacing w:val="-20"/>
      <w:kern w:val="0"/>
      <w:sz w:val="48"/>
      <w:szCs w:val="20"/>
    </w:rPr>
  </w:style>
  <w:style w:type="paragraph" w:customStyle="1" w:styleId="2702">
    <w:name w:val="Header Base"/>
    <w:basedOn w:val="1"/>
    <w:autoRedefine/>
    <w:qFormat/>
    <w:uiPriority w:val="0"/>
    <w:pPr>
      <w:widowControl/>
      <w:snapToGrid/>
      <w:spacing w:line="240" w:lineRule="auto"/>
      <w:ind w:right="-360" w:firstLine="0" w:firstLineChars="0"/>
    </w:pPr>
    <w:rPr>
      <w:kern w:val="0"/>
      <w:sz w:val="20"/>
      <w:szCs w:val="20"/>
    </w:rPr>
  </w:style>
  <w:style w:type="paragraph" w:customStyle="1" w:styleId="2703">
    <w:name w:val="Heading Base"/>
    <w:basedOn w:val="34"/>
    <w:next w:val="34"/>
    <w:autoRedefine/>
    <w:qFormat/>
    <w:uiPriority w:val="0"/>
    <w:pPr>
      <w:keepNext/>
      <w:keepLines/>
      <w:snapToGrid/>
      <w:spacing w:before="0" w:after="120" w:line="220" w:lineRule="atLeast"/>
      <w:ind w:right="-360" w:firstLine="0" w:firstLineChars="0"/>
    </w:pPr>
    <w:rPr>
      <w:rFonts w:ascii="Arial" w:hAnsi="Arial" w:eastAsia="Times New Roman"/>
      <w:spacing w:val="-4"/>
    </w:rPr>
  </w:style>
  <w:style w:type="paragraph" w:customStyle="1" w:styleId="2704">
    <w:name w:val="Institution"/>
    <w:basedOn w:val="1"/>
    <w:next w:val="2690"/>
    <w:uiPriority w:val="0"/>
    <w:pPr>
      <w:widowControl/>
      <w:tabs>
        <w:tab w:val="left" w:pos="2160"/>
        <w:tab w:val="right" w:pos="6480"/>
      </w:tabs>
      <w:snapToGrid/>
      <w:spacing w:line="220" w:lineRule="atLeast"/>
      <w:ind w:right="-360" w:firstLine="0" w:firstLineChars="0"/>
    </w:pPr>
    <w:rPr>
      <w:kern w:val="0"/>
      <w:sz w:val="20"/>
      <w:szCs w:val="20"/>
    </w:rPr>
  </w:style>
  <w:style w:type="paragraph" w:customStyle="1" w:styleId="2705">
    <w:name w:val="Job Title"/>
    <w:next w:val="2690"/>
    <w:qFormat/>
    <w:uiPriority w:val="0"/>
    <w:pPr>
      <w:spacing w:after="40" w:line="220" w:lineRule="atLeast"/>
    </w:pPr>
    <w:rPr>
      <w:rFonts w:ascii="Arial" w:hAnsi="Arial" w:eastAsia="宋体" w:cs="Times New Roman"/>
      <w:b/>
      <w:spacing w:val="-10"/>
      <w:lang w:val="en-US" w:eastAsia="zh-CN" w:bidi="ar-SA"/>
    </w:rPr>
  </w:style>
  <w:style w:type="paragraph" w:customStyle="1" w:styleId="2706">
    <w:name w:val="Name"/>
    <w:basedOn w:val="1"/>
    <w:next w:val="1"/>
    <w:qFormat/>
    <w:uiPriority w:val="0"/>
    <w:pPr>
      <w:widowControl/>
      <w:snapToGrid/>
      <w:spacing w:line="240" w:lineRule="atLeast"/>
      <w:ind w:left="2160" w:firstLine="0" w:firstLineChars="0"/>
    </w:pPr>
    <w:rPr>
      <w:spacing w:val="-20"/>
      <w:kern w:val="0"/>
      <w:sz w:val="48"/>
      <w:szCs w:val="20"/>
    </w:rPr>
  </w:style>
  <w:style w:type="paragraph" w:customStyle="1" w:styleId="2707">
    <w:name w:val="No Title"/>
    <w:basedOn w:val="1"/>
    <w:uiPriority w:val="0"/>
    <w:pPr>
      <w:widowControl/>
      <w:pBdr>
        <w:top w:val="single" w:color="FFFFFF" w:sz="6" w:space="2"/>
        <w:left w:val="single" w:color="FFFFFF" w:sz="6" w:space="2"/>
        <w:bottom w:val="single" w:color="FFFFFF" w:sz="6" w:space="2"/>
        <w:right w:val="single" w:color="FFFFFF" w:sz="6" w:space="2"/>
      </w:pBdr>
      <w:snapToGrid/>
      <w:spacing w:line="280" w:lineRule="atLeast"/>
      <w:ind w:firstLine="0" w:firstLineChars="0"/>
    </w:pPr>
    <w:rPr>
      <w:rFonts w:ascii="Arial" w:hAnsi="Arial"/>
      <w:b/>
      <w:spacing w:val="-10"/>
      <w:kern w:val="0"/>
      <w:position w:val="7"/>
      <w:sz w:val="20"/>
      <w:szCs w:val="20"/>
    </w:rPr>
  </w:style>
  <w:style w:type="paragraph" w:customStyle="1" w:styleId="2708">
    <w:name w:val="Objective"/>
    <w:basedOn w:val="1"/>
    <w:next w:val="34"/>
    <w:qFormat/>
    <w:uiPriority w:val="0"/>
    <w:pPr>
      <w:widowControl/>
      <w:snapToGrid/>
      <w:spacing w:line="220" w:lineRule="atLeast"/>
      <w:ind w:firstLine="0" w:firstLineChars="0"/>
    </w:pPr>
    <w:rPr>
      <w:kern w:val="0"/>
      <w:sz w:val="20"/>
      <w:szCs w:val="20"/>
    </w:rPr>
  </w:style>
  <w:style w:type="paragraph" w:customStyle="1" w:styleId="2709">
    <w:name w:val="Section Subtitle"/>
    <w:basedOn w:val="4"/>
    <w:next w:val="1"/>
    <w:qFormat/>
    <w:uiPriority w:val="0"/>
    <w:pPr>
      <w:widowControl/>
      <w:numPr>
        <w:ilvl w:val="0"/>
        <w:numId w:val="0"/>
      </w:numPr>
      <w:pBdr>
        <w:left w:val="single" w:color="FFFFFF" w:sz="6" w:space="2"/>
        <w:bottom w:val="single" w:color="FFFFFF" w:sz="6" w:space="2"/>
        <w:right w:val="single" w:color="FFFFFF" w:sz="6" w:space="2"/>
      </w:pBdr>
      <w:shd w:val="pct10" w:color="auto" w:fill="auto"/>
      <w:snapToGrid/>
      <w:spacing w:before="260" w:beforeLines="0" w:after="260" w:afterLines="0" w:line="280" w:lineRule="atLeast"/>
      <w:outlineLvl w:val="9"/>
    </w:pPr>
    <w:rPr>
      <w:rFonts w:ascii="Arial" w:hAnsi="Arial"/>
      <w:b w:val="0"/>
      <w:bCs w:val="0"/>
      <w:kern w:val="0"/>
      <w:position w:val="6"/>
      <w:sz w:val="20"/>
      <w:szCs w:val="20"/>
    </w:rPr>
  </w:style>
  <w:style w:type="paragraph" w:customStyle="1" w:styleId="2710">
    <w:name w:val="章(一级)"/>
    <w:basedOn w:val="3"/>
    <w:next w:val="2692"/>
    <w:autoRedefine/>
    <w:qFormat/>
    <w:uiPriority w:val="0"/>
    <w:pPr>
      <w:keepNext/>
      <w:keepLines/>
      <w:numPr>
        <w:numId w:val="0"/>
      </w:numPr>
      <w:tabs>
        <w:tab w:val="left" w:pos="1134"/>
      </w:tabs>
      <w:overflowPunct/>
      <w:adjustRightInd w:val="0"/>
      <w:snapToGrid/>
      <w:spacing w:before="340" w:after="330" w:line="460" w:lineRule="exact"/>
      <w:jc w:val="left"/>
      <w:outlineLvl w:val="9"/>
    </w:pPr>
    <w:rPr>
      <w:rFonts w:ascii="宋体" w:hAnsi="Arial" w:eastAsia="宋体"/>
      <w:bCs w:val="0"/>
      <w:snapToGrid/>
      <w:color w:val="auto"/>
      <w:kern w:val="24"/>
      <w:sz w:val="24"/>
      <w:szCs w:val="20"/>
    </w:rPr>
  </w:style>
  <w:style w:type="paragraph" w:customStyle="1" w:styleId="2711">
    <w:name w:val="档案号"/>
    <w:basedOn w:val="57"/>
    <w:qFormat/>
    <w:uiPriority w:val="0"/>
    <w:pPr>
      <w:pBdr>
        <w:bottom w:val="none" w:color="auto" w:sz="0" w:space="0"/>
      </w:pBdr>
      <w:tabs>
        <w:tab w:val="center" w:pos="4320"/>
        <w:tab w:val="right" w:pos="8640"/>
        <w:tab w:val="clear" w:pos="4153"/>
        <w:tab w:val="clear" w:pos="8306"/>
      </w:tabs>
      <w:adjustRightInd w:val="0"/>
      <w:snapToGrid/>
      <w:spacing w:line="460" w:lineRule="exact"/>
      <w:ind w:firstLine="0" w:firstLineChars="0"/>
      <w:jc w:val="right"/>
    </w:pPr>
    <w:rPr>
      <w:rFonts w:ascii="宋体" w:hAnsi="Arial" w:eastAsia="Times New Roman"/>
      <w:spacing w:val="3"/>
      <w:kern w:val="24"/>
      <w:sz w:val="24"/>
    </w:rPr>
  </w:style>
  <w:style w:type="paragraph" w:customStyle="1" w:styleId="2712">
    <w:name w:val="页号"/>
    <w:basedOn w:val="55"/>
    <w:qFormat/>
    <w:uiPriority w:val="0"/>
    <w:pPr>
      <w:tabs>
        <w:tab w:val="center" w:pos="4320"/>
        <w:tab w:val="right" w:pos="8640"/>
        <w:tab w:val="clear" w:pos="4153"/>
        <w:tab w:val="clear" w:pos="8306"/>
      </w:tabs>
      <w:adjustRightInd w:val="0"/>
      <w:snapToGrid/>
      <w:spacing w:line="240" w:lineRule="auto"/>
      <w:ind w:firstLine="0" w:firstLineChars="0"/>
      <w:jc w:val="center"/>
    </w:pPr>
    <w:rPr>
      <w:rFonts w:ascii="宋体" w:hAnsi="Arial" w:eastAsia="Times New Roman"/>
      <w:spacing w:val="3"/>
      <w:kern w:val="24"/>
      <w:sz w:val="24"/>
    </w:rPr>
  </w:style>
  <w:style w:type="paragraph" w:customStyle="1" w:styleId="2713">
    <w:name w:val="sms"/>
    <w:basedOn w:val="1"/>
    <w:qFormat/>
    <w:uiPriority w:val="0"/>
    <w:pPr>
      <w:widowControl/>
      <w:overflowPunct w:val="0"/>
      <w:autoSpaceDE w:val="0"/>
      <w:autoSpaceDN w:val="0"/>
      <w:adjustRightInd w:val="0"/>
      <w:snapToGrid/>
      <w:ind w:left="2126" w:right="992" w:firstLine="709" w:firstLineChars="0"/>
    </w:pPr>
    <w:rPr>
      <w:rFonts w:ascii="宋体"/>
      <w:spacing w:val="20"/>
      <w:kern w:val="0"/>
      <w:sz w:val="26"/>
      <w:szCs w:val="20"/>
    </w:rPr>
  </w:style>
  <w:style w:type="paragraph" w:customStyle="1" w:styleId="2714">
    <w:name w:val="zxl正文首行缩进  2 字符 行距: Char Char"/>
    <w:basedOn w:val="1"/>
    <w:qFormat/>
    <w:uiPriority w:val="0"/>
    <w:pPr>
      <w:widowControl/>
      <w:tabs>
        <w:tab w:val="left" w:pos="-1843"/>
        <w:tab w:val="left" w:pos="0"/>
        <w:tab w:val="left" w:pos="1727"/>
        <w:tab w:val="left" w:pos="1884"/>
      </w:tabs>
      <w:snapToGrid/>
      <w:ind w:firstLine="482" w:firstLineChars="0"/>
      <w:outlineLvl w:val="0"/>
    </w:pPr>
    <w:rPr>
      <w:rFonts w:ascii="宋体" w:hAnsi="宋体"/>
      <w:color w:val="000000"/>
      <w:szCs w:val="20"/>
    </w:rPr>
  </w:style>
  <w:style w:type="paragraph" w:customStyle="1" w:styleId="2715">
    <w:name w:val="自定义缩进"/>
    <w:basedOn w:val="1"/>
    <w:qFormat/>
    <w:uiPriority w:val="0"/>
    <w:pPr>
      <w:snapToGrid/>
      <w:spacing w:line="480" w:lineRule="atLeast"/>
    </w:pPr>
    <w:rPr>
      <w:color w:val="FF0000"/>
    </w:rPr>
  </w:style>
  <w:style w:type="paragraph" w:customStyle="1" w:styleId="2716">
    <w:name w:val="题注+"/>
    <w:basedOn w:val="22"/>
    <w:next w:val="1"/>
    <w:autoRedefine/>
    <w:uiPriority w:val="0"/>
    <w:pPr>
      <w:keepNext/>
      <w:widowControl/>
      <w:snapToGrid/>
      <w:spacing w:line="336" w:lineRule="auto"/>
      <w:ind w:firstLine="0" w:firstLineChars="0"/>
      <w:jc w:val="center"/>
      <w:outlineLvl w:val="6"/>
    </w:pPr>
    <w:rPr>
      <w:rFonts w:ascii="黑体" w:hAnsi="Arial"/>
      <w:kern w:val="0"/>
      <w:sz w:val="24"/>
      <w:szCs w:val="24"/>
    </w:rPr>
  </w:style>
  <w:style w:type="paragraph" w:customStyle="1" w:styleId="2717">
    <w:name w:val="自定义表格文字居中"/>
    <w:basedOn w:val="1"/>
    <w:qFormat/>
    <w:uiPriority w:val="0"/>
    <w:pPr>
      <w:keepNext/>
      <w:adjustRightInd w:val="0"/>
      <w:spacing w:line="360" w:lineRule="exact"/>
      <w:ind w:left="5" w:hanging="5" w:firstLineChars="0"/>
      <w:jc w:val="center"/>
      <w:outlineLvl w:val="0"/>
    </w:pPr>
    <w:rPr>
      <w:color w:val="FF0000"/>
      <w:kern w:val="0"/>
      <w:sz w:val="21"/>
      <w:szCs w:val="20"/>
    </w:rPr>
  </w:style>
  <w:style w:type="paragraph" w:customStyle="1" w:styleId="2718">
    <w:name w:val="样式 标题 4标4 + (符号) 宋体"/>
    <w:basedOn w:val="6"/>
    <w:qFormat/>
    <w:uiPriority w:val="0"/>
    <w:pPr>
      <w:keepNext/>
      <w:keepLines/>
      <w:numPr>
        <w:ilvl w:val="0"/>
        <w:numId w:val="0"/>
      </w:numPr>
      <w:tabs>
        <w:tab w:val="left" w:pos="360"/>
      </w:tabs>
      <w:snapToGrid/>
      <w:spacing w:before="280" w:beforeLines="0" w:after="290" w:afterLines="0" w:line="336" w:lineRule="auto"/>
      <w:ind w:left="245" w:hanging="245"/>
    </w:pPr>
    <w:rPr>
      <w:rFonts w:ascii="宋体"/>
      <w:b w:val="0"/>
      <w:bCs w:val="0"/>
      <w:kern w:val="0"/>
      <w:sz w:val="28"/>
      <w:szCs w:val="28"/>
    </w:rPr>
  </w:style>
  <w:style w:type="character" w:customStyle="1" w:styleId="2719">
    <w:name w:val="标题6 Char"/>
    <w:link w:val="575"/>
    <w:qFormat/>
    <w:locked/>
    <w:uiPriority w:val="0"/>
    <w:rPr>
      <w:rFonts w:ascii="Arial Narrow" w:hAnsi="宋体"/>
      <w:kern w:val="2"/>
      <w:sz w:val="24"/>
      <w:szCs w:val="24"/>
    </w:rPr>
  </w:style>
  <w:style w:type="character" w:customStyle="1" w:styleId="2720">
    <w:name w:val="样式 题注 + 首行缩进:  2 字符2 Char"/>
    <w:link w:val="2721"/>
    <w:autoRedefine/>
    <w:qFormat/>
    <w:locked/>
    <w:uiPriority w:val="0"/>
    <w:rPr>
      <w:sz w:val="24"/>
    </w:rPr>
  </w:style>
  <w:style w:type="paragraph" w:customStyle="1" w:styleId="2721">
    <w:name w:val="样式 题注 + 首行缩进:  2 字符2"/>
    <w:basedOn w:val="22"/>
    <w:link w:val="2720"/>
    <w:qFormat/>
    <w:uiPriority w:val="0"/>
    <w:pPr>
      <w:keepNext/>
      <w:adjustRightInd w:val="0"/>
      <w:spacing w:line="240" w:lineRule="auto"/>
      <w:jc w:val="both"/>
    </w:pPr>
    <w:rPr>
      <w:rFonts w:ascii="Times New Roman" w:hAnsi="Times New Roman" w:eastAsia="宋体"/>
      <w:kern w:val="0"/>
      <w:sz w:val="24"/>
    </w:rPr>
  </w:style>
  <w:style w:type="paragraph" w:customStyle="1" w:styleId="2722">
    <w:name w:val="样式 表格文字居中 + 行距: 单倍行距"/>
    <w:basedOn w:val="1"/>
    <w:uiPriority w:val="0"/>
    <w:pPr>
      <w:keepNext/>
      <w:tabs>
        <w:tab w:val="left" w:pos="628"/>
        <w:tab w:val="left" w:pos="1727"/>
        <w:tab w:val="left" w:pos="1884"/>
      </w:tabs>
      <w:adjustRightInd w:val="0"/>
      <w:spacing w:beforeLines="10" w:line="240" w:lineRule="auto"/>
      <w:ind w:firstLine="0" w:firstLineChars="0"/>
      <w:jc w:val="center"/>
    </w:pPr>
    <w:rPr>
      <w:rFonts w:ascii="宋体" w:hAnsi="宋体" w:cs="宋体"/>
      <w:color w:val="FF0000"/>
      <w:kern w:val="0"/>
      <w:sz w:val="21"/>
      <w:szCs w:val="21"/>
    </w:rPr>
  </w:style>
  <w:style w:type="character" w:customStyle="1" w:styleId="2723">
    <w:name w:val="样式 表格备注 Char"/>
    <w:link w:val="2724"/>
    <w:qFormat/>
    <w:locked/>
    <w:uiPriority w:val="0"/>
    <w:rPr>
      <w:rFonts w:ascii="宋体" w:hAnsi="宋体" w:eastAsia="楷体_GB2312"/>
      <w:sz w:val="24"/>
    </w:rPr>
  </w:style>
  <w:style w:type="paragraph" w:customStyle="1" w:styleId="2724">
    <w:name w:val="样式 表格备注"/>
    <w:basedOn w:val="1"/>
    <w:link w:val="2723"/>
    <w:qFormat/>
    <w:uiPriority w:val="0"/>
    <w:pPr>
      <w:keepNext/>
      <w:tabs>
        <w:tab w:val="left" w:pos="628"/>
        <w:tab w:val="left" w:pos="1727"/>
        <w:tab w:val="left" w:pos="1884"/>
        <w:tab w:val="left" w:pos="4325"/>
        <w:tab w:val="left" w:pos="4900"/>
      </w:tabs>
      <w:adjustRightInd w:val="0"/>
    </w:pPr>
    <w:rPr>
      <w:rFonts w:ascii="宋体" w:hAnsi="宋体" w:eastAsia="楷体_GB2312"/>
      <w:kern w:val="0"/>
      <w:szCs w:val="20"/>
    </w:rPr>
  </w:style>
  <w:style w:type="paragraph" w:customStyle="1" w:styleId="2725">
    <w:name w:val="Char6 Char Char Char Char Char Char Char Char Char"/>
    <w:basedOn w:val="1"/>
    <w:uiPriority w:val="0"/>
    <w:pPr>
      <w:snapToGrid/>
      <w:spacing w:line="240" w:lineRule="auto"/>
      <w:ind w:firstLine="0" w:firstLineChars="0"/>
      <w:jc w:val="both"/>
    </w:pPr>
    <w:rPr>
      <w:rFonts w:ascii="宋体" w:hAnsi="宋体"/>
      <w:color w:val="000000"/>
      <w:sz w:val="28"/>
      <w:szCs w:val="20"/>
    </w:rPr>
  </w:style>
  <w:style w:type="character" w:customStyle="1" w:styleId="2726">
    <w:name w:val="z-窗体顶端 Char"/>
    <w:link w:val="2727"/>
    <w:qFormat/>
    <w:locked/>
    <w:uiPriority w:val="0"/>
    <w:rPr>
      <w:rFonts w:ascii="Arial" w:hAnsi="Arial"/>
      <w:vanish/>
      <w:sz w:val="16"/>
      <w:szCs w:val="16"/>
    </w:rPr>
  </w:style>
  <w:style w:type="paragraph" w:customStyle="1" w:styleId="2727">
    <w:name w:val="z-窗体顶端1"/>
    <w:basedOn w:val="1"/>
    <w:next w:val="1"/>
    <w:link w:val="2726"/>
    <w:qFormat/>
    <w:uiPriority w:val="0"/>
    <w:pPr>
      <w:widowControl/>
      <w:pBdr>
        <w:bottom w:val="single" w:color="auto" w:sz="6" w:space="1"/>
      </w:pBdr>
      <w:snapToGrid/>
      <w:spacing w:line="240" w:lineRule="auto"/>
      <w:ind w:firstLine="0" w:firstLineChars="0"/>
      <w:jc w:val="center"/>
    </w:pPr>
    <w:rPr>
      <w:rFonts w:ascii="Arial" w:hAnsi="Arial"/>
      <w:vanish/>
      <w:kern w:val="0"/>
      <w:sz w:val="16"/>
      <w:szCs w:val="16"/>
    </w:rPr>
  </w:style>
  <w:style w:type="character" w:customStyle="1" w:styleId="2728">
    <w:name w:val="z-窗体底端 Char"/>
    <w:link w:val="2729"/>
    <w:autoRedefine/>
    <w:qFormat/>
    <w:locked/>
    <w:uiPriority w:val="0"/>
    <w:rPr>
      <w:rFonts w:ascii="Arial" w:hAnsi="Arial"/>
      <w:vanish/>
      <w:sz w:val="16"/>
      <w:szCs w:val="16"/>
    </w:rPr>
  </w:style>
  <w:style w:type="paragraph" w:customStyle="1" w:styleId="2729">
    <w:name w:val="z-窗体底端1"/>
    <w:basedOn w:val="1"/>
    <w:next w:val="1"/>
    <w:link w:val="2728"/>
    <w:qFormat/>
    <w:uiPriority w:val="0"/>
    <w:pPr>
      <w:widowControl/>
      <w:pBdr>
        <w:top w:val="single" w:color="auto" w:sz="6" w:space="0"/>
      </w:pBdr>
      <w:snapToGrid/>
      <w:spacing w:line="240" w:lineRule="auto"/>
      <w:ind w:firstLine="0" w:firstLineChars="0"/>
      <w:jc w:val="center"/>
    </w:pPr>
    <w:rPr>
      <w:rFonts w:ascii="Arial" w:hAnsi="Arial"/>
      <w:vanish/>
      <w:kern w:val="0"/>
      <w:sz w:val="16"/>
      <w:szCs w:val="16"/>
    </w:rPr>
  </w:style>
  <w:style w:type="paragraph" w:customStyle="1" w:styleId="2730">
    <w:name w:val="样式 正文首行缩进 + 首行缩进:  2 字符1"/>
    <w:basedOn w:val="86"/>
    <w:uiPriority w:val="0"/>
    <w:pPr>
      <w:spacing w:after="0" w:line="360" w:lineRule="auto"/>
      <w:ind w:firstLine="480" w:firstLineChars="200"/>
    </w:pPr>
    <w:rPr>
      <w:rFonts w:eastAsia="Times New Roman"/>
      <w:color w:val="auto"/>
      <w:kern w:val="0"/>
      <w:lang w:val="zh-CN"/>
    </w:rPr>
  </w:style>
  <w:style w:type="paragraph" w:customStyle="1" w:styleId="2731">
    <w:name w:val="样式 标题 4标题 4 Char Char + 两端对齐 左侧:  0 厘米 段前: 0 磅 段后: 0 磅"/>
    <w:basedOn w:val="6"/>
    <w:uiPriority w:val="0"/>
    <w:pPr>
      <w:keepNext/>
      <w:keepLines/>
      <w:numPr>
        <w:ilvl w:val="0"/>
        <w:numId w:val="0"/>
      </w:numPr>
      <w:tabs>
        <w:tab w:val="left" w:pos="2160"/>
        <w:tab w:val="left" w:pos="4500"/>
      </w:tabs>
      <w:spacing w:before="280" w:beforeLines="0" w:after="290" w:afterLines="0" w:line="440" w:lineRule="atLeast"/>
      <w:ind w:left="2160" w:hanging="420"/>
      <w:jc w:val="both"/>
    </w:pPr>
    <w:rPr>
      <w:rFonts w:ascii="Arial" w:hAnsi="Arial" w:eastAsia="黑体" w:cs="宋体"/>
      <w:b w:val="0"/>
      <w:bCs w:val="0"/>
      <w:kern w:val="0"/>
      <w:szCs w:val="20"/>
    </w:rPr>
  </w:style>
  <w:style w:type="paragraph" w:customStyle="1" w:styleId="2732">
    <w:name w:val="样式 标题 3标题 3 Char Char标题 3 Char Char Char Char Char标题 3 Char C...3"/>
    <w:basedOn w:val="5"/>
    <w:autoRedefine/>
    <w:qFormat/>
    <w:uiPriority w:val="0"/>
    <w:pPr>
      <w:keepNext/>
      <w:keepLines/>
      <w:numPr>
        <w:ilvl w:val="0"/>
        <w:numId w:val="0"/>
      </w:numPr>
      <w:tabs>
        <w:tab w:val="left" w:pos="4500"/>
      </w:tabs>
      <w:adjustRightInd w:val="0"/>
      <w:spacing w:before="260" w:beforeLines="0" w:after="260" w:afterLines="0" w:line="400" w:lineRule="exact"/>
      <w:jc w:val="both"/>
    </w:pPr>
    <w:rPr>
      <w:rFonts w:cs="宋体"/>
      <w:kern w:val="0"/>
      <w:sz w:val="24"/>
      <w:szCs w:val="24"/>
    </w:rPr>
  </w:style>
  <w:style w:type="paragraph" w:customStyle="1" w:styleId="2733">
    <w:name w:val="ljw表格"/>
    <w:basedOn w:val="1"/>
    <w:next w:val="1"/>
    <w:uiPriority w:val="0"/>
    <w:pPr>
      <w:adjustRightInd w:val="0"/>
      <w:spacing w:beforeLines="25" w:line="240" w:lineRule="auto"/>
      <w:ind w:firstLine="0" w:firstLineChars="0"/>
      <w:jc w:val="center"/>
    </w:pPr>
    <w:rPr>
      <w:rFonts w:ascii="宋体" w:hAnsi="宋体"/>
      <w:bCs/>
      <w:sz w:val="22"/>
      <w:szCs w:val="28"/>
    </w:rPr>
  </w:style>
  <w:style w:type="paragraph" w:customStyle="1" w:styleId="2734">
    <w:name w:val="ljw正文"/>
    <w:basedOn w:val="1"/>
    <w:autoRedefine/>
    <w:qFormat/>
    <w:uiPriority w:val="0"/>
    <w:pPr>
      <w:adjustRightInd w:val="0"/>
      <w:spacing w:line="300" w:lineRule="auto"/>
      <w:jc w:val="both"/>
    </w:pPr>
    <w:rPr>
      <w:rFonts w:ascii="宋体" w:hAnsi="宋体"/>
      <w:bCs/>
      <w:szCs w:val="28"/>
    </w:rPr>
  </w:style>
  <w:style w:type="paragraph" w:customStyle="1" w:styleId="2735">
    <w:name w:val="Sun"/>
    <w:basedOn w:val="1"/>
    <w:uiPriority w:val="0"/>
    <w:pPr>
      <w:adjustRightInd w:val="0"/>
      <w:snapToGrid/>
      <w:ind w:firstLine="567" w:firstLineChars="0"/>
      <w:jc w:val="both"/>
    </w:pPr>
    <w:rPr>
      <w:kern w:val="28"/>
      <w:sz w:val="28"/>
      <w:szCs w:val="20"/>
    </w:rPr>
  </w:style>
  <w:style w:type="paragraph" w:customStyle="1" w:styleId="2736">
    <w:name w:val="ljw子标题"/>
    <w:basedOn w:val="1"/>
    <w:next w:val="34"/>
    <w:autoRedefine/>
    <w:uiPriority w:val="0"/>
    <w:pPr>
      <w:adjustRightInd w:val="0"/>
      <w:spacing w:beforeLines="50" w:line="240" w:lineRule="auto"/>
      <w:ind w:firstLine="0" w:firstLineChars="0"/>
    </w:pPr>
    <w:rPr>
      <w:rFonts w:ascii="宋体" w:hAnsi="宋体"/>
      <w:b/>
      <w:szCs w:val="28"/>
    </w:rPr>
  </w:style>
  <w:style w:type="character" w:customStyle="1" w:styleId="2737">
    <w:name w:val="表1 Char"/>
    <w:link w:val="456"/>
    <w:autoRedefine/>
    <w:locked/>
    <w:uiPriority w:val="0"/>
    <w:rPr>
      <w:sz w:val="21"/>
    </w:rPr>
  </w:style>
  <w:style w:type="paragraph" w:customStyle="1" w:styleId="2738">
    <w:name w:val="ch中文正文"/>
    <w:uiPriority w:val="0"/>
    <w:pPr>
      <w:spacing w:beforeLines="50" w:line="360" w:lineRule="auto"/>
      <w:ind w:firstLine="200" w:firstLineChars="200"/>
    </w:pPr>
    <w:rPr>
      <w:rFonts w:ascii="Times New Roman" w:hAnsi="Times New Roman" w:eastAsia="宋体" w:cs="Times New Roman"/>
      <w:sz w:val="24"/>
      <w:lang w:val="en-US" w:eastAsia="zh-CN" w:bidi="ar-SA"/>
    </w:rPr>
  </w:style>
  <w:style w:type="paragraph" w:customStyle="1" w:styleId="2739">
    <w:name w:val="样式 样式 蓝色 首行缩进:  1 厘米 行距: 固定值 25 磅 + 首行缩进:  2 字符"/>
    <w:basedOn w:val="1"/>
    <w:autoRedefine/>
    <w:qFormat/>
    <w:uiPriority w:val="0"/>
    <w:pPr>
      <w:snapToGrid/>
      <w:spacing w:line="500" w:lineRule="exact"/>
      <w:ind w:firstLine="560"/>
      <w:jc w:val="both"/>
    </w:pPr>
    <w:rPr>
      <w:rFonts w:cs="宋体"/>
      <w:sz w:val="28"/>
      <w:szCs w:val="20"/>
    </w:rPr>
  </w:style>
  <w:style w:type="paragraph" w:customStyle="1" w:styleId="2740">
    <w:name w:val="样式 首行缩进:  2 字符10"/>
    <w:basedOn w:val="1"/>
    <w:uiPriority w:val="0"/>
    <w:pPr>
      <w:snapToGrid/>
      <w:spacing w:line="520" w:lineRule="exact"/>
      <w:ind w:firstLine="560"/>
      <w:jc w:val="both"/>
    </w:pPr>
    <w:rPr>
      <w:rFonts w:cs="宋体"/>
      <w:szCs w:val="20"/>
    </w:rPr>
  </w:style>
  <w:style w:type="paragraph" w:customStyle="1" w:styleId="2741">
    <w:name w:val="样式 正文（首行缩进两字） Char1标题4 + 宋体 小四 首行缩进:  0.85 厘米"/>
    <w:basedOn w:val="1"/>
    <w:uiPriority w:val="0"/>
    <w:pPr>
      <w:adjustRightInd w:val="0"/>
      <w:snapToGrid/>
      <w:spacing w:line="440" w:lineRule="atLeast"/>
      <w:ind w:firstLine="482" w:firstLineChars="0"/>
      <w:jc w:val="both"/>
    </w:pPr>
    <w:rPr>
      <w:rFonts w:ascii="宋体" w:hAnsi="宋体" w:cs="宋体"/>
      <w:kern w:val="0"/>
      <w:szCs w:val="20"/>
    </w:rPr>
  </w:style>
  <w:style w:type="paragraph" w:customStyle="1" w:styleId="2742">
    <w:name w:val="样式 正文（首行缩进两字） Char1标题4 + (符号) 宋体 小四 首行缩进:  0.85 厘米"/>
    <w:basedOn w:val="1"/>
    <w:uiPriority w:val="0"/>
    <w:pPr>
      <w:adjustRightInd w:val="0"/>
      <w:snapToGrid/>
      <w:spacing w:line="440" w:lineRule="atLeast"/>
      <w:ind w:firstLine="482" w:firstLineChars="0"/>
      <w:jc w:val="both"/>
    </w:pPr>
    <w:rPr>
      <w:rFonts w:hAnsi="宋体" w:cs="宋体"/>
      <w:kern w:val="0"/>
      <w:szCs w:val="20"/>
    </w:rPr>
  </w:style>
  <w:style w:type="paragraph" w:customStyle="1" w:styleId="2743">
    <w:name w:val="样式 标题 2节标题 1.1b21.1标题2b21 Char1.1标题2 Char标题 21节标题 1.11b2..."/>
    <w:basedOn w:val="4"/>
    <w:autoRedefine/>
    <w:qFormat/>
    <w:uiPriority w:val="0"/>
    <w:pPr>
      <w:keepNext/>
      <w:keepLines/>
      <w:widowControl/>
      <w:numPr>
        <w:ilvl w:val="0"/>
        <w:numId w:val="0"/>
      </w:numPr>
      <w:tabs>
        <w:tab w:val="left" w:pos="576"/>
      </w:tabs>
      <w:adjustRightInd w:val="0"/>
      <w:snapToGrid/>
      <w:spacing w:before="260" w:beforeLines="0" w:after="260" w:afterLines="0" w:line="480" w:lineRule="auto"/>
    </w:pPr>
    <w:rPr>
      <w:rFonts w:ascii="黑体" w:eastAsia="黑体" w:cs="宋体"/>
      <w:b w:val="0"/>
      <w:kern w:val="0"/>
      <w:sz w:val="28"/>
      <w:szCs w:val="28"/>
    </w:rPr>
  </w:style>
  <w:style w:type="paragraph" w:customStyle="1" w:styleId="2744">
    <w:name w:val="样式 题注 + (西文) Times New Roman (中文) 宋体 小四 加粗 黑色 居中 段前: 3 磅 ..."/>
    <w:basedOn w:val="22"/>
    <w:uiPriority w:val="0"/>
    <w:pPr>
      <w:adjustRightInd w:val="0"/>
      <w:snapToGrid/>
      <w:spacing w:afterLines="100"/>
      <w:ind w:firstLine="0" w:firstLineChars="0"/>
      <w:jc w:val="center"/>
    </w:pPr>
    <w:rPr>
      <w:rFonts w:ascii="Times New Roman" w:hAnsi="Times New Roman" w:eastAsia="Times New Roman" w:cs="宋体"/>
      <w:b/>
      <w:bCs/>
      <w:color w:val="000000"/>
      <w:kern w:val="0"/>
      <w:sz w:val="24"/>
    </w:rPr>
  </w:style>
  <w:style w:type="paragraph" w:customStyle="1" w:styleId="2745">
    <w:name w:val="样式 正文首行缩进 + 首行缩进:  0 厘米"/>
    <w:basedOn w:val="86"/>
    <w:autoRedefine/>
    <w:qFormat/>
    <w:uiPriority w:val="0"/>
    <w:pPr>
      <w:spacing w:after="0" w:line="240" w:lineRule="exact"/>
      <w:ind w:firstLine="0" w:firstLineChars="0"/>
      <w:jc w:val="left"/>
    </w:pPr>
    <w:rPr>
      <w:rFonts w:ascii="宋体" w:hAnsi="宋体" w:eastAsia="Times New Roman" w:cs="宋体"/>
      <w:color w:val="auto"/>
      <w:kern w:val="0"/>
      <w:szCs w:val="20"/>
    </w:rPr>
  </w:style>
  <w:style w:type="character" w:customStyle="1" w:styleId="2746">
    <w:name w:val="样式 正文文本缩进 2正文文字缩进 2 + 四号 蓝色 Char Char Char Char Char Char Char Char"/>
    <w:link w:val="2747"/>
    <w:locked/>
    <w:uiPriority w:val="0"/>
    <w:rPr>
      <w:color w:val="0000FF"/>
      <w:sz w:val="24"/>
      <w:szCs w:val="24"/>
    </w:rPr>
  </w:style>
  <w:style w:type="paragraph" w:customStyle="1" w:styleId="2747">
    <w:name w:val="样式 正文文本缩进 2正文文字缩进 2 + 四号 蓝色 Char Char Char Char Char Char Char"/>
    <w:basedOn w:val="51"/>
    <w:link w:val="2746"/>
    <w:autoRedefine/>
    <w:uiPriority w:val="0"/>
    <w:pPr>
      <w:adjustRightInd w:val="0"/>
      <w:snapToGrid/>
      <w:spacing w:line="480" w:lineRule="exact"/>
      <w:ind w:left="0" w:leftChars="0" w:firstLine="709" w:firstLineChars="0"/>
      <w:jc w:val="both"/>
    </w:pPr>
    <w:rPr>
      <w:color w:val="0000FF"/>
      <w:kern w:val="0"/>
    </w:rPr>
  </w:style>
  <w:style w:type="paragraph" w:customStyle="1" w:styleId="2748">
    <w:name w:val="样式 正文文本缩进 2正文文字缩进 2 + 四号 蓝色 Char Char Char Char Char"/>
    <w:basedOn w:val="51"/>
    <w:uiPriority w:val="0"/>
    <w:pPr>
      <w:adjustRightInd w:val="0"/>
      <w:snapToGrid/>
      <w:spacing w:line="480" w:lineRule="exact"/>
      <w:ind w:left="0" w:leftChars="0" w:firstLine="709" w:firstLineChars="0"/>
      <w:jc w:val="both"/>
    </w:pPr>
    <w:rPr>
      <w:rFonts w:eastAsia="Times New Roman"/>
      <w:color w:val="0000FF"/>
      <w:kern w:val="0"/>
    </w:rPr>
  </w:style>
  <w:style w:type="paragraph" w:customStyle="1" w:styleId="2749">
    <w:name w:val="样式 标题 4款标题1.1.1.1标题 4 Char标题 4 Char CharL4 + 宋体 小四 非加粗"/>
    <w:basedOn w:val="6"/>
    <w:uiPriority w:val="0"/>
    <w:pPr>
      <w:keepNext/>
      <w:keepLines/>
      <w:numPr>
        <w:ilvl w:val="0"/>
        <w:numId w:val="0"/>
      </w:numPr>
      <w:tabs>
        <w:tab w:val="left" w:pos="1134"/>
        <w:tab w:val="left" w:pos="1630"/>
      </w:tabs>
      <w:snapToGrid/>
      <w:spacing w:before="280" w:beforeLines="0" w:after="290" w:afterLines="0" w:line="376" w:lineRule="auto"/>
      <w:jc w:val="both"/>
    </w:pPr>
    <w:rPr>
      <w:rFonts w:ascii="宋体" w:hAnsi="宋体"/>
      <w:b w:val="0"/>
      <w:bCs w:val="0"/>
      <w:kern w:val="0"/>
      <w:szCs w:val="24"/>
    </w:rPr>
  </w:style>
  <w:style w:type="paragraph" w:customStyle="1" w:styleId="2750">
    <w:name w:val="样式 标题 4款标题1.1.1.1标题 4 Char标题 4 Char CharL4 + 宋体 小四 非加粗1"/>
    <w:basedOn w:val="6"/>
    <w:uiPriority w:val="0"/>
    <w:pPr>
      <w:keepNext/>
      <w:keepLines/>
      <w:numPr>
        <w:ilvl w:val="0"/>
        <w:numId w:val="0"/>
      </w:numPr>
      <w:tabs>
        <w:tab w:val="left" w:pos="1134"/>
        <w:tab w:val="left" w:pos="1630"/>
      </w:tabs>
      <w:snapToGrid/>
      <w:spacing w:before="280" w:after="290" w:afterLines="0" w:line="376" w:lineRule="auto"/>
      <w:jc w:val="both"/>
    </w:pPr>
    <w:rPr>
      <w:rFonts w:ascii="宋体" w:hAnsi="宋体"/>
      <w:b w:val="0"/>
      <w:bCs w:val="0"/>
      <w:kern w:val="0"/>
      <w:szCs w:val="28"/>
    </w:rPr>
  </w:style>
  <w:style w:type="paragraph" w:customStyle="1" w:styleId="2751">
    <w:name w:val="样式 样式 标题 4款标题1.1.1.1标题 4 Char标题 4 Char CharL4 + 宋体 小四 非加粗1 + 段前:..."/>
    <w:basedOn w:val="2750"/>
    <w:uiPriority w:val="0"/>
    <w:rPr>
      <w:rFonts w:cs="宋体"/>
      <w:szCs w:val="20"/>
    </w:rPr>
  </w:style>
  <w:style w:type="paragraph" w:customStyle="1" w:styleId="2752">
    <w:name w:val="表内文字大"/>
    <w:basedOn w:val="1"/>
    <w:uiPriority w:val="0"/>
    <w:pPr>
      <w:adjustRightInd w:val="0"/>
      <w:spacing w:line="240" w:lineRule="auto"/>
      <w:ind w:left="-25" w:firstLine="0" w:firstLineChars="0"/>
      <w:jc w:val="both"/>
    </w:pPr>
    <w:rPr>
      <w:sz w:val="21"/>
      <w:szCs w:val="21"/>
    </w:rPr>
  </w:style>
  <w:style w:type="paragraph" w:customStyle="1" w:styleId="2753">
    <w:name w:val="表内小4"/>
    <w:basedOn w:val="2752"/>
    <w:uiPriority w:val="0"/>
    <w:pPr>
      <w:ind w:left="240" w:hanging="240"/>
    </w:pPr>
    <w:rPr>
      <w:sz w:val="18"/>
      <w:szCs w:val="18"/>
    </w:rPr>
  </w:style>
  <w:style w:type="paragraph" w:customStyle="1" w:styleId="2754">
    <w:name w:val="表内文字小"/>
    <w:basedOn w:val="1"/>
    <w:uiPriority w:val="0"/>
    <w:pPr>
      <w:adjustRightInd w:val="0"/>
      <w:spacing w:line="240" w:lineRule="auto"/>
      <w:ind w:firstLine="0" w:firstLineChars="0"/>
      <w:jc w:val="center"/>
    </w:pPr>
    <w:rPr>
      <w:sz w:val="18"/>
      <w:szCs w:val="18"/>
    </w:rPr>
  </w:style>
  <w:style w:type="paragraph" w:customStyle="1" w:styleId="2755">
    <w:name w:val="4级样式"/>
    <w:basedOn w:val="6"/>
    <w:autoRedefine/>
    <w:uiPriority w:val="0"/>
    <w:pPr>
      <w:keepNext/>
      <w:keepLines/>
      <w:numPr>
        <w:ilvl w:val="0"/>
        <w:numId w:val="0"/>
      </w:numPr>
      <w:tabs>
        <w:tab w:val="left" w:pos="1080"/>
      </w:tabs>
      <w:snapToGrid/>
      <w:spacing w:before="280" w:beforeLines="0" w:after="290" w:afterLines="0"/>
      <w:ind w:left="1080" w:hanging="1080"/>
      <w:jc w:val="both"/>
    </w:pPr>
    <w:rPr>
      <w:rFonts w:eastAsia="黑体" w:cs="宋体"/>
      <w:b w:val="0"/>
      <w:bCs w:val="0"/>
      <w:kern w:val="0"/>
      <w:szCs w:val="24"/>
    </w:rPr>
  </w:style>
  <w:style w:type="paragraph" w:customStyle="1" w:styleId="2756">
    <w:name w:val="3 级样式"/>
    <w:basedOn w:val="5"/>
    <w:autoRedefine/>
    <w:uiPriority w:val="0"/>
    <w:pPr>
      <w:keepNext/>
      <w:keepLines/>
      <w:numPr>
        <w:ilvl w:val="0"/>
        <w:numId w:val="0"/>
      </w:numPr>
      <w:tabs>
        <w:tab w:val="left" w:pos="720"/>
      </w:tabs>
      <w:snapToGrid/>
      <w:spacing w:before="260" w:beforeLines="20" w:after="260" w:afterLines="30"/>
      <w:ind w:left="720" w:hanging="720"/>
    </w:pPr>
    <w:rPr>
      <w:rFonts w:eastAsia="黑体" w:cs="宋体"/>
      <w:b w:val="0"/>
      <w:bCs w:val="0"/>
      <w:color w:val="000000"/>
      <w:kern w:val="28"/>
      <w:szCs w:val="28"/>
    </w:rPr>
  </w:style>
  <w:style w:type="paragraph" w:customStyle="1" w:styleId="2757">
    <w:name w:val="2 级样式"/>
    <w:basedOn w:val="4"/>
    <w:uiPriority w:val="0"/>
    <w:pPr>
      <w:keepNext/>
      <w:keepLines/>
      <w:numPr>
        <w:ilvl w:val="0"/>
        <w:numId w:val="0"/>
      </w:numPr>
      <w:tabs>
        <w:tab w:val="left" w:pos="927"/>
        <w:tab w:val="left" w:pos="1134"/>
      </w:tabs>
      <w:adjustRightInd w:val="0"/>
      <w:snapToGrid/>
      <w:spacing w:before="260" w:beforeLines="30" w:after="260" w:afterLines="30"/>
      <w:ind w:left="840" w:hanging="720"/>
    </w:pPr>
    <w:rPr>
      <w:rFonts w:eastAsia="黑体" w:cs="宋体"/>
      <w:b w:val="0"/>
      <w:bCs w:val="0"/>
      <w:color w:val="003300"/>
      <w:kern w:val="0"/>
      <w:szCs w:val="30"/>
    </w:rPr>
  </w:style>
  <w:style w:type="paragraph" w:customStyle="1" w:styleId="2758">
    <w:name w:val="样式 标题 22级样式 + 段前: 0.3 行 段后: 0.3 行1"/>
    <w:basedOn w:val="4"/>
    <w:uiPriority w:val="0"/>
    <w:pPr>
      <w:keepNext/>
      <w:keepLines/>
      <w:numPr>
        <w:ilvl w:val="0"/>
        <w:numId w:val="0"/>
      </w:numPr>
      <w:tabs>
        <w:tab w:val="left" w:pos="927"/>
        <w:tab w:val="left" w:pos="1134"/>
      </w:tabs>
      <w:adjustRightInd w:val="0"/>
      <w:snapToGrid/>
      <w:spacing w:before="260" w:beforeLines="30" w:after="260" w:afterLines="30"/>
    </w:pPr>
    <w:rPr>
      <w:rFonts w:eastAsia="黑体" w:cs="宋体"/>
      <w:b w:val="0"/>
      <w:bCs w:val="0"/>
      <w:color w:val="003300"/>
      <w:kern w:val="0"/>
      <w:sz w:val="28"/>
      <w:szCs w:val="20"/>
    </w:rPr>
  </w:style>
  <w:style w:type="paragraph" w:customStyle="1" w:styleId="2759">
    <w:name w:val="1级样式."/>
    <w:basedOn w:val="1"/>
    <w:autoRedefine/>
    <w:uiPriority w:val="0"/>
    <w:pPr>
      <w:keepNext/>
      <w:keepLines/>
      <w:widowControl/>
      <w:snapToGrid/>
      <w:spacing w:beforeLines="50"/>
      <w:ind w:firstLine="0" w:firstLineChars="0"/>
      <w:outlineLvl w:val="0"/>
    </w:pPr>
    <w:rPr>
      <w:rFonts w:eastAsia="黑体"/>
      <w:color w:val="000000"/>
      <w:kern w:val="44"/>
      <w:sz w:val="36"/>
      <w:szCs w:val="36"/>
    </w:rPr>
  </w:style>
  <w:style w:type="paragraph" w:customStyle="1" w:styleId="2760">
    <w:name w:val="样式 样式2 + 首行缩进:  2 字符"/>
    <w:basedOn w:val="1"/>
    <w:autoRedefine/>
    <w:uiPriority w:val="0"/>
    <w:pPr>
      <w:adjustRightInd w:val="0"/>
      <w:ind w:firstLine="0" w:firstLineChars="0"/>
      <w:jc w:val="both"/>
    </w:pPr>
    <w:rPr>
      <w:rFonts w:ascii="宋体" w:hAnsi="宋体" w:cs="宋体"/>
      <w:b/>
      <w:sz w:val="28"/>
      <w:szCs w:val="28"/>
    </w:rPr>
  </w:style>
  <w:style w:type="paragraph" w:customStyle="1" w:styleId="2761">
    <w:name w:val="Char6 Char Char Char Char Char Char Char Char Char1"/>
    <w:basedOn w:val="1"/>
    <w:autoRedefine/>
    <w:qFormat/>
    <w:uiPriority w:val="0"/>
    <w:pPr>
      <w:snapToGrid/>
      <w:spacing w:line="240" w:lineRule="auto"/>
      <w:ind w:firstLine="0" w:firstLineChars="0"/>
      <w:jc w:val="both"/>
    </w:pPr>
    <w:rPr>
      <w:rFonts w:ascii="宋体" w:hAnsi="宋体"/>
      <w:color w:val="000000"/>
      <w:sz w:val="28"/>
      <w:szCs w:val="20"/>
    </w:rPr>
  </w:style>
  <w:style w:type="paragraph" w:customStyle="1" w:styleId="2762">
    <w:name w:val="页眉中"/>
    <w:basedOn w:val="1"/>
    <w:autoRedefine/>
    <w:uiPriority w:val="0"/>
    <w:pPr>
      <w:adjustRightInd w:val="0"/>
      <w:spacing w:line="300" w:lineRule="auto"/>
      <w:ind w:firstLine="0" w:firstLineChars="0"/>
    </w:pPr>
    <w:rPr>
      <w:rFonts w:ascii="黑体" w:eastAsia="黑体"/>
      <w:bCs/>
      <w:szCs w:val="20"/>
    </w:rPr>
  </w:style>
  <w:style w:type="paragraph" w:customStyle="1" w:styleId="2763">
    <w:name w:val="等核实"/>
    <w:basedOn w:val="35"/>
    <w:autoRedefine/>
    <w:uiPriority w:val="0"/>
    <w:pPr>
      <w:tabs>
        <w:tab w:val="left" w:pos="4305"/>
      </w:tabs>
      <w:adjustRightInd w:val="0"/>
      <w:spacing w:line="300" w:lineRule="auto"/>
      <w:ind w:left="0" w:leftChars="0" w:firstLine="567" w:firstLineChars="0"/>
      <w:jc w:val="both"/>
    </w:pPr>
    <w:rPr>
      <w:rFonts w:ascii="宋体" w:hAnsi="宋体" w:eastAsia="Times New Roman"/>
      <w:color w:val="0000FF"/>
      <w:sz w:val="28"/>
    </w:rPr>
  </w:style>
  <w:style w:type="paragraph" w:customStyle="1" w:styleId="2764">
    <w:name w:val="待定小"/>
    <w:basedOn w:val="2754"/>
    <w:autoRedefine/>
    <w:uiPriority w:val="0"/>
    <w:rPr>
      <w:rFonts w:ascii="宋体" w:hAnsi="Times"/>
      <w:color w:val="0000FF"/>
      <w:sz w:val="21"/>
      <w:szCs w:val="20"/>
    </w:rPr>
  </w:style>
  <w:style w:type="paragraph" w:customStyle="1" w:styleId="2765">
    <w:name w:val="题图"/>
    <w:basedOn w:val="1"/>
    <w:autoRedefine/>
    <w:qFormat/>
    <w:uiPriority w:val="0"/>
    <w:pPr>
      <w:adjustRightInd w:val="0"/>
      <w:spacing w:line="240" w:lineRule="auto"/>
      <w:ind w:firstLine="0" w:firstLineChars="0"/>
      <w:jc w:val="center"/>
    </w:pPr>
    <w:rPr>
      <w:rFonts w:ascii="宋体"/>
      <w:sz w:val="28"/>
    </w:rPr>
  </w:style>
  <w:style w:type="paragraph" w:customStyle="1" w:styleId="2766">
    <w:name w:val="表内宋5"/>
    <w:basedOn w:val="81"/>
    <w:autoRedefine/>
    <w:uiPriority w:val="0"/>
    <w:pPr>
      <w:adjustRightInd w:val="0"/>
      <w:spacing w:line="240" w:lineRule="auto"/>
      <w:ind w:firstLine="0" w:firstLineChars="0"/>
      <w:jc w:val="both"/>
    </w:pPr>
    <w:rPr>
      <w:color w:val="000000"/>
      <w:sz w:val="21"/>
      <w:szCs w:val="24"/>
    </w:rPr>
  </w:style>
  <w:style w:type="paragraph" w:customStyle="1" w:styleId="2767">
    <w:name w:val="样式 标题 2 + 段前: 0.3 行 段后: 0.3 行"/>
    <w:basedOn w:val="4"/>
    <w:autoRedefine/>
    <w:qFormat/>
    <w:uiPriority w:val="0"/>
    <w:pPr>
      <w:keepNext/>
      <w:keepLines/>
      <w:widowControl/>
      <w:numPr>
        <w:ilvl w:val="0"/>
        <w:numId w:val="0"/>
      </w:numPr>
      <w:tabs>
        <w:tab w:val="left" w:pos="927"/>
        <w:tab w:val="left" w:pos="1134"/>
      </w:tabs>
      <w:adjustRightInd w:val="0"/>
      <w:spacing w:before="260" w:beforeLines="0" w:after="260" w:afterLines="0" w:line="480" w:lineRule="exact"/>
      <w:jc w:val="both"/>
    </w:pPr>
    <w:rPr>
      <w:rFonts w:eastAsia="黑体" w:cs="宋体"/>
      <w:kern w:val="0"/>
      <w:szCs w:val="20"/>
    </w:rPr>
  </w:style>
  <w:style w:type="paragraph" w:customStyle="1" w:styleId="2768">
    <w:name w:val="标题 2 + 段前: 0.3 行 段后: 0.3 行1"/>
    <w:basedOn w:val="4"/>
    <w:next w:val="1"/>
    <w:autoRedefine/>
    <w:uiPriority w:val="0"/>
    <w:pPr>
      <w:keepNext/>
      <w:keepLines/>
      <w:widowControl/>
      <w:numPr>
        <w:ilvl w:val="0"/>
        <w:numId w:val="0"/>
      </w:numPr>
      <w:tabs>
        <w:tab w:val="left" w:pos="927"/>
        <w:tab w:val="left" w:pos="1134"/>
      </w:tabs>
      <w:adjustRightInd w:val="0"/>
      <w:spacing w:before="260" w:beforeLines="0" w:after="260" w:afterLines="0" w:line="480" w:lineRule="exact"/>
      <w:ind w:left="1" w:firstLine="1"/>
      <w:jc w:val="both"/>
    </w:pPr>
    <w:rPr>
      <w:rFonts w:eastAsia="黑体" w:cs="宋体"/>
      <w:b w:val="0"/>
      <w:kern w:val="0"/>
      <w:szCs w:val="20"/>
    </w:rPr>
  </w:style>
  <w:style w:type="paragraph" w:customStyle="1" w:styleId="2769">
    <w:name w:val="样式 标题 21.1标题 21.1_Heading 2标题 2 Char1节标2节标题 1.11.1标题2h..."/>
    <w:basedOn w:val="4"/>
    <w:autoRedefine/>
    <w:uiPriority w:val="0"/>
    <w:pPr>
      <w:keepNext/>
      <w:keepLines/>
      <w:numPr>
        <w:ilvl w:val="0"/>
        <w:numId w:val="0"/>
      </w:numPr>
      <w:tabs>
        <w:tab w:val="left" w:pos="927"/>
        <w:tab w:val="left" w:pos="1134"/>
      </w:tabs>
      <w:adjustRightInd w:val="0"/>
      <w:snapToGrid/>
      <w:spacing w:before="260" w:beforeLines="0" w:after="260" w:afterLines="0"/>
    </w:pPr>
    <w:rPr>
      <w:rFonts w:eastAsia="黑体"/>
      <w:b w:val="0"/>
      <w:bCs w:val="0"/>
      <w:color w:val="0000FF"/>
      <w:kern w:val="0"/>
      <w:sz w:val="28"/>
      <w:szCs w:val="28"/>
    </w:rPr>
  </w:style>
  <w:style w:type="paragraph" w:customStyle="1" w:styleId="2770">
    <w:name w:val="样式 标题 1章标题 1文章标题h11st levelSection Headl1章b1H1章节标题1标题..."/>
    <w:basedOn w:val="3"/>
    <w:autoRedefine/>
    <w:qFormat/>
    <w:uiPriority w:val="0"/>
    <w:pPr>
      <w:keepNext/>
      <w:keepLines/>
      <w:numPr>
        <w:numId w:val="0"/>
      </w:numPr>
      <w:tabs>
        <w:tab w:val="left" w:pos="1134"/>
      </w:tabs>
      <w:overflowPunct/>
      <w:snapToGrid/>
      <w:spacing w:before="340" w:after="330" w:line="360" w:lineRule="auto"/>
      <w:jc w:val="left"/>
    </w:pPr>
    <w:rPr>
      <w:b w:val="0"/>
      <w:bCs w:val="0"/>
      <w:snapToGrid/>
      <w:color w:val="0000FF"/>
      <w:sz w:val="32"/>
      <w:szCs w:val="32"/>
    </w:rPr>
  </w:style>
  <w:style w:type="paragraph" w:customStyle="1" w:styleId="2771">
    <w:name w:val="表标题4.4 行"/>
    <w:basedOn w:val="1"/>
    <w:autoRedefine/>
    <w:uiPriority w:val="0"/>
    <w:pPr>
      <w:tabs>
        <w:tab w:val="left" w:pos="2723"/>
      </w:tabs>
      <w:snapToGrid/>
      <w:spacing w:beforeLines="100" w:line="0" w:lineRule="atLeast"/>
      <w:ind w:firstLine="0" w:firstLineChars="0"/>
      <w:jc w:val="center"/>
    </w:pPr>
    <w:rPr>
      <w:rFonts w:eastAsia="黑体" w:cs="宋体"/>
      <w:b/>
      <w:bCs/>
      <w:color w:val="000000"/>
      <w:szCs w:val="20"/>
    </w:rPr>
  </w:style>
  <w:style w:type="paragraph" w:customStyle="1" w:styleId="2772">
    <w:name w:val="首选正文"/>
    <w:basedOn w:val="1"/>
    <w:autoRedefine/>
    <w:uiPriority w:val="0"/>
    <w:pPr>
      <w:widowControl/>
      <w:snapToGrid/>
      <w:spacing w:line="460" w:lineRule="exact"/>
    </w:pPr>
    <w:rPr>
      <w:rFonts w:cs="宋体"/>
      <w:kern w:val="0"/>
    </w:rPr>
  </w:style>
  <w:style w:type="paragraph" w:customStyle="1" w:styleId="2773">
    <w:name w:val="目次"/>
    <w:basedOn w:val="86"/>
    <w:autoRedefine/>
    <w:uiPriority w:val="0"/>
    <w:pPr>
      <w:keepNext/>
      <w:tabs>
        <w:tab w:val="left" w:pos="628"/>
        <w:tab w:val="left" w:pos="1727"/>
        <w:tab w:val="left" w:pos="1884"/>
        <w:tab w:val="left" w:pos="2660"/>
        <w:tab w:val="left" w:pos="4325"/>
      </w:tabs>
      <w:adjustRightInd w:val="0"/>
      <w:snapToGrid w:val="0"/>
      <w:spacing w:after="0" w:line="360" w:lineRule="auto"/>
      <w:ind w:firstLine="560" w:firstLineChars="200"/>
      <w:jc w:val="left"/>
    </w:pPr>
    <w:rPr>
      <w:rFonts w:ascii="宋体" w:hAnsi="宋体" w:eastAsia="Times New Roman"/>
      <w:b/>
      <w:bCs/>
      <w:kern w:val="0"/>
      <w:sz w:val="28"/>
      <w:szCs w:val="28"/>
    </w:rPr>
  </w:style>
  <w:style w:type="character" w:customStyle="1" w:styleId="2774">
    <w:name w:val="样式 正文首行缩进 + 四号 Char"/>
    <w:link w:val="2775"/>
    <w:autoRedefine/>
    <w:qFormat/>
    <w:locked/>
    <w:uiPriority w:val="0"/>
    <w:rPr>
      <w:rFonts w:ascii="宋体" w:hAnsi="宋体"/>
      <w:sz w:val="28"/>
      <w:szCs w:val="24"/>
    </w:rPr>
  </w:style>
  <w:style w:type="paragraph" w:customStyle="1" w:styleId="2775">
    <w:name w:val="样式 正文首行缩进 + 四号"/>
    <w:basedOn w:val="86"/>
    <w:link w:val="2774"/>
    <w:autoRedefine/>
    <w:uiPriority w:val="0"/>
    <w:pPr>
      <w:keepLines/>
      <w:tabs>
        <w:tab w:val="left" w:pos="0"/>
        <w:tab w:val="left" w:pos="1727"/>
        <w:tab w:val="left" w:pos="1884"/>
        <w:tab w:val="left" w:pos="8480"/>
      </w:tabs>
      <w:adjustRightInd w:val="0"/>
      <w:snapToGrid w:val="0"/>
      <w:spacing w:before="100" w:beforeAutospacing="1"/>
      <w:ind w:left="-7" w:leftChars="-7"/>
    </w:pPr>
    <w:rPr>
      <w:rFonts w:ascii="宋体" w:hAnsi="宋体"/>
      <w:color w:val="auto"/>
      <w:kern w:val="0"/>
      <w:sz w:val="28"/>
    </w:rPr>
  </w:style>
  <w:style w:type="paragraph" w:customStyle="1" w:styleId="2776">
    <w:name w:val="样式 表格文字居中 + 左 首行缩进:  0 厘米"/>
    <w:basedOn w:val="1006"/>
    <w:autoRedefine/>
    <w:qFormat/>
    <w:uiPriority w:val="0"/>
    <w:pPr>
      <w:keepNext/>
      <w:tabs>
        <w:tab w:val="left" w:pos="628"/>
      </w:tabs>
      <w:snapToGrid/>
      <w:spacing w:line="240" w:lineRule="auto"/>
      <w:ind w:firstLine="0" w:firstLineChars="0"/>
      <w:jc w:val="left"/>
    </w:pPr>
    <w:rPr>
      <w:rFonts w:ascii="宋体" w:hAnsi="宋体" w:eastAsia="Times New Roman" w:cs="宋体"/>
      <w:bCs/>
      <w:snapToGrid/>
      <w:color w:val="auto"/>
      <w:kern w:val="0"/>
      <w:sz w:val="24"/>
      <w:szCs w:val="20"/>
    </w:rPr>
  </w:style>
  <w:style w:type="paragraph" w:customStyle="1" w:styleId="2777">
    <w:name w:val="表格03"/>
    <w:basedOn w:val="1"/>
    <w:autoRedefine/>
    <w:uiPriority w:val="0"/>
    <w:pPr>
      <w:snapToGrid/>
      <w:spacing w:line="400" w:lineRule="exact"/>
      <w:ind w:firstLine="0" w:firstLineChars="0"/>
      <w:jc w:val="center"/>
    </w:pPr>
    <w:rPr>
      <w:sz w:val="21"/>
      <w:szCs w:val="21"/>
    </w:rPr>
  </w:style>
  <w:style w:type="paragraph" w:customStyle="1" w:styleId="2778">
    <w:name w:val="表格01 Char"/>
    <w:basedOn w:val="1"/>
    <w:autoRedefine/>
    <w:qFormat/>
    <w:uiPriority w:val="0"/>
    <w:pPr>
      <w:adjustRightInd w:val="0"/>
      <w:spacing w:line="480" w:lineRule="exact"/>
      <w:ind w:firstLine="0" w:firstLineChars="0"/>
      <w:jc w:val="center"/>
    </w:pPr>
    <w:rPr>
      <w:rFonts w:cs="宋体"/>
      <w:spacing w:val="-2"/>
      <w:kern w:val="0"/>
      <w:sz w:val="28"/>
      <w:szCs w:val="28"/>
    </w:rPr>
  </w:style>
  <w:style w:type="paragraph" w:customStyle="1" w:styleId="2779">
    <w:name w:val="样式 四号 行距: 固定值 25 磅"/>
    <w:basedOn w:val="1"/>
    <w:autoRedefine/>
    <w:qFormat/>
    <w:uiPriority w:val="0"/>
    <w:pPr>
      <w:snapToGrid/>
      <w:spacing w:line="480" w:lineRule="atLeast"/>
      <w:ind w:firstLine="200"/>
      <w:jc w:val="both"/>
    </w:pPr>
  </w:style>
  <w:style w:type="paragraph" w:customStyle="1" w:styleId="2780">
    <w:name w:val="文"/>
    <w:basedOn w:val="1"/>
    <w:autoRedefine/>
    <w:uiPriority w:val="0"/>
    <w:pPr>
      <w:snapToGrid/>
      <w:jc w:val="both"/>
    </w:pPr>
  </w:style>
  <w:style w:type="paragraph" w:customStyle="1" w:styleId="2781">
    <w:name w:val="样式 标题 2 + 小四"/>
    <w:basedOn w:val="4"/>
    <w:uiPriority w:val="0"/>
    <w:pPr>
      <w:keepNext/>
      <w:keepLines/>
      <w:numPr>
        <w:ilvl w:val="0"/>
        <w:numId w:val="0"/>
      </w:numPr>
      <w:tabs>
        <w:tab w:val="left" w:pos="927"/>
        <w:tab w:val="left" w:pos="1134"/>
      </w:tabs>
      <w:snapToGrid/>
      <w:spacing w:before="260" w:beforeLines="0" w:after="260" w:afterLines="0" w:line="400" w:lineRule="atLeast"/>
    </w:pPr>
    <w:rPr>
      <w:rFonts w:ascii="Arial" w:hAnsi="Arial" w:eastAsia="黑体"/>
      <w:kern w:val="0"/>
      <w:sz w:val="24"/>
    </w:rPr>
  </w:style>
  <w:style w:type="paragraph" w:customStyle="1" w:styleId="2782">
    <w:name w:val="style5"/>
    <w:basedOn w:val="1"/>
    <w:autoRedefine/>
    <w:uiPriority w:val="0"/>
    <w:pPr>
      <w:widowControl/>
      <w:snapToGrid/>
      <w:spacing w:beforeAutospacing="1" w:afterAutospacing="1" w:line="240" w:lineRule="auto"/>
      <w:ind w:firstLine="0" w:firstLineChars="0"/>
    </w:pPr>
    <w:rPr>
      <w:rFonts w:ascii="宋体" w:hAnsi="宋体" w:cs="宋体"/>
      <w:color w:val="000000"/>
      <w:kern w:val="0"/>
    </w:rPr>
  </w:style>
  <w:style w:type="paragraph" w:customStyle="1" w:styleId="2783">
    <w:name w:val="样式 小四 黑色 首行缩进:  0.74 厘米 行距: 固定值 20 磅"/>
    <w:basedOn w:val="1"/>
    <w:uiPriority w:val="0"/>
    <w:pPr>
      <w:snapToGrid/>
      <w:spacing w:line="440" w:lineRule="exact"/>
      <w:ind w:firstLine="454" w:firstLineChars="0"/>
      <w:jc w:val="both"/>
    </w:pPr>
    <w:rPr>
      <w:rFonts w:cs="宋体"/>
      <w:color w:val="000000"/>
      <w:szCs w:val="20"/>
    </w:rPr>
  </w:style>
  <w:style w:type="paragraph" w:customStyle="1" w:styleId="2784">
    <w:name w:val="样式 热电厂正文 + 首行缩进:  2 字符 Char"/>
    <w:basedOn w:val="1"/>
    <w:autoRedefine/>
    <w:qFormat/>
    <w:uiPriority w:val="0"/>
    <w:pPr>
      <w:snapToGrid/>
      <w:spacing w:line="480" w:lineRule="exact"/>
      <w:jc w:val="both"/>
    </w:pPr>
    <w:rPr>
      <w:rFonts w:cs="宋体"/>
    </w:rPr>
  </w:style>
  <w:style w:type="paragraph" w:customStyle="1" w:styleId="2785">
    <w:name w:val="样式 标题 3 + 宋体 黑色 首行缩进:  2 字符 段前: 6 磅 段后: 6 磅 行距: 最小值 24 磅"/>
    <w:basedOn w:val="5"/>
    <w:autoRedefine/>
    <w:uiPriority w:val="0"/>
    <w:pPr>
      <w:keepNext/>
      <w:keepLines/>
      <w:numPr>
        <w:ilvl w:val="0"/>
        <w:numId w:val="0"/>
      </w:numPr>
      <w:tabs>
        <w:tab w:val="left" w:pos="1134"/>
        <w:tab w:val="left" w:pos="1256"/>
      </w:tabs>
      <w:adjustRightInd w:val="0"/>
      <w:spacing w:before="260" w:beforeLines="0" w:after="260" w:afterLines="0" w:line="480" w:lineRule="atLeast"/>
      <w:ind w:firstLine="200" w:firstLineChars="200"/>
      <w:jc w:val="both"/>
    </w:pPr>
    <w:rPr>
      <w:rFonts w:ascii="宋体" w:hAnsi="宋体"/>
      <w:color w:val="000000"/>
      <w:kern w:val="0"/>
      <w:szCs w:val="28"/>
    </w:rPr>
  </w:style>
  <w:style w:type="paragraph" w:customStyle="1" w:styleId="2786">
    <w:name w:val="样式 黑体 首行缩进:  2 字符 行距: 最小值 24 磅"/>
    <w:basedOn w:val="1"/>
    <w:autoRedefine/>
    <w:uiPriority w:val="0"/>
    <w:pPr>
      <w:snapToGrid/>
      <w:spacing w:line="480" w:lineRule="atLeast"/>
      <w:jc w:val="both"/>
    </w:pPr>
    <w:rPr>
      <w:rFonts w:ascii="黑体" w:eastAsia="黑体" w:cs="宋体"/>
      <w:szCs w:val="20"/>
    </w:rPr>
  </w:style>
  <w:style w:type="character" w:customStyle="1" w:styleId="2787">
    <w:name w:val="样式 热电厂正文 + 首行缩进:  2 字符 Char Char Char Char"/>
    <w:link w:val="2788"/>
    <w:autoRedefine/>
    <w:locked/>
    <w:uiPriority w:val="0"/>
    <w:rPr>
      <w:rFonts w:ascii="宋体" w:hAnsi="宋体"/>
    </w:rPr>
  </w:style>
  <w:style w:type="paragraph" w:customStyle="1" w:styleId="2788">
    <w:name w:val="样式 热电厂正文 + 首行缩进:  2 字符 Char Char Char"/>
    <w:link w:val="2787"/>
    <w:autoRedefine/>
    <w:uiPriority w:val="0"/>
    <w:pPr>
      <w:ind w:firstLine="480"/>
    </w:pPr>
    <w:rPr>
      <w:rFonts w:ascii="宋体" w:hAnsi="宋体" w:eastAsia="宋体" w:cs="Times New Roman"/>
      <w:lang w:val="en-US" w:eastAsia="zh-CN" w:bidi="ar-SA"/>
    </w:rPr>
  </w:style>
  <w:style w:type="paragraph" w:customStyle="1" w:styleId="2789">
    <w:name w:val="样式 标题 3标题 3 Char + 黑色 行距: 固定值 26 磅"/>
    <w:basedOn w:val="5"/>
    <w:uiPriority w:val="0"/>
    <w:pPr>
      <w:keepNext/>
      <w:keepLines/>
      <w:numPr>
        <w:ilvl w:val="0"/>
        <w:numId w:val="0"/>
      </w:numPr>
      <w:tabs>
        <w:tab w:val="left" w:pos="360"/>
        <w:tab w:val="left" w:pos="1647"/>
      </w:tabs>
      <w:snapToGrid/>
      <w:spacing w:before="260" w:beforeLines="0" w:after="260" w:afterLines="0" w:line="520" w:lineRule="exact"/>
      <w:ind w:hanging="200" w:hangingChars="200"/>
      <w:jc w:val="both"/>
    </w:pPr>
    <w:rPr>
      <w:rFonts w:cs="宋体"/>
      <w:kern w:val="0"/>
      <w:sz w:val="30"/>
      <w:szCs w:val="20"/>
    </w:rPr>
  </w:style>
  <w:style w:type="paragraph" w:customStyle="1" w:styleId="2790">
    <w:name w:val="样式 热电厂正文 + 四号 首行缩进:  2 字符"/>
    <w:autoRedefine/>
    <w:uiPriority w:val="0"/>
    <w:rPr>
      <w:rFonts w:ascii="Times New Roman" w:hAnsi="Times New Roman" w:eastAsia="宋体" w:cs="宋体"/>
      <w:lang w:val="en-US" w:eastAsia="zh-CN" w:bidi="ar-SA"/>
    </w:rPr>
  </w:style>
  <w:style w:type="paragraph" w:customStyle="1" w:styleId="2791">
    <w:name w:val="样式 首行缩进:  2 字符5"/>
    <w:basedOn w:val="1"/>
    <w:uiPriority w:val="0"/>
    <w:pPr>
      <w:snapToGrid/>
      <w:spacing w:line="520" w:lineRule="exact"/>
      <w:ind w:firstLine="560"/>
      <w:jc w:val="both"/>
    </w:pPr>
    <w:rPr>
      <w:rFonts w:cs="宋体"/>
      <w:szCs w:val="20"/>
    </w:rPr>
  </w:style>
  <w:style w:type="character" w:customStyle="1" w:styleId="2792">
    <w:name w:val="样式 样式 首行缩进:  2 字符 行距: 最小值 24 磅 + 首行缩进:  2 字符 Char Char Char"/>
    <w:link w:val="2793"/>
    <w:autoRedefine/>
    <w:qFormat/>
    <w:locked/>
    <w:uiPriority w:val="0"/>
    <w:rPr>
      <w:rFonts w:ascii="宋体" w:hAnsi="宋体"/>
      <w:sz w:val="24"/>
      <w:szCs w:val="24"/>
    </w:rPr>
  </w:style>
  <w:style w:type="paragraph" w:customStyle="1" w:styleId="2793">
    <w:name w:val="样式 样式 首行缩进:  2 字符 行距: 最小值 24 磅 + 首行缩进:  2 字符 Char Char"/>
    <w:basedOn w:val="1"/>
    <w:link w:val="2792"/>
    <w:autoRedefine/>
    <w:uiPriority w:val="0"/>
    <w:pPr>
      <w:snapToGrid/>
      <w:spacing w:line="480" w:lineRule="atLeast"/>
      <w:jc w:val="both"/>
    </w:pPr>
    <w:rPr>
      <w:rFonts w:ascii="宋体" w:hAnsi="宋体"/>
      <w:kern w:val="0"/>
    </w:rPr>
  </w:style>
  <w:style w:type="character" w:customStyle="1" w:styleId="2794">
    <w:name w:val="样式 首行缩进:  2 字符 行距: 最小值 24 磅 Char Char Char"/>
    <w:link w:val="2795"/>
    <w:semiHidden/>
    <w:qFormat/>
    <w:locked/>
    <w:uiPriority w:val="0"/>
    <w:rPr>
      <w:rFonts w:ascii="宋体" w:hAnsi="宋体"/>
      <w:sz w:val="24"/>
      <w:szCs w:val="24"/>
    </w:rPr>
  </w:style>
  <w:style w:type="paragraph" w:customStyle="1" w:styleId="2795">
    <w:name w:val="样式 首行缩进:  2 字符 行距: 最小值 24 磅 Char Char"/>
    <w:basedOn w:val="1"/>
    <w:link w:val="2794"/>
    <w:semiHidden/>
    <w:uiPriority w:val="0"/>
    <w:pPr>
      <w:snapToGrid/>
      <w:spacing w:line="480" w:lineRule="atLeast"/>
      <w:ind w:firstLine="560"/>
      <w:jc w:val="both"/>
    </w:pPr>
    <w:rPr>
      <w:rFonts w:ascii="宋体" w:hAnsi="宋体"/>
      <w:kern w:val="0"/>
    </w:rPr>
  </w:style>
  <w:style w:type="paragraph" w:customStyle="1" w:styleId="2796">
    <w:name w:val="表头样式1"/>
    <w:basedOn w:val="1"/>
    <w:qFormat/>
    <w:uiPriority w:val="0"/>
    <w:pPr>
      <w:autoSpaceDE w:val="0"/>
      <w:autoSpaceDN w:val="0"/>
      <w:adjustRightInd w:val="0"/>
      <w:snapToGrid/>
      <w:spacing w:beforeLines="30" w:line="240" w:lineRule="auto"/>
      <w:ind w:firstLine="0" w:firstLineChars="0"/>
      <w:jc w:val="center"/>
    </w:pPr>
    <w:rPr>
      <w:rFonts w:ascii="黑体" w:hAnsi="宋体" w:eastAsia="黑体"/>
      <w:color w:val="000000"/>
      <w:kern w:val="0"/>
    </w:rPr>
  </w:style>
  <w:style w:type="paragraph" w:customStyle="1" w:styleId="2797">
    <w:name w:val="样式 标题 3标题 3 Char + 小四 黑色"/>
    <w:basedOn w:val="5"/>
    <w:uiPriority w:val="0"/>
    <w:pPr>
      <w:keepNext/>
      <w:keepLines/>
      <w:numPr>
        <w:ilvl w:val="0"/>
        <w:numId w:val="0"/>
      </w:numPr>
      <w:tabs>
        <w:tab w:val="left" w:pos="360"/>
        <w:tab w:val="left" w:pos="1647"/>
      </w:tabs>
      <w:snapToGrid/>
      <w:spacing w:before="260" w:beforeLines="0" w:after="260" w:afterLines="0" w:line="480" w:lineRule="atLeast"/>
      <w:ind w:hanging="200" w:hangingChars="200"/>
      <w:jc w:val="both"/>
    </w:pPr>
    <w:rPr>
      <w:color w:val="000000"/>
      <w:kern w:val="0"/>
      <w:szCs w:val="24"/>
    </w:rPr>
  </w:style>
  <w:style w:type="paragraph" w:customStyle="1" w:styleId="2798">
    <w:name w:val="样式 标题 3标题 3 Char + 段前: 0 磅 段后: 0 磅 行距: 最小值 24 磅"/>
    <w:basedOn w:val="5"/>
    <w:autoRedefine/>
    <w:qFormat/>
    <w:uiPriority w:val="0"/>
    <w:pPr>
      <w:keepNext/>
      <w:keepLines/>
      <w:numPr>
        <w:ilvl w:val="0"/>
        <w:numId w:val="0"/>
      </w:numPr>
      <w:tabs>
        <w:tab w:val="left" w:pos="360"/>
        <w:tab w:val="left" w:pos="1647"/>
      </w:tabs>
      <w:snapToGrid/>
      <w:spacing w:before="260" w:beforeLines="0" w:after="260" w:afterLines="0" w:line="480" w:lineRule="atLeast"/>
      <w:ind w:hanging="200" w:hangingChars="200"/>
      <w:jc w:val="both"/>
    </w:pPr>
    <w:rPr>
      <w:rFonts w:cs="宋体"/>
      <w:kern w:val="0"/>
      <w:sz w:val="30"/>
      <w:szCs w:val="20"/>
    </w:rPr>
  </w:style>
  <w:style w:type="paragraph" w:customStyle="1" w:styleId="2799">
    <w:name w:val="样式 首行缩进:  2 字符9"/>
    <w:basedOn w:val="1"/>
    <w:uiPriority w:val="0"/>
    <w:pPr>
      <w:snapToGrid/>
      <w:spacing w:line="520" w:lineRule="exact"/>
      <w:ind w:firstLine="560"/>
      <w:jc w:val="both"/>
    </w:pPr>
    <w:rPr>
      <w:rFonts w:cs="宋体"/>
      <w:szCs w:val="20"/>
    </w:rPr>
  </w:style>
  <w:style w:type="paragraph" w:customStyle="1" w:styleId="2800">
    <w:name w:val="样式 样式 首行缩进:  2 字符19 + 首行缩进:  2 字符"/>
    <w:basedOn w:val="1"/>
    <w:autoRedefine/>
    <w:qFormat/>
    <w:uiPriority w:val="0"/>
    <w:pPr>
      <w:snapToGrid/>
      <w:spacing w:line="520" w:lineRule="exact"/>
      <w:jc w:val="both"/>
    </w:pPr>
    <w:rPr>
      <w:rFonts w:cs="宋体"/>
      <w:szCs w:val="20"/>
    </w:rPr>
  </w:style>
  <w:style w:type="paragraph" w:customStyle="1" w:styleId="2801">
    <w:name w:val="样式 标题 1 + 首行缩进:  2 字符 段前: 12 磅 段后: 12 磅 行距: 最小值 24 磅"/>
    <w:basedOn w:val="3"/>
    <w:autoRedefine/>
    <w:qFormat/>
    <w:uiPriority w:val="0"/>
    <w:pPr>
      <w:keepNext/>
      <w:keepLines/>
      <w:numPr>
        <w:numId w:val="0"/>
      </w:numPr>
      <w:tabs>
        <w:tab w:val="left" w:pos="1134"/>
      </w:tabs>
      <w:overflowPunct/>
      <w:adjustRightInd w:val="0"/>
      <w:spacing w:before="340" w:after="330" w:line="480" w:lineRule="atLeast"/>
      <w:jc w:val="both"/>
    </w:pPr>
    <w:rPr>
      <w:rFonts w:eastAsia="宋体"/>
      <w:snapToGrid/>
      <w:color w:val="auto"/>
      <w:sz w:val="32"/>
      <w:szCs w:val="20"/>
    </w:rPr>
  </w:style>
  <w:style w:type="paragraph" w:customStyle="1" w:styleId="2802">
    <w:name w:val="样式 标题 2 + 段前: 6 磅 段后: 6 磅 行距: 最小值 24 磅"/>
    <w:basedOn w:val="4"/>
    <w:autoRedefine/>
    <w:qFormat/>
    <w:uiPriority w:val="0"/>
    <w:pPr>
      <w:keepNext/>
      <w:keepLines/>
      <w:numPr>
        <w:ilvl w:val="0"/>
        <w:numId w:val="0"/>
      </w:numPr>
      <w:tabs>
        <w:tab w:val="left" w:pos="927"/>
        <w:tab w:val="left" w:pos="1134"/>
      </w:tabs>
      <w:adjustRightInd w:val="0"/>
      <w:spacing w:before="260" w:beforeLines="0" w:after="260" w:afterLines="0" w:line="480" w:lineRule="atLeast"/>
      <w:jc w:val="both"/>
    </w:pPr>
    <w:rPr>
      <w:b w:val="0"/>
      <w:kern w:val="0"/>
      <w:szCs w:val="30"/>
    </w:rPr>
  </w:style>
  <w:style w:type="paragraph" w:customStyle="1" w:styleId="2803">
    <w:name w:val="样式 样式 标题 3 + 宋体 黑色 首行缩进:  2 字符 段前: 6 磅 段后: 6 磅 行距: 最小值 24 磅 + 首行..."/>
    <w:basedOn w:val="2785"/>
    <w:autoRedefine/>
    <w:qFormat/>
    <w:uiPriority w:val="0"/>
    <w:pPr>
      <w:ind w:firstLine="562"/>
    </w:pPr>
    <w:rPr>
      <w:rFonts w:ascii="Times New Roman" w:hAnsi="Times New Roman"/>
    </w:rPr>
  </w:style>
  <w:style w:type="paragraph" w:customStyle="1" w:styleId="2804">
    <w:name w:val="样式 标题 3 + 首行缩进:  2 字符 段前: 6 磅 段后: 6 磅 行距: 最小值 24 磅"/>
    <w:basedOn w:val="5"/>
    <w:autoRedefine/>
    <w:qFormat/>
    <w:uiPriority w:val="0"/>
    <w:pPr>
      <w:keepNext/>
      <w:keepLines/>
      <w:numPr>
        <w:ilvl w:val="0"/>
        <w:numId w:val="0"/>
      </w:numPr>
      <w:tabs>
        <w:tab w:val="left" w:pos="1134"/>
        <w:tab w:val="left" w:pos="1256"/>
      </w:tabs>
      <w:adjustRightInd w:val="0"/>
      <w:spacing w:before="260" w:beforeLines="0" w:after="260" w:afterLines="0" w:line="480" w:lineRule="atLeast"/>
      <w:ind w:firstLine="100" w:firstLineChars="100"/>
      <w:jc w:val="both"/>
    </w:pPr>
    <w:rPr>
      <w:kern w:val="0"/>
      <w:szCs w:val="28"/>
    </w:rPr>
  </w:style>
  <w:style w:type="paragraph" w:customStyle="1" w:styleId="2805">
    <w:name w:val="样式 标题 4 + 首行缩进:  2 字符1"/>
    <w:basedOn w:val="6"/>
    <w:autoRedefine/>
    <w:qFormat/>
    <w:uiPriority w:val="0"/>
    <w:pPr>
      <w:keepNext/>
      <w:keepLines/>
      <w:numPr>
        <w:ilvl w:val="0"/>
        <w:numId w:val="0"/>
      </w:numPr>
      <w:tabs>
        <w:tab w:val="left" w:pos="1134"/>
        <w:tab w:val="left" w:pos="1630"/>
      </w:tabs>
      <w:adjustRightInd w:val="0"/>
      <w:spacing w:before="280" w:beforeLines="0" w:after="290" w:afterLines="0" w:line="480" w:lineRule="atLeast"/>
      <w:ind w:firstLine="480" w:firstLineChars="200"/>
      <w:jc w:val="both"/>
    </w:pPr>
    <w:rPr>
      <w:rFonts w:ascii="Arial" w:hAnsi="Arial"/>
      <w:bCs w:val="0"/>
      <w:kern w:val="0"/>
      <w:szCs w:val="24"/>
    </w:rPr>
  </w:style>
  <w:style w:type="paragraph" w:customStyle="1" w:styleId="2806">
    <w:name w:val="样式 标题 4 + 四号"/>
    <w:basedOn w:val="6"/>
    <w:autoRedefine/>
    <w:uiPriority w:val="0"/>
    <w:pPr>
      <w:keepNext/>
      <w:keepLines/>
      <w:widowControl/>
      <w:numPr>
        <w:ilvl w:val="0"/>
        <w:numId w:val="0"/>
      </w:numPr>
      <w:tabs>
        <w:tab w:val="left" w:pos="1134"/>
        <w:tab w:val="left" w:pos="1630"/>
      </w:tabs>
      <w:spacing w:before="280" w:beforeLines="0" w:after="290" w:afterLines="0" w:line="480" w:lineRule="atLeast"/>
      <w:ind w:firstLine="200" w:firstLineChars="200"/>
      <w:jc w:val="both"/>
    </w:pPr>
    <w:rPr>
      <w:b w:val="0"/>
      <w:bCs w:val="0"/>
      <w:kern w:val="0"/>
      <w:szCs w:val="24"/>
    </w:rPr>
  </w:style>
  <w:style w:type="paragraph" w:customStyle="1" w:styleId="2807">
    <w:name w:val="样式 样式 标题 3 + 首行缩进:  2 字符 段前: 6 磅 段后: 6 磅 行距: 最小值 24 磅 + 首行缩进:  1..."/>
    <w:basedOn w:val="2804"/>
    <w:autoRedefine/>
    <w:qFormat/>
    <w:uiPriority w:val="0"/>
    <w:pPr>
      <w:ind w:firstLine="280"/>
    </w:pPr>
    <w:rPr>
      <w:rFonts w:cs="宋体"/>
      <w:b w:val="0"/>
    </w:rPr>
  </w:style>
  <w:style w:type="paragraph" w:customStyle="1" w:styleId="2808">
    <w:name w:val="样式 样式 标题 4 + 四号 + 首行缩进:  2 字符"/>
    <w:basedOn w:val="2806"/>
    <w:autoRedefine/>
    <w:qFormat/>
    <w:uiPriority w:val="0"/>
    <w:rPr>
      <w:rFonts w:cs="宋体"/>
      <w:szCs w:val="20"/>
    </w:rPr>
  </w:style>
  <w:style w:type="paragraph" w:customStyle="1" w:styleId="2809">
    <w:name w:val="样式 正文文本缩进 + 小四 非加粗 非倾斜 行距: 固定值 20 磅"/>
    <w:basedOn w:val="35"/>
    <w:autoRedefine/>
    <w:qFormat/>
    <w:uiPriority w:val="0"/>
    <w:pPr>
      <w:snapToGrid/>
      <w:spacing w:line="440" w:lineRule="exact"/>
      <w:ind w:left="0" w:leftChars="0" w:firstLine="454" w:firstLineChars="0"/>
      <w:jc w:val="both"/>
    </w:pPr>
    <w:rPr>
      <w:rFonts w:eastAsia="Times New Roman"/>
    </w:rPr>
  </w:style>
  <w:style w:type="paragraph" w:customStyle="1" w:styleId="2810">
    <w:name w:val="样式 热电厂正文 + 首行缩进:  2 字符 Char Char"/>
    <w:basedOn w:val="2448"/>
    <w:autoRedefine/>
    <w:qFormat/>
    <w:uiPriority w:val="0"/>
    <w:pPr>
      <w:spacing w:line="480" w:lineRule="exact"/>
    </w:pPr>
    <w:rPr>
      <w:rFonts w:cs="宋体"/>
    </w:rPr>
  </w:style>
  <w:style w:type="paragraph" w:customStyle="1" w:styleId="2811">
    <w:name w:val="样式 样式 首行缩进:  2 字符 行距: 最小值 24 磅 + 首行缩进:  2 字符 Char"/>
    <w:basedOn w:val="1"/>
    <w:autoRedefine/>
    <w:qFormat/>
    <w:uiPriority w:val="0"/>
    <w:pPr>
      <w:snapToGrid/>
      <w:spacing w:line="480" w:lineRule="atLeast"/>
      <w:jc w:val="both"/>
    </w:pPr>
    <w:rPr>
      <w:rFonts w:cs="宋体"/>
    </w:rPr>
  </w:style>
  <w:style w:type="paragraph" w:customStyle="1" w:styleId="2812">
    <w:name w:val=".€·..‘ .€·..‘ ..￡............è.. + .￥·..fi_GB2312 é|.è.....è..:  2 .....| ..μ.’”: 0.3 è.. è..è·.: 1.5 ..“è..è·. + é|.è.........&quot;"/>
    <w:basedOn w:val="180"/>
    <w:next w:val="180"/>
    <w:autoRedefine/>
    <w:uiPriority w:val="0"/>
    <w:pPr>
      <w:suppressAutoHyphens w:val="0"/>
      <w:adjustRightInd w:val="0"/>
      <w:spacing w:after="30"/>
      <w:textAlignment w:val="auto"/>
    </w:pPr>
    <w:rPr>
      <w:rFonts w:ascii="Kai Titling" w:hAnsi="Times New Roman" w:eastAsia="Kai Titling" w:cs="Times New Roman"/>
      <w:color w:val="auto"/>
    </w:rPr>
  </w:style>
  <w:style w:type="paragraph" w:customStyle="1" w:styleId="2813">
    <w:name w:val="表－索引"/>
    <w:basedOn w:val="1"/>
    <w:autoRedefine/>
    <w:qFormat/>
    <w:uiPriority w:val="0"/>
    <w:pPr>
      <w:snapToGrid/>
      <w:ind w:firstLine="0" w:firstLineChars="0"/>
      <w:jc w:val="center"/>
    </w:pPr>
    <w:rPr>
      <w:szCs w:val="20"/>
    </w:rPr>
  </w:style>
  <w:style w:type="paragraph" w:customStyle="1" w:styleId="2814">
    <w:name w:val="样式 标题 2节标题 1.1标题 2 Char1标题 2 Char Char1.1标题 21.1标题2标题 2 C..."/>
    <w:basedOn w:val="4"/>
    <w:uiPriority w:val="0"/>
    <w:pPr>
      <w:keepNext/>
      <w:keepLines/>
      <w:numPr>
        <w:ilvl w:val="0"/>
        <w:numId w:val="0"/>
      </w:numPr>
      <w:tabs>
        <w:tab w:val="left" w:pos="927"/>
      </w:tabs>
      <w:snapToGrid/>
      <w:spacing w:before="260" w:beforeLines="0" w:after="260" w:afterLines="0" w:line="480" w:lineRule="exact"/>
      <w:ind w:firstLine="567"/>
      <w:jc w:val="both"/>
    </w:pPr>
    <w:rPr>
      <w:kern w:val="0"/>
      <w:sz w:val="28"/>
    </w:rPr>
  </w:style>
  <w:style w:type="paragraph" w:customStyle="1" w:styleId="2815">
    <w:name w:val="Char2 Char Char Char"/>
    <w:basedOn w:val="1"/>
    <w:autoRedefine/>
    <w:qFormat/>
    <w:uiPriority w:val="0"/>
    <w:pPr>
      <w:autoSpaceDE w:val="0"/>
      <w:autoSpaceDN w:val="0"/>
      <w:adjustRightInd w:val="0"/>
      <w:ind w:firstLine="560"/>
      <w:jc w:val="both"/>
    </w:pPr>
    <w:rPr>
      <w:rFonts w:ascii="宋体" w:hAnsi="宋体" w:eastAsia="仿宋_GB2312"/>
      <w:color w:val="000000"/>
    </w:rPr>
  </w:style>
  <w:style w:type="paragraph" w:customStyle="1" w:styleId="2816">
    <w:name w:val="Char Char1 Char Char Char Char Char Char Char Char Char Char Char Char Char Char1 Char Char Char Char Char Char1"/>
    <w:basedOn w:val="1"/>
    <w:autoRedefine/>
    <w:qFormat/>
    <w:uiPriority w:val="0"/>
    <w:pPr>
      <w:widowControl/>
      <w:snapToGrid/>
      <w:spacing w:line="300" w:lineRule="auto"/>
      <w:ind w:firstLine="200"/>
      <w:jc w:val="both"/>
    </w:pPr>
    <w:rPr>
      <w:sz w:val="21"/>
    </w:rPr>
  </w:style>
  <w:style w:type="character" w:customStyle="1" w:styleId="2817">
    <w:name w:val="正文-自建 Char"/>
    <w:link w:val="2818"/>
    <w:autoRedefine/>
    <w:qFormat/>
    <w:locked/>
    <w:uiPriority w:val="0"/>
    <w:rPr>
      <w:sz w:val="28"/>
      <w:szCs w:val="28"/>
    </w:rPr>
  </w:style>
  <w:style w:type="paragraph" w:customStyle="1" w:styleId="2818">
    <w:name w:val="正文-自建"/>
    <w:basedOn w:val="21"/>
    <w:link w:val="2817"/>
    <w:autoRedefine/>
    <w:qFormat/>
    <w:uiPriority w:val="0"/>
    <w:pPr>
      <w:spacing w:line="600" w:lineRule="exact"/>
      <w:ind w:firstLine="200"/>
    </w:pPr>
    <w:rPr>
      <w:kern w:val="0"/>
      <w:sz w:val="28"/>
      <w:szCs w:val="28"/>
    </w:rPr>
  </w:style>
  <w:style w:type="paragraph" w:customStyle="1" w:styleId="2819">
    <w:name w:val="样式 行距: 固定值 24 磅"/>
    <w:basedOn w:val="1"/>
    <w:autoRedefine/>
    <w:qFormat/>
    <w:uiPriority w:val="0"/>
    <w:pPr>
      <w:snapToGrid/>
      <w:spacing w:line="480" w:lineRule="exact"/>
      <w:ind w:firstLine="200"/>
      <w:jc w:val="both"/>
    </w:pPr>
    <w:rPr>
      <w:szCs w:val="20"/>
    </w:rPr>
  </w:style>
  <w:style w:type="paragraph" w:customStyle="1" w:styleId="2820">
    <w:name w:val="Pa1"/>
    <w:basedOn w:val="1"/>
    <w:next w:val="1"/>
    <w:autoRedefine/>
    <w:qFormat/>
    <w:uiPriority w:val="0"/>
    <w:pPr>
      <w:autoSpaceDE w:val="0"/>
      <w:autoSpaceDN w:val="0"/>
      <w:snapToGrid/>
      <w:spacing w:line="221" w:lineRule="atLeast"/>
      <w:ind w:firstLine="0" w:firstLineChars="0"/>
    </w:pPr>
    <w:rPr>
      <w:rFonts w:ascii="黑体" w:hAnsi="黑体" w:eastAsia="黑体"/>
      <w:color w:val="000000"/>
      <w:kern w:val="0"/>
      <w:szCs w:val="20"/>
    </w:rPr>
  </w:style>
  <w:style w:type="paragraph" w:customStyle="1" w:styleId="2821">
    <w:name w:val="Pa3"/>
    <w:basedOn w:val="180"/>
    <w:next w:val="180"/>
    <w:autoRedefine/>
    <w:uiPriority w:val="0"/>
    <w:pPr>
      <w:suppressAutoHyphens w:val="0"/>
      <w:spacing w:line="241" w:lineRule="atLeast"/>
      <w:textAlignment w:val="auto"/>
    </w:pPr>
    <w:rPr>
      <w:rFonts w:ascii="黑体" w:hAnsi="黑体" w:eastAsia="黑体" w:cs="Times New Roman"/>
      <w:szCs w:val="20"/>
    </w:rPr>
  </w:style>
  <w:style w:type="paragraph" w:customStyle="1" w:styleId="2822">
    <w:name w:val="Pa9"/>
    <w:basedOn w:val="1"/>
    <w:next w:val="1"/>
    <w:autoRedefine/>
    <w:qFormat/>
    <w:uiPriority w:val="0"/>
    <w:pPr>
      <w:autoSpaceDE w:val="0"/>
      <w:autoSpaceDN w:val="0"/>
      <w:adjustRightInd w:val="0"/>
      <w:snapToGrid/>
      <w:spacing w:line="221" w:lineRule="atLeast"/>
      <w:ind w:firstLine="0" w:firstLineChars="0"/>
    </w:pPr>
    <w:rPr>
      <w:rFonts w:ascii="黑体" w:hAnsi="Calibri" w:eastAsia="黑体"/>
      <w:kern w:val="0"/>
    </w:rPr>
  </w:style>
  <w:style w:type="paragraph" w:customStyle="1" w:styleId="2823">
    <w:name w:val="中文报告书样式 Char"/>
    <w:basedOn w:val="1"/>
    <w:qFormat/>
    <w:uiPriority w:val="0"/>
    <w:pPr>
      <w:adjustRightInd w:val="0"/>
      <w:snapToGrid/>
      <w:spacing w:line="480" w:lineRule="atLeast"/>
      <w:ind w:firstLine="482" w:firstLineChars="0"/>
      <w:jc w:val="both"/>
    </w:pPr>
    <w:rPr>
      <w:kern w:val="24"/>
      <w:szCs w:val="20"/>
    </w:rPr>
  </w:style>
  <w:style w:type="paragraph" w:customStyle="1" w:styleId="2824">
    <w:name w:val="秦皇岛正文"/>
    <w:basedOn w:val="1"/>
    <w:autoRedefine/>
    <w:qFormat/>
    <w:uiPriority w:val="0"/>
    <w:pPr>
      <w:snapToGrid/>
      <w:spacing w:line="400" w:lineRule="exact"/>
      <w:ind w:firstLine="200"/>
      <w:jc w:val="both"/>
    </w:pPr>
    <w:rPr>
      <w:rFonts w:ascii="宋体" w:hAnsi="宋体"/>
    </w:rPr>
  </w:style>
  <w:style w:type="paragraph" w:customStyle="1" w:styleId="2825">
    <w:name w:val="正文内容"/>
    <w:basedOn w:val="1"/>
    <w:qFormat/>
    <w:uiPriority w:val="0"/>
    <w:pPr>
      <w:widowControl/>
      <w:spacing w:line="276" w:lineRule="auto"/>
      <w:ind w:firstLine="425" w:firstLineChars="0"/>
      <w:jc w:val="both"/>
    </w:pPr>
    <w:rPr>
      <w:kern w:val="0"/>
      <w:szCs w:val="20"/>
    </w:rPr>
  </w:style>
  <w:style w:type="character" w:customStyle="1" w:styleId="2826">
    <w:name w:val="0-4 Char"/>
    <w:link w:val="2827"/>
    <w:autoRedefine/>
    <w:qFormat/>
    <w:locked/>
    <w:uiPriority w:val="0"/>
    <w:rPr>
      <w:rFonts w:ascii="宋体" w:hAnsi="宋体"/>
      <w:sz w:val="24"/>
      <w:szCs w:val="24"/>
    </w:rPr>
  </w:style>
  <w:style w:type="paragraph" w:customStyle="1" w:styleId="2827">
    <w:name w:val="0-4"/>
    <w:basedOn w:val="1"/>
    <w:link w:val="2826"/>
    <w:autoRedefine/>
    <w:uiPriority w:val="0"/>
    <w:pPr>
      <w:snapToGrid/>
      <w:spacing w:line="440" w:lineRule="exact"/>
      <w:jc w:val="both"/>
    </w:pPr>
    <w:rPr>
      <w:rFonts w:ascii="宋体" w:hAnsi="宋体"/>
      <w:kern w:val="0"/>
    </w:rPr>
  </w:style>
  <w:style w:type="paragraph" w:customStyle="1" w:styleId="2828">
    <w:name w:val="宋体 13 磅 行距: 固定值 24 磅"/>
    <w:basedOn w:val="1"/>
    <w:autoRedefine/>
    <w:uiPriority w:val="0"/>
    <w:pPr>
      <w:snapToGrid/>
      <w:spacing w:line="480" w:lineRule="exact"/>
      <w:ind w:firstLine="520"/>
      <w:jc w:val="both"/>
    </w:pPr>
    <w:rPr>
      <w:rFonts w:ascii="宋体" w:hAnsi="宋体" w:cs="宋体"/>
      <w:sz w:val="26"/>
      <w:szCs w:val="20"/>
    </w:rPr>
  </w:style>
  <w:style w:type="paragraph" w:customStyle="1" w:styleId="2829">
    <w:name w:val="(1)"/>
    <w:basedOn w:val="1"/>
    <w:autoRedefine/>
    <w:qFormat/>
    <w:uiPriority w:val="0"/>
    <w:pPr>
      <w:snapToGrid/>
      <w:spacing w:line="240" w:lineRule="auto"/>
      <w:ind w:firstLine="0" w:firstLineChars="0"/>
      <w:jc w:val="both"/>
    </w:pPr>
    <w:rPr>
      <w:szCs w:val="20"/>
    </w:rPr>
  </w:style>
  <w:style w:type="character" w:customStyle="1" w:styleId="2830">
    <w:name w:val="正文部分 Char Char"/>
    <w:link w:val="2831"/>
    <w:autoRedefine/>
    <w:semiHidden/>
    <w:locked/>
    <w:uiPriority w:val="0"/>
    <w:rPr>
      <w:rFonts w:ascii="Arial" w:hAnsi="Arial"/>
      <w:sz w:val="24"/>
      <w:szCs w:val="24"/>
    </w:rPr>
  </w:style>
  <w:style w:type="paragraph" w:customStyle="1" w:styleId="2831">
    <w:name w:val="正文部分"/>
    <w:basedOn w:val="1"/>
    <w:link w:val="2830"/>
    <w:autoRedefine/>
    <w:semiHidden/>
    <w:qFormat/>
    <w:uiPriority w:val="0"/>
    <w:pPr>
      <w:snapToGrid/>
      <w:jc w:val="both"/>
    </w:pPr>
    <w:rPr>
      <w:rFonts w:ascii="Arial" w:hAnsi="Arial"/>
      <w:kern w:val="0"/>
    </w:rPr>
  </w:style>
  <w:style w:type="paragraph" w:customStyle="1" w:styleId="2832">
    <w:name w:val="fix"/>
    <w:basedOn w:val="1"/>
    <w:autoRedefine/>
    <w:qFormat/>
    <w:uiPriority w:val="0"/>
    <w:pPr>
      <w:widowControl/>
      <w:snapToGrid/>
      <w:spacing w:beforeAutospacing="1" w:afterAutospacing="1" w:line="288" w:lineRule="auto"/>
      <w:ind w:firstLine="0" w:firstLineChars="0"/>
    </w:pPr>
    <w:rPr>
      <w:rFonts w:ascii="ˎ̥" w:hAnsi="ˎ̥" w:cs="宋体"/>
      <w:color w:val="000000"/>
      <w:kern w:val="0"/>
      <w:sz w:val="20"/>
      <w:szCs w:val="20"/>
    </w:rPr>
  </w:style>
  <w:style w:type="paragraph" w:customStyle="1" w:styleId="2833">
    <w:name w:val="_Style 19"/>
    <w:basedOn w:val="1"/>
    <w:uiPriority w:val="0"/>
    <w:pPr>
      <w:widowControl/>
      <w:snapToGrid/>
      <w:spacing w:line="240" w:lineRule="exact"/>
      <w:ind w:firstLine="0" w:firstLineChars="0"/>
    </w:pPr>
    <w:rPr>
      <w:sz w:val="21"/>
      <w:szCs w:val="20"/>
    </w:rPr>
  </w:style>
  <w:style w:type="paragraph" w:customStyle="1" w:styleId="2834">
    <w:name w:val="Char Char7 Char Char Char Char Char Char1"/>
    <w:basedOn w:val="5"/>
    <w:autoRedefine/>
    <w:qFormat/>
    <w:uiPriority w:val="0"/>
    <w:pPr>
      <w:keepNext/>
      <w:keepLines/>
      <w:numPr>
        <w:ilvl w:val="0"/>
        <w:numId w:val="0"/>
      </w:numPr>
      <w:tabs>
        <w:tab w:val="left" w:pos="360"/>
        <w:tab w:val="left" w:pos="900"/>
      </w:tabs>
      <w:spacing w:before="260" w:beforeLines="0" w:after="260" w:afterLines="0"/>
      <w:ind w:left="-12" w:leftChars="-12" w:firstLine="200" w:firstLineChars="200"/>
    </w:pPr>
    <w:rPr>
      <w:rFonts w:eastAsia="黑体"/>
      <w:b w:val="0"/>
      <w:bCs w:val="0"/>
      <w:kern w:val="0"/>
      <w:sz w:val="24"/>
      <w:szCs w:val="24"/>
    </w:rPr>
  </w:style>
  <w:style w:type="paragraph" w:customStyle="1" w:styleId="2835">
    <w:name w:val="Char Char Char1 Char11"/>
    <w:basedOn w:val="1"/>
    <w:autoRedefine/>
    <w:qFormat/>
    <w:uiPriority w:val="0"/>
    <w:pPr>
      <w:adjustRightInd w:val="0"/>
      <w:spacing w:line="240" w:lineRule="auto"/>
      <w:ind w:left="-45" w:firstLine="0" w:firstLineChars="0"/>
      <w:jc w:val="both"/>
    </w:pPr>
    <w:rPr>
      <w:sz w:val="21"/>
    </w:rPr>
  </w:style>
  <w:style w:type="character" w:customStyle="1" w:styleId="2836">
    <w:name w:val="yyp Char"/>
    <w:link w:val="2837"/>
    <w:locked/>
    <w:uiPriority w:val="0"/>
    <w:rPr>
      <w:sz w:val="24"/>
      <w:szCs w:val="24"/>
    </w:rPr>
  </w:style>
  <w:style w:type="paragraph" w:customStyle="1" w:styleId="2837">
    <w:name w:val="yyp"/>
    <w:basedOn w:val="86"/>
    <w:link w:val="2836"/>
    <w:autoRedefine/>
    <w:qFormat/>
    <w:uiPriority w:val="0"/>
    <w:pPr>
      <w:spacing w:line="360" w:lineRule="auto"/>
      <w:ind w:firstLine="480" w:firstLineChars="200"/>
    </w:pPr>
    <w:rPr>
      <w:color w:val="auto"/>
      <w:kern w:val="0"/>
    </w:rPr>
  </w:style>
  <w:style w:type="paragraph" w:customStyle="1" w:styleId="2838">
    <w:name w:val="X-正文"/>
    <w:basedOn w:val="1"/>
    <w:uiPriority w:val="0"/>
    <w:pPr>
      <w:adjustRightInd w:val="0"/>
      <w:ind w:firstLine="200"/>
    </w:pPr>
    <w:rPr>
      <w:rFonts w:ascii="宋体" w:hAnsi="宋体" w:eastAsia="楷体_GB2312"/>
    </w:rPr>
  </w:style>
  <w:style w:type="character" w:customStyle="1" w:styleId="2839">
    <w:name w:val="武正文 Char"/>
    <w:link w:val="2840"/>
    <w:autoRedefine/>
    <w:qFormat/>
    <w:locked/>
    <w:uiPriority w:val="0"/>
    <w:rPr>
      <w:color w:val="000000"/>
      <w:sz w:val="24"/>
      <w:szCs w:val="24"/>
    </w:rPr>
  </w:style>
  <w:style w:type="paragraph" w:customStyle="1" w:styleId="2840">
    <w:name w:val="武正文"/>
    <w:basedOn w:val="1"/>
    <w:link w:val="2839"/>
    <w:qFormat/>
    <w:uiPriority w:val="0"/>
    <w:pPr>
      <w:snapToGrid/>
      <w:spacing w:line="460" w:lineRule="exact"/>
      <w:ind w:firstLine="200"/>
      <w:jc w:val="both"/>
    </w:pPr>
    <w:rPr>
      <w:color w:val="000000"/>
      <w:kern w:val="0"/>
    </w:rPr>
  </w:style>
  <w:style w:type="paragraph" w:customStyle="1" w:styleId="2841">
    <w:name w:val="正文-报告书"/>
    <w:basedOn w:val="1"/>
    <w:uiPriority w:val="0"/>
    <w:pPr>
      <w:snapToGrid/>
      <w:spacing w:line="460" w:lineRule="exact"/>
      <w:jc w:val="both"/>
    </w:pPr>
  </w:style>
  <w:style w:type="paragraph" w:customStyle="1" w:styleId="2842">
    <w:name w:val="表内序号"/>
    <w:basedOn w:val="1"/>
    <w:autoRedefine/>
    <w:qFormat/>
    <w:uiPriority w:val="0"/>
    <w:pPr>
      <w:widowControl/>
      <w:adjustRightInd w:val="0"/>
      <w:ind w:right="-47" w:rightChars="-47" w:firstLine="0" w:firstLineChars="0"/>
      <w:jc w:val="center"/>
    </w:pPr>
    <w:rPr>
      <w:kern w:val="0"/>
      <w:szCs w:val="20"/>
    </w:rPr>
  </w:style>
  <w:style w:type="paragraph" w:customStyle="1" w:styleId="2843">
    <w:name w:val="表格标题-报告书"/>
    <w:basedOn w:val="1"/>
    <w:next w:val="1"/>
    <w:qFormat/>
    <w:uiPriority w:val="0"/>
    <w:pPr>
      <w:snapToGrid/>
      <w:spacing w:beforeLines="50" w:line="240" w:lineRule="auto"/>
      <w:ind w:firstLine="0" w:firstLineChars="0"/>
      <w:jc w:val="center"/>
    </w:pPr>
    <w:rPr>
      <w:rFonts w:eastAsia="华文中宋"/>
      <w:kern w:val="24"/>
      <w:sz w:val="21"/>
      <w:szCs w:val="21"/>
    </w:rPr>
  </w:style>
  <w:style w:type="paragraph" w:customStyle="1" w:styleId="2844">
    <w:name w:val="表格文字居中-报告书"/>
    <w:basedOn w:val="1"/>
    <w:next w:val="1"/>
    <w:uiPriority w:val="0"/>
    <w:pPr>
      <w:snapToGrid/>
      <w:spacing w:line="240" w:lineRule="auto"/>
      <w:ind w:firstLine="0" w:firstLineChars="0"/>
      <w:jc w:val="center"/>
    </w:pPr>
    <w:rPr>
      <w:sz w:val="21"/>
      <w:szCs w:val="18"/>
    </w:rPr>
  </w:style>
  <w:style w:type="paragraph" w:customStyle="1" w:styleId="2845">
    <w:name w:val="统一正文格式"/>
    <w:basedOn w:val="35"/>
    <w:uiPriority w:val="0"/>
    <w:pPr>
      <w:tabs>
        <w:tab w:val="left" w:pos="0"/>
      </w:tabs>
      <w:snapToGrid/>
      <w:spacing w:line="460" w:lineRule="atLeast"/>
      <w:ind w:left="0" w:leftChars="0" w:firstLine="200"/>
      <w:jc w:val="both"/>
    </w:pPr>
    <w:rPr>
      <w:rFonts w:eastAsia="Times New Roman" w:cs="宋体"/>
      <w:kern w:val="24"/>
    </w:rPr>
  </w:style>
  <w:style w:type="paragraph" w:customStyle="1" w:styleId="2846">
    <w:name w:val="X-正文-B"/>
    <w:qFormat/>
    <w:uiPriority w:val="0"/>
    <w:pPr>
      <w:spacing w:line="360" w:lineRule="auto"/>
    </w:pPr>
    <w:rPr>
      <w:rFonts w:ascii="宋体" w:hAnsi="宋体" w:eastAsia="楷体_GB2312" w:cs="Times New Roman"/>
      <w:b/>
      <w:kern w:val="2"/>
      <w:sz w:val="24"/>
      <w:szCs w:val="24"/>
      <w:lang w:val="en-US" w:eastAsia="zh-CN" w:bidi="ar-SA"/>
    </w:rPr>
  </w:style>
  <w:style w:type="paragraph" w:customStyle="1" w:styleId="2847">
    <w:name w:val="表格文本"/>
    <w:basedOn w:val="1"/>
    <w:next w:val="1"/>
    <w:uiPriority w:val="0"/>
    <w:pPr>
      <w:snapToGrid/>
      <w:spacing w:line="240" w:lineRule="exact"/>
      <w:ind w:firstLine="0" w:firstLineChars="0"/>
      <w:jc w:val="both"/>
    </w:pPr>
    <w:rPr>
      <w:sz w:val="21"/>
      <w:szCs w:val="20"/>
    </w:rPr>
  </w:style>
  <w:style w:type="paragraph" w:customStyle="1" w:styleId="2848">
    <w:name w:val="正文-使用"/>
    <w:basedOn w:val="1"/>
    <w:uiPriority w:val="0"/>
    <w:pPr>
      <w:adjustRightInd w:val="0"/>
      <w:ind w:firstLine="482" w:firstLineChars="0"/>
      <w:jc w:val="both"/>
    </w:pPr>
    <w:rPr>
      <w:szCs w:val="20"/>
    </w:rPr>
  </w:style>
  <w:style w:type="paragraph" w:customStyle="1" w:styleId="2849">
    <w:name w:val="文-5"/>
    <w:basedOn w:val="1"/>
    <w:uiPriority w:val="0"/>
    <w:pPr>
      <w:tabs>
        <w:tab w:val="right" w:leader="dot" w:pos="8789"/>
      </w:tabs>
      <w:snapToGrid/>
      <w:spacing w:line="240" w:lineRule="auto"/>
      <w:ind w:left="1276" w:firstLine="482" w:firstLineChars="0"/>
      <w:jc w:val="both"/>
    </w:pPr>
    <w:rPr>
      <w:szCs w:val="20"/>
    </w:rPr>
  </w:style>
  <w:style w:type="paragraph" w:customStyle="1" w:styleId="2850">
    <w:name w:val="样式 标题 2节标题1.1标题 2节标题 1.1H2节标题 1.1 Char第一层条H21 + 段前: 2.4 磅..."/>
    <w:basedOn w:val="4"/>
    <w:uiPriority w:val="0"/>
    <w:pPr>
      <w:keepNext/>
      <w:keepLines/>
      <w:widowControl/>
      <w:numPr>
        <w:ilvl w:val="0"/>
        <w:numId w:val="0"/>
      </w:numPr>
      <w:tabs>
        <w:tab w:val="left" w:pos="927"/>
        <w:tab w:val="left" w:pos="1134"/>
      </w:tabs>
      <w:spacing w:before="260" w:beforeLines="0" w:after="260" w:afterLines="0" w:line="420" w:lineRule="atLeast"/>
    </w:pPr>
    <w:rPr>
      <w:rFonts w:ascii="宋体" w:eastAsia="黑体" w:cs="宋体"/>
      <w:b w:val="0"/>
      <w:bCs w:val="0"/>
      <w:spacing w:val="-10"/>
      <w:kern w:val="28"/>
      <w:szCs w:val="20"/>
    </w:rPr>
  </w:style>
  <w:style w:type="paragraph" w:customStyle="1" w:styleId="2851">
    <w:name w:val="pic-info"/>
    <w:basedOn w:val="1"/>
    <w:uiPriority w:val="0"/>
    <w:pPr>
      <w:widowControl/>
      <w:snapToGrid/>
      <w:spacing w:beforeAutospacing="1" w:afterAutospacing="1" w:line="240" w:lineRule="auto"/>
      <w:ind w:firstLine="0" w:firstLineChars="0"/>
    </w:pPr>
    <w:rPr>
      <w:rFonts w:ascii="宋体" w:hAnsi="宋体" w:cs="宋体"/>
      <w:kern w:val="0"/>
    </w:rPr>
  </w:style>
  <w:style w:type="character" w:customStyle="1" w:styleId="2852">
    <w:name w:val="样式 标题 2节H2节标题 1.1 + (西文) Times New Roman (中文) 宋体 段前: 6 磅 段... Char Char"/>
    <w:link w:val="2853"/>
    <w:locked/>
    <w:uiPriority w:val="0"/>
    <w:rPr>
      <w:rFonts w:ascii="宋体" w:hAnsi="宋体"/>
      <w:b/>
      <w:bCs/>
      <w:sz w:val="32"/>
    </w:rPr>
  </w:style>
  <w:style w:type="paragraph" w:customStyle="1" w:styleId="2853">
    <w:name w:val="样式 标题 2节H2节标题 1.1 + (西文) Times New Roman (中文) 宋体 段前: 6 磅 段..."/>
    <w:basedOn w:val="4"/>
    <w:next w:val="1"/>
    <w:link w:val="2852"/>
    <w:qFormat/>
    <w:uiPriority w:val="0"/>
    <w:pPr>
      <w:keepNext/>
      <w:keepLines/>
      <w:numPr>
        <w:ilvl w:val="0"/>
        <w:numId w:val="0"/>
      </w:numPr>
      <w:tabs>
        <w:tab w:val="left" w:pos="927"/>
        <w:tab w:val="left" w:pos="1134"/>
      </w:tabs>
      <w:snapToGrid/>
      <w:spacing w:before="260" w:beforeLines="0" w:after="260" w:afterLines="0" w:line="500" w:lineRule="exact"/>
      <w:jc w:val="both"/>
    </w:pPr>
    <w:rPr>
      <w:rFonts w:ascii="宋体" w:hAnsi="宋体"/>
      <w:kern w:val="0"/>
      <w:sz w:val="32"/>
      <w:szCs w:val="20"/>
    </w:rPr>
  </w:style>
  <w:style w:type="paragraph" w:customStyle="1" w:styleId="2854">
    <w:name w:val="reader-word-layer reader-word-s1-17"/>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2855">
    <w:name w:val="reader-word-layer reader-word-s1-18"/>
    <w:basedOn w:val="1"/>
    <w:autoRedefine/>
    <w:uiPriority w:val="0"/>
    <w:pPr>
      <w:widowControl/>
      <w:snapToGrid/>
      <w:spacing w:beforeAutospacing="1" w:afterAutospacing="1" w:line="240" w:lineRule="auto"/>
      <w:ind w:firstLine="0" w:firstLineChars="0"/>
    </w:pPr>
    <w:rPr>
      <w:rFonts w:ascii="宋体" w:hAnsi="宋体" w:cs="宋体"/>
      <w:kern w:val="0"/>
    </w:rPr>
  </w:style>
  <w:style w:type="paragraph" w:customStyle="1" w:styleId="2856">
    <w:name w:val="reader-word-layer reader-word-s1-14"/>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2857">
    <w:name w:val="reader-word-layer reader-word-s1-15"/>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2858">
    <w:name w:val="reader-word-layer reader-word-s1-7 reader-word-s1-15"/>
    <w:basedOn w:val="1"/>
    <w:uiPriority w:val="0"/>
    <w:pPr>
      <w:widowControl/>
      <w:snapToGrid/>
      <w:spacing w:beforeAutospacing="1" w:afterAutospacing="1" w:line="240" w:lineRule="auto"/>
      <w:ind w:firstLine="0" w:firstLineChars="0"/>
    </w:pPr>
    <w:rPr>
      <w:rFonts w:ascii="宋体" w:hAnsi="宋体" w:cs="宋体"/>
      <w:kern w:val="0"/>
    </w:rPr>
  </w:style>
  <w:style w:type="paragraph" w:customStyle="1" w:styleId="2859">
    <w:name w:val="_Style 632"/>
    <w:basedOn w:val="1"/>
    <w:uiPriority w:val="0"/>
    <w:pPr>
      <w:adjustRightInd w:val="0"/>
      <w:ind w:firstLine="200"/>
      <w:jc w:val="both"/>
    </w:pPr>
    <w:rPr>
      <w:sz w:val="21"/>
    </w:rPr>
  </w:style>
  <w:style w:type="paragraph" w:customStyle="1" w:styleId="2860">
    <w:name w:val="reader-word-layer reader-word-s6-1"/>
    <w:basedOn w:val="1"/>
    <w:uiPriority w:val="0"/>
    <w:pPr>
      <w:widowControl/>
      <w:snapToGrid/>
      <w:spacing w:beforeAutospacing="1" w:afterAutospacing="1" w:line="240" w:lineRule="auto"/>
      <w:ind w:firstLine="0" w:firstLineChars="0"/>
    </w:pPr>
    <w:rPr>
      <w:rFonts w:ascii="宋体" w:hAnsi="宋体" w:cs="宋体"/>
      <w:kern w:val="0"/>
    </w:rPr>
  </w:style>
  <w:style w:type="character" w:customStyle="1" w:styleId="2861">
    <w:name w:val="样式 行距: 多倍行距 1.3 字行 Char"/>
    <w:link w:val="2862"/>
    <w:autoRedefine/>
    <w:locked/>
    <w:uiPriority w:val="0"/>
    <w:rPr>
      <w:rFonts w:ascii="仿宋_GB2312" w:eastAsia="仿宋_GB2312"/>
      <w:sz w:val="24"/>
      <w:szCs w:val="24"/>
    </w:rPr>
  </w:style>
  <w:style w:type="paragraph" w:customStyle="1" w:styleId="2862">
    <w:name w:val="样式 行距: 多倍行距 1.3 字行"/>
    <w:basedOn w:val="1"/>
    <w:link w:val="2861"/>
    <w:uiPriority w:val="0"/>
    <w:pPr>
      <w:snapToGrid/>
      <w:jc w:val="both"/>
    </w:pPr>
    <w:rPr>
      <w:rFonts w:ascii="仿宋_GB2312" w:eastAsia="仿宋_GB2312"/>
      <w:kern w:val="0"/>
    </w:rPr>
  </w:style>
  <w:style w:type="character" w:customStyle="1" w:styleId="2863">
    <w:name w:val="dxj正文 Char"/>
    <w:link w:val="2864"/>
    <w:locked/>
    <w:uiPriority w:val="0"/>
    <w:rPr>
      <w:rFonts w:eastAsia="Times New Roman"/>
      <w:snapToGrid w:val="0"/>
      <w:sz w:val="24"/>
      <w:szCs w:val="24"/>
    </w:rPr>
  </w:style>
  <w:style w:type="paragraph" w:customStyle="1" w:styleId="2864">
    <w:name w:val="dxj正文"/>
    <w:link w:val="2863"/>
    <w:uiPriority w:val="0"/>
    <w:pPr>
      <w:snapToGrid w:val="0"/>
      <w:ind w:firstLine="200"/>
    </w:pPr>
    <w:rPr>
      <w:rFonts w:ascii="Times New Roman" w:hAnsi="Times New Roman" w:eastAsia="Times New Roman" w:cs="Times New Roman"/>
      <w:snapToGrid w:val="0"/>
      <w:sz w:val="24"/>
      <w:szCs w:val="24"/>
      <w:lang w:val="en-US" w:eastAsia="zh-CN" w:bidi="ar-SA"/>
    </w:rPr>
  </w:style>
  <w:style w:type="character" w:customStyle="1" w:styleId="2865">
    <w:name w:val="核查报告正文 Char Char"/>
    <w:link w:val="2866"/>
    <w:locked/>
    <w:uiPriority w:val="0"/>
    <w:rPr>
      <w:rFonts w:ascii="Arial" w:hAnsi="Arial" w:eastAsia="楷体_GB2312"/>
      <w:sz w:val="24"/>
      <w:szCs w:val="52"/>
    </w:rPr>
  </w:style>
  <w:style w:type="paragraph" w:customStyle="1" w:styleId="2866">
    <w:name w:val="核查报告正文 Char"/>
    <w:link w:val="2865"/>
    <w:uiPriority w:val="0"/>
    <w:pPr>
      <w:spacing w:line="440" w:lineRule="exact"/>
      <w:ind w:firstLine="200" w:firstLineChars="200"/>
    </w:pPr>
    <w:rPr>
      <w:rFonts w:ascii="Arial" w:hAnsi="Arial" w:eastAsia="楷体_GB2312" w:cs="Times New Roman"/>
      <w:sz w:val="24"/>
      <w:szCs w:val="52"/>
      <w:lang w:val="en-US" w:eastAsia="zh-CN" w:bidi="ar-SA"/>
    </w:rPr>
  </w:style>
  <w:style w:type="character" w:customStyle="1" w:styleId="2867">
    <w:name w:val="正文段落（宋旭峰） Char"/>
    <w:link w:val="2868"/>
    <w:locked/>
    <w:uiPriority w:val="0"/>
    <w:rPr>
      <w:rFonts w:ascii="宋体" w:hAnsi="宋体"/>
      <w:snapToGrid w:val="0"/>
      <w:color w:val="000000"/>
      <w:sz w:val="24"/>
      <w:szCs w:val="24"/>
    </w:rPr>
  </w:style>
  <w:style w:type="paragraph" w:customStyle="1" w:styleId="2868">
    <w:name w:val="正文段落（宋旭峰）"/>
    <w:basedOn w:val="1"/>
    <w:link w:val="2867"/>
    <w:uiPriority w:val="0"/>
    <w:pPr>
      <w:jc w:val="both"/>
    </w:pPr>
    <w:rPr>
      <w:rFonts w:ascii="宋体" w:hAnsi="宋体"/>
      <w:snapToGrid w:val="0"/>
      <w:color w:val="000000"/>
      <w:kern w:val="0"/>
    </w:rPr>
  </w:style>
  <w:style w:type="character" w:customStyle="1" w:styleId="2869">
    <w:name w:val="正文段落 Char"/>
    <w:link w:val="1816"/>
    <w:locked/>
    <w:uiPriority w:val="0"/>
    <w:rPr>
      <w:rFonts w:ascii="宋体" w:hAnsi="宋体"/>
      <w:kern w:val="2"/>
      <w:sz w:val="24"/>
    </w:rPr>
  </w:style>
  <w:style w:type="paragraph" w:customStyle="1" w:styleId="2870">
    <w:name w:val="Char Char Char3 Char Char Char Char"/>
    <w:basedOn w:val="1"/>
    <w:next w:val="1"/>
    <w:uiPriority w:val="0"/>
    <w:pPr>
      <w:snapToGrid/>
      <w:ind w:firstLine="200"/>
      <w:jc w:val="both"/>
    </w:pPr>
    <w:rPr>
      <w:rFonts w:ascii="宋体" w:hAnsi="宋体" w:cs="宋体"/>
    </w:rPr>
  </w:style>
  <w:style w:type="paragraph" w:customStyle="1" w:styleId="2871">
    <w:name w:val="Char Char1 Char Char1 Char Char Char Char"/>
    <w:basedOn w:val="1"/>
    <w:uiPriority w:val="0"/>
    <w:pPr>
      <w:snapToGrid/>
      <w:spacing w:line="240" w:lineRule="auto"/>
      <w:ind w:firstLine="0" w:firstLineChars="0"/>
      <w:jc w:val="both"/>
    </w:pPr>
    <w:rPr>
      <w:rFonts w:ascii="Tahoma" w:hAnsi="Tahoma"/>
      <w:szCs w:val="20"/>
    </w:rPr>
  </w:style>
  <w:style w:type="paragraph" w:customStyle="1" w:styleId="2872">
    <w:name w:val="Char Char3 Char Char Char Char Char Char Char"/>
    <w:basedOn w:val="1"/>
    <w:uiPriority w:val="0"/>
    <w:pPr>
      <w:widowControl/>
      <w:snapToGrid/>
      <w:spacing w:line="240" w:lineRule="exact"/>
      <w:ind w:firstLine="0" w:firstLineChars="0"/>
    </w:pPr>
    <w:rPr>
      <w:rFonts w:ascii="Verdana" w:hAnsi="Verdana"/>
      <w:kern w:val="0"/>
      <w:sz w:val="20"/>
      <w:szCs w:val="20"/>
      <w:lang w:eastAsia="en-US"/>
    </w:rPr>
  </w:style>
  <w:style w:type="paragraph" w:customStyle="1" w:styleId="2873">
    <w:name w:val="dxj表内容"/>
    <w:basedOn w:val="198"/>
    <w:uiPriority w:val="0"/>
    <w:pPr>
      <w:overflowPunct w:val="0"/>
      <w:spacing w:line="280" w:lineRule="exact"/>
    </w:pPr>
    <w:rPr>
      <w:rFonts w:ascii="Times New Roman" w:hAnsi="Times New Roman" w:eastAsia="Times New Roman"/>
      <w:color w:val="000000"/>
      <w:kern w:val="24"/>
      <w:sz w:val="18"/>
      <w:szCs w:val="24"/>
    </w:rPr>
  </w:style>
  <w:style w:type="paragraph" w:customStyle="1" w:styleId="2874">
    <w:name w:val="CM6"/>
    <w:basedOn w:val="180"/>
    <w:next w:val="180"/>
    <w:uiPriority w:val="0"/>
    <w:pPr>
      <w:suppressAutoHyphens w:val="0"/>
      <w:adjustRightInd w:val="0"/>
      <w:spacing w:line="320" w:lineRule="atLeast"/>
      <w:textAlignment w:val="auto"/>
    </w:pPr>
    <w:rPr>
      <w:rFonts w:hAnsi="Calibri" w:cs="Times New Roman"/>
      <w:color w:val="auto"/>
    </w:rPr>
  </w:style>
  <w:style w:type="paragraph" w:customStyle="1" w:styleId="2875">
    <w:name w:val="profile"/>
    <w:basedOn w:val="1"/>
    <w:uiPriority w:val="0"/>
    <w:pPr>
      <w:widowControl/>
      <w:snapToGrid/>
      <w:spacing w:beforeAutospacing="1" w:afterAutospacing="1" w:line="384" w:lineRule="auto"/>
      <w:ind w:firstLine="0" w:firstLineChars="0"/>
      <w:jc w:val="both"/>
    </w:pPr>
    <w:rPr>
      <w:rFonts w:ascii="宋体" w:hAnsi="宋体"/>
      <w:kern w:val="0"/>
      <w:sz w:val="21"/>
      <w:szCs w:val="21"/>
    </w:rPr>
  </w:style>
  <w:style w:type="paragraph" w:customStyle="1" w:styleId="2876">
    <w:name w:val="dxj标题2"/>
    <w:basedOn w:val="4"/>
    <w:uiPriority w:val="0"/>
    <w:pPr>
      <w:keepNext/>
      <w:keepLines/>
      <w:numPr>
        <w:ilvl w:val="0"/>
        <w:numId w:val="0"/>
      </w:numPr>
      <w:tabs>
        <w:tab w:val="left" w:pos="927"/>
        <w:tab w:val="left" w:pos="1134"/>
      </w:tabs>
      <w:adjustRightInd w:val="0"/>
      <w:spacing w:before="260" w:after="260" w:afterLines="0"/>
      <w:jc w:val="both"/>
    </w:pPr>
    <w:rPr>
      <w:rFonts w:eastAsia="黑体"/>
      <w:b w:val="0"/>
      <w:bCs w:val="0"/>
      <w:color w:val="000000"/>
      <w:kern w:val="0"/>
      <w:sz w:val="28"/>
      <w:szCs w:val="30"/>
    </w:rPr>
  </w:style>
  <w:style w:type="paragraph" w:customStyle="1" w:styleId="2877">
    <w:name w:val="dxj表头"/>
    <w:basedOn w:val="1"/>
    <w:uiPriority w:val="0"/>
    <w:pPr>
      <w:adjustRightInd w:val="0"/>
      <w:ind w:firstLine="0" w:firstLineChars="0"/>
      <w:jc w:val="center"/>
    </w:pPr>
    <w:rPr>
      <w:rFonts w:eastAsia="黑体" w:cs="宋体"/>
      <w:sz w:val="21"/>
    </w:rPr>
  </w:style>
  <w:style w:type="paragraph" w:customStyle="1" w:styleId="2878">
    <w:name w:val="样式 样式9 + 段前: 0.5 行 段后: 0.5 行"/>
    <w:basedOn w:val="1192"/>
    <w:uiPriority w:val="0"/>
    <w:pPr>
      <w:keepNext/>
      <w:keepLines/>
      <w:pBdr>
        <w:top w:val="none" w:color="auto" w:sz="0" w:space="0"/>
      </w:pBdr>
      <w:tabs>
        <w:tab w:val="left" w:pos="0"/>
      </w:tabs>
      <w:snapToGrid/>
      <w:spacing w:beforeLines="100" w:afterLines="50" w:line="480" w:lineRule="exact"/>
      <w:ind w:right="0"/>
      <w:jc w:val="both"/>
      <w:outlineLvl w:val="1"/>
    </w:pPr>
    <w:rPr>
      <w:rFonts w:ascii="Arial" w:hAnsi="Arial" w:eastAsia="黑体"/>
      <w:spacing w:val="6"/>
      <w:kern w:val="0"/>
      <w:sz w:val="28"/>
      <w:szCs w:val="20"/>
    </w:rPr>
  </w:style>
  <w:style w:type="paragraph" w:customStyle="1" w:styleId="2879">
    <w:name w:val="样式 样式18 + 红色 行距: 固定值 26 磅"/>
    <w:basedOn w:val="1251"/>
    <w:autoRedefine/>
    <w:qFormat/>
    <w:uiPriority w:val="0"/>
    <w:pPr>
      <w:keepNext/>
      <w:keepLines/>
      <w:overflowPunct w:val="0"/>
      <w:topLinePunct/>
      <w:autoSpaceDE w:val="0"/>
      <w:autoSpaceDN w:val="0"/>
      <w:adjustRightInd w:val="0"/>
      <w:snapToGrid w:val="0"/>
      <w:spacing w:line="520" w:lineRule="exact"/>
      <w:ind w:left="1800" w:firstLine="0" w:firstLineChars="0"/>
      <w:jc w:val="left"/>
      <w:outlineLvl w:val="3"/>
    </w:pPr>
    <w:rPr>
      <w:rFonts w:hAnsi="宋体"/>
      <w:color w:val="FF0000"/>
      <w:szCs w:val="20"/>
    </w:rPr>
  </w:style>
  <w:style w:type="paragraph" w:customStyle="1" w:styleId="2880">
    <w:name w:val="样式 样式13 + 右侧:  1 字符"/>
    <w:basedOn w:val="368"/>
    <w:uiPriority w:val="0"/>
    <w:pPr>
      <w:keepNext/>
      <w:keepLines/>
      <w:tabs>
        <w:tab w:val="left" w:pos="560"/>
        <w:tab w:val="left" w:pos="927"/>
        <w:tab w:val="left" w:pos="1440"/>
      </w:tabs>
      <w:overflowPunct w:val="0"/>
      <w:topLinePunct/>
      <w:spacing w:beforeLines="0"/>
      <w:jc w:val="left"/>
      <w:outlineLvl w:val="3"/>
    </w:pPr>
    <w:rPr>
      <w:rFonts w:hAnsi="宋体"/>
      <w:kern w:val="0"/>
      <w:sz w:val="24"/>
      <w:szCs w:val="20"/>
      <w:lang w:val="en-US"/>
    </w:rPr>
  </w:style>
  <w:style w:type="paragraph" w:customStyle="1" w:styleId="2881">
    <w:name w:val="29"/>
    <w:basedOn w:val="1"/>
    <w:uiPriority w:val="0"/>
    <w:pPr>
      <w:widowControl/>
      <w:snapToGrid/>
      <w:spacing w:beforeAutospacing="1" w:afterAutospacing="1" w:line="240" w:lineRule="auto"/>
      <w:ind w:firstLine="0" w:firstLineChars="0"/>
    </w:pPr>
    <w:rPr>
      <w:rFonts w:ascii="宋体" w:hAnsi="宋体"/>
      <w:kern w:val="0"/>
      <w:szCs w:val="20"/>
    </w:rPr>
  </w:style>
  <w:style w:type="character" w:customStyle="1" w:styleId="2882">
    <w:name w:val="保定正文 Char"/>
    <w:link w:val="2883"/>
    <w:locked/>
    <w:uiPriority w:val="0"/>
    <w:rPr>
      <w:rFonts w:ascii="宋体" w:hAnsi="宋体"/>
      <w:snapToGrid w:val="0"/>
    </w:rPr>
  </w:style>
  <w:style w:type="paragraph" w:customStyle="1" w:styleId="2883">
    <w:name w:val="保定正文"/>
    <w:basedOn w:val="1"/>
    <w:link w:val="2882"/>
    <w:uiPriority w:val="0"/>
    <w:pPr>
      <w:ind w:firstLine="200"/>
      <w:jc w:val="both"/>
    </w:pPr>
    <w:rPr>
      <w:rFonts w:ascii="宋体" w:hAnsi="宋体"/>
      <w:snapToGrid w:val="0"/>
      <w:kern w:val="0"/>
      <w:sz w:val="20"/>
      <w:szCs w:val="20"/>
    </w:rPr>
  </w:style>
  <w:style w:type="paragraph" w:customStyle="1" w:styleId="2884">
    <w:name w:val="样式 小四 行距: 1.5 倍行距1"/>
    <w:basedOn w:val="1"/>
    <w:uiPriority w:val="0"/>
    <w:pPr>
      <w:widowControl/>
      <w:snapToGrid/>
    </w:pPr>
    <w:rPr>
      <w:rFonts w:cs="宋体"/>
    </w:rPr>
  </w:style>
  <w:style w:type="character" w:customStyle="1" w:styleId="2885">
    <w:name w:val="3级标题 Char"/>
    <w:autoRedefine/>
    <w:qFormat/>
    <w:locked/>
    <w:uiPriority w:val="0"/>
    <w:rPr>
      <w:rFonts w:ascii="宋体" w:hAnsi="宋体"/>
      <w:bCs/>
      <w:kern w:val="2"/>
      <w:sz w:val="25"/>
      <w:szCs w:val="25"/>
      <w:lang w:bidi="ar-SA"/>
    </w:rPr>
  </w:style>
  <w:style w:type="character" w:customStyle="1" w:styleId="2886">
    <w:name w:val="2级标题 Char"/>
    <w:locked/>
    <w:uiPriority w:val="0"/>
    <w:rPr>
      <w:rFonts w:ascii="黑体" w:hAnsi="宋体" w:eastAsia="黑体"/>
      <w:bCs/>
      <w:spacing w:val="5"/>
      <w:kern w:val="2"/>
      <w:sz w:val="25"/>
      <w:szCs w:val="25"/>
      <w:lang w:bidi="ar-SA"/>
    </w:rPr>
  </w:style>
  <w:style w:type="character" w:customStyle="1" w:styleId="2887">
    <w:name w:val="众联表头 Char"/>
    <w:link w:val="2888"/>
    <w:locked/>
    <w:uiPriority w:val="0"/>
    <w:rPr>
      <w:rFonts w:ascii="宋体" w:hAnsi="宋体"/>
      <w:spacing w:val="5"/>
      <w:sz w:val="25"/>
      <w:szCs w:val="25"/>
    </w:rPr>
  </w:style>
  <w:style w:type="paragraph" w:customStyle="1" w:styleId="2888">
    <w:name w:val="众联表头"/>
    <w:basedOn w:val="1"/>
    <w:link w:val="2887"/>
    <w:uiPriority w:val="0"/>
    <w:pPr>
      <w:snapToGrid/>
      <w:spacing w:line="460" w:lineRule="exact"/>
      <w:ind w:firstLine="520"/>
      <w:jc w:val="both"/>
    </w:pPr>
    <w:rPr>
      <w:rFonts w:ascii="宋体" w:hAnsi="宋体"/>
      <w:spacing w:val="5"/>
      <w:kern w:val="0"/>
      <w:sz w:val="25"/>
      <w:szCs w:val="25"/>
    </w:rPr>
  </w:style>
  <w:style w:type="paragraph" w:customStyle="1" w:styleId="2889">
    <w:name w:val="样式 标题 4"/>
    <w:basedOn w:val="6"/>
    <w:uiPriority w:val="0"/>
    <w:pPr>
      <w:keepNext/>
      <w:keepLines/>
      <w:numPr>
        <w:ilvl w:val="0"/>
        <w:numId w:val="0"/>
      </w:numPr>
      <w:tabs>
        <w:tab w:val="left" w:pos="1134"/>
        <w:tab w:val="left" w:pos="1630"/>
      </w:tabs>
      <w:snapToGrid/>
      <w:spacing w:before="280" w:beforeLines="0" w:after="290" w:afterLines="0" w:line="480" w:lineRule="exact"/>
    </w:pPr>
    <w:rPr>
      <w:rFonts w:ascii="宋体" w:hAnsi="宋体" w:cs="Arial"/>
      <w:color w:val="008000"/>
      <w:spacing w:val="-10"/>
      <w:kern w:val="0"/>
      <w:szCs w:val="24"/>
    </w:rPr>
  </w:style>
  <w:style w:type="paragraph" w:customStyle="1" w:styleId="2890">
    <w:name w:val="标题111"/>
    <w:basedOn w:val="1"/>
    <w:uiPriority w:val="0"/>
    <w:pPr>
      <w:snapToGrid/>
      <w:spacing w:line="480" w:lineRule="exact"/>
      <w:ind w:firstLine="0" w:firstLineChars="0"/>
      <w:jc w:val="both"/>
    </w:pPr>
    <w:rPr>
      <w:rFonts w:ascii="Calibri" w:hAnsi="Calibri"/>
      <w:b/>
    </w:rPr>
  </w:style>
  <w:style w:type="paragraph" w:customStyle="1" w:styleId="2891">
    <w:name w:val="燕山正文"/>
    <w:basedOn w:val="1"/>
    <w:uiPriority w:val="0"/>
    <w:pPr>
      <w:tabs>
        <w:tab w:val="left" w:pos="4680"/>
      </w:tabs>
      <w:adjustRightInd w:val="0"/>
      <w:jc w:val="both"/>
    </w:pPr>
    <w:rPr>
      <w:rFonts w:hAnsi="宋体"/>
    </w:rPr>
  </w:style>
  <w:style w:type="character" w:customStyle="1" w:styleId="2892">
    <w:name w:val="正文小四首缩1.3行距 Char Char"/>
    <w:link w:val="2893"/>
    <w:locked/>
    <w:uiPriority w:val="0"/>
    <w:rPr>
      <w:sz w:val="24"/>
      <w:szCs w:val="24"/>
    </w:rPr>
  </w:style>
  <w:style w:type="paragraph" w:customStyle="1" w:styleId="2893">
    <w:name w:val="正文小四首缩1.3行距"/>
    <w:basedOn w:val="1"/>
    <w:link w:val="2892"/>
    <w:autoRedefine/>
    <w:qFormat/>
    <w:uiPriority w:val="0"/>
    <w:pPr>
      <w:snapToGrid/>
      <w:spacing w:line="312" w:lineRule="auto"/>
      <w:ind w:firstLine="420"/>
      <w:jc w:val="both"/>
    </w:pPr>
    <w:rPr>
      <w:kern w:val="0"/>
    </w:rPr>
  </w:style>
  <w:style w:type="paragraph" w:customStyle="1" w:styleId="2894">
    <w:name w:val="样式 行距: 固定值 25 磅"/>
    <w:autoRedefine/>
    <w:qFormat/>
    <w:uiPriority w:val="0"/>
    <w:pPr>
      <w:spacing w:line="360" w:lineRule="auto"/>
      <w:ind w:firstLine="560" w:firstLineChars="200"/>
    </w:pPr>
    <w:rPr>
      <w:rFonts w:ascii="Times New Roman" w:hAnsi="Times New Roman" w:eastAsia="宋体" w:cs="Times New Roman"/>
      <w:szCs w:val="28"/>
      <w:lang w:val="en-US" w:eastAsia="zh-CN" w:bidi="ar-SA"/>
    </w:rPr>
  </w:style>
  <w:style w:type="paragraph" w:customStyle="1" w:styleId="2895">
    <w:name w:val="样式 标题 3三级标题标题3H3h33rd level第二层条ReHead 3 WSA标题03三级标题 3..."/>
    <w:basedOn w:val="5"/>
    <w:autoRedefine/>
    <w:uiPriority w:val="0"/>
    <w:pPr>
      <w:keepNext/>
      <w:keepLines/>
      <w:numPr>
        <w:ilvl w:val="0"/>
        <w:numId w:val="0"/>
      </w:numPr>
      <w:tabs>
        <w:tab w:val="left" w:pos="1134"/>
        <w:tab w:val="left" w:pos="1256"/>
      </w:tabs>
      <w:snapToGrid/>
      <w:spacing w:before="260" w:beforeLines="0" w:after="260" w:afterLines="0"/>
    </w:pPr>
    <w:rPr>
      <w:rFonts w:ascii="黑体" w:eastAsia="黑体" w:cs="宋体"/>
      <w:kern w:val="0"/>
      <w:szCs w:val="28"/>
    </w:rPr>
  </w:style>
  <w:style w:type="paragraph" w:customStyle="1" w:styleId="2896">
    <w:name w:val="p21"/>
    <w:basedOn w:val="1"/>
    <w:autoRedefine/>
    <w:uiPriority w:val="0"/>
    <w:pPr>
      <w:widowControl/>
      <w:snapToGrid/>
      <w:spacing w:beforeLines="10"/>
      <w:ind w:firstLine="420" w:firstLineChars="0"/>
      <w:jc w:val="both"/>
    </w:pPr>
    <w:rPr>
      <w:color w:val="000000"/>
    </w:rPr>
  </w:style>
  <w:style w:type="paragraph" w:customStyle="1" w:styleId="2897">
    <w:name w:val="标准条文"/>
    <w:basedOn w:val="180"/>
    <w:next w:val="180"/>
    <w:autoRedefine/>
    <w:uiPriority w:val="0"/>
    <w:pPr>
      <w:suppressAutoHyphens w:val="0"/>
      <w:adjustRightInd w:val="0"/>
      <w:textAlignment w:val="auto"/>
    </w:pPr>
    <w:rPr>
      <w:rFonts w:ascii="Times New Roman" w:hAnsi="Times New Roman" w:cs="Times New Roman"/>
      <w:color w:val="auto"/>
    </w:rPr>
  </w:style>
  <w:style w:type="paragraph" w:customStyle="1" w:styleId="2898">
    <w:name w:val="标题 31"/>
    <w:basedOn w:val="1"/>
    <w:next w:val="1"/>
    <w:autoRedefine/>
    <w:uiPriority w:val="0"/>
    <w:pPr>
      <w:keepNext/>
      <w:keepLines/>
      <w:snapToGrid/>
      <w:spacing w:line="415" w:lineRule="auto"/>
      <w:ind w:firstLine="0" w:firstLineChars="0"/>
      <w:jc w:val="both"/>
      <w:outlineLvl w:val="2"/>
    </w:pPr>
    <w:rPr>
      <w:b/>
      <w:sz w:val="32"/>
    </w:rPr>
  </w:style>
  <w:style w:type="character" w:customStyle="1" w:styleId="2899">
    <w:name w:val="正文首行缩进 Char2 Char"/>
    <w:link w:val="461"/>
    <w:autoRedefine/>
    <w:locked/>
    <w:uiPriority w:val="0"/>
    <w:rPr>
      <w:sz w:val="28"/>
      <w:szCs w:val="24"/>
    </w:rPr>
  </w:style>
  <w:style w:type="paragraph" w:customStyle="1" w:styleId="2900">
    <w:name w:val="副标题2"/>
    <w:basedOn w:val="4"/>
    <w:autoRedefine/>
    <w:uiPriority w:val="0"/>
    <w:pPr>
      <w:keepNext/>
      <w:keepLines/>
      <w:numPr>
        <w:ilvl w:val="0"/>
        <w:numId w:val="0"/>
      </w:numPr>
      <w:tabs>
        <w:tab w:val="left" w:pos="780"/>
        <w:tab w:val="left" w:pos="1680"/>
      </w:tabs>
      <w:snapToGrid/>
      <w:spacing w:before="260" w:beforeLines="0" w:after="260" w:afterLines="0"/>
      <w:ind w:left="200" w:leftChars="200" w:hanging="360" w:hangingChars="200"/>
      <w:jc w:val="center"/>
    </w:pPr>
    <w:rPr>
      <w:rFonts w:ascii="Arial" w:hAnsi="Arial" w:eastAsia="黑体" w:cs="宋体"/>
      <w:kern w:val="0"/>
      <w:szCs w:val="20"/>
    </w:rPr>
  </w:style>
  <w:style w:type="paragraph" w:customStyle="1" w:styleId="2901">
    <w:name w:val="样式 正文 +1"/>
    <w:basedOn w:val="1"/>
    <w:autoRedefine/>
    <w:uiPriority w:val="0"/>
    <w:pPr>
      <w:snapToGrid/>
      <w:ind w:firstLine="200"/>
    </w:pPr>
    <w:rPr>
      <w:rFonts w:cs="宋体"/>
      <w:szCs w:val="20"/>
    </w:rPr>
  </w:style>
  <w:style w:type="paragraph" w:customStyle="1" w:styleId="2902">
    <w:name w:val="reader-word-layer reader-word-s1-1"/>
    <w:basedOn w:val="1"/>
    <w:autoRedefine/>
    <w:uiPriority w:val="0"/>
    <w:pPr>
      <w:widowControl/>
      <w:snapToGrid/>
      <w:spacing w:beforeAutospacing="1" w:afterAutospacing="1" w:line="240" w:lineRule="auto"/>
      <w:ind w:firstLine="0" w:firstLineChars="0"/>
    </w:pPr>
    <w:rPr>
      <w:rFonts w:ascii="宋体" w:hAnsi="宋体" w:cs="宋体"/>
      <w:kern w:val="0"/>
    </w:rPr>
  </w:style>
  <w:style w:type="paragraph" w:customStyle="1" w:styleId="2903">
    <w:name w:val="reader-word-layer reader-word-s1-3"/>
    <w:basedOn w:val="1"/>
    <w:autoRedefine/>
    <w:uiPriority w:val="0"/>
    <w:pPr>
      <w:widowControl/>
      <w:snapToGrid/>
      <w:spacing w:beforeAutospacing="1" w:afterAutospacing="1" w:line="240" w:lineRule="auto"/>
      <w:ind w:firstLine="0" w:firstLineChars="0"/>
    </w:pPr>
    <w:rPr>
      <w:rFonts w:ascii="宋体" w:hAnsi="宋体" w:cs="宋体"/>
      <w:kern w:val="0"/>
    </w:rPr>
  </w:style>
  <w:style w:type="paragraph" w:customStyle="1" w:styleId="2904">
    <w:name w:val="正文文本 23"/>
    <w:basedOn w:val="1"/>
    <w:autoRedefine/>
    <w:uiPriority w:val="0"/>
    <w:pPr>
      <w:adjustRightInd w:val="0"/>
      <w:spacing w:line="480" w:lineRule="exact"/>
      <w:ind w:firstLine="510" w:firstLineChars="0"/>
      <w:jc w:val="both"/>
    </w:pPr>
    <w:rPr>
      <w:rFonts w:eastAsia="仿宋_GB2312"/>
      <w:kern w:val="0"/>
      <w:sz w:val="28"/>
      <w:szCs w:val="20"/>
    </w:rPr>
  </w:style>
  <w:style w:type="paragraph" w:customStyle="1" w:styleId="2905">
    <w:name w:val="Char12"/>
    <w:basedOn w:val="1"/>
    <w:autoRedefine/>
    <w:uiPriority w:val="0"/>
    <w:pPr>
      <w:snapToGrid/>
      <w:spacing w:line="240" w:lineRule="auto"/>
      <w:ind w:firstLine="0" w:firstLineChars="0"/>
      <w:jc w:val="both"/>
    </w:pPr>
    <w:rPr>
      <w:sz w:val="21"/>
    </w:rPr>
  </w:style>
  <w:style w:type="paragraph" w:customStyle="1" w:styleId="2906">
    <w:name w:val="Char1 Char Char Char12"/>
    <w:basedOn w:val="1"/>
    <w:autoRedefine/>
    <w:uiPriority w:val="0"/>
    <w:pPr>
      <w:snapToGrid/>
      <w:spacing w:line="240" w:lineRule="auto"/>
      <w:ind w:firstLine="0" w:firstLineChars="0"/>
      <w:jc w:val="both"/>
    </w:pPr>
    <w:rPr>
      <w:sz w:val="21"/>
    </w:rPr>
  </w:style>
  <w:style w:type="paragraph" w:customStyle="1" w:styleId="2907">
    <w:name w:val="题注3"/>
    <w:basedOn w:val="1"/>
    <w:autoRedefine/>
    <w:uiPriority w:val="0"/>
    <w:pPr>
      <w:widowControl/>
      <w:snapToGrid/>
      <w:spacing w:beforeAutospacing="1" w:line="240" w:lineRule="auto"/>
      <w:ind w:firstLine="0" w:firstLineChars="0"/>
    </w:pPr>
    <w:rPr>
      <w:rFonts w:ascii="Arial" w:hAnsi="Arial" w:cs="Arial"/>
      <w:b/>
      <w:bCs/>
      <w:kern w:val="0"/>
      <w:sz w:val="14"/>
      <w:szCs w:val="14"/>
    </w:rPr>
  </w:style>
  <w:style w:type="paragraph" w:customStyle="1" w:styleId="2908">
    <w:name w:val="页脚3"/>
    <w:basedOn w:val="1"/>
    <w:autoRedefine/>
    <w:uiPriority w:val="0"/>
    <w:pPr>
      <w:widowControl/>
      <w:snapToGrid/>
      <w:spacing w:beforeAutospacing="1" w:afterAutospacing="1" w:line="240" w:lineRule="auto"/>
      <w:ind w:firstLine="0" w:firstLineChars="0"/>
      <w:jc w:val="center"/>
    </w:pPr>
    <w:rPr>
      <w:rFonts w:ascii="Arial" w:hAnsi="Arial" w:cs="Arial"/>
      <w:kern w:val="0"/>
      <w:sz w:val="12"/>
      <w:szCs w:val="12"/>
    </w:rPr>
  </w:style>
  <w:style w:type="paragraph" w:customStyle="1" w:styleId="2909">
    <w:name w:val="Char Char1 Char Char1 Char Char1 Char Char1 Char Char Char Char Char Char Char1"/>
    <w:basedOn w:val="1"/>
    <w:autoRedefine/>
    <w:qFormat/>
    <w:uiPriority w:val="0"/>
    <w:pPr>
      <w:snapToGrid/>
      <w:spacing w:line="240" w:lineRule="auto"/>
      <w:ind w:firstLine="0" w:firstLineChars="0"/>
      <w:jc w:val="both"/>
    </w:pPr>
    <w:rPr>
      <w:rFonts w:ascii="Tahoma" w:hAnsi="Tahoma"/>
    </w:rPr>
  </w:style>
  <w:style w:type="paragraph" w:customStyle="1" w:styleId="2910">
    <w:name w:val="Char Char7 Char Char Char Char Char Char2"/>
    <w:basedOn w:val="5"/>
    <w:autoRedefine/>
    <w:uiPriority w:val="0"/>
    <w:pPr>
      <w:keepNext/>
      <w:keepLines/>
      <w:numPr>
        <w:ilvl w:val="0"/>
        <w:numId w:val="0"/>
      </w:numPr>
      <w:tabs>
        <w:tab w:val="left" w:pos="360"/>
        <w:tab w:val="left" w:pos="900"/>
      </w:tabs>
      <w:spacing w:before="260" w:beforeLines="0" w:after="260" w:afterLines="0"/>
      <w:ind w:left="-12" w:leftChars="-12" w:firstLine="200" w:firstLineChars="200"/>
    </w:pPr>
    <w:rPr>
      <w:rFonts w:eastAsia="黑体"/>
      <w:bCs w:val="0"/>
      <w:kern w:val="0"/>
      <w:szCs w:val="20"/>
    </w:rPr>
  </w:style>
  <w:style w:type="paragraph" w:customStyle="1" w:styleId="2911">
    <w:name w:val="Char2 Char Char Char Char Char Char Char1"/>
    <w:basedOn w:val="1"/>
    <w:uiPriority w:val="0"/>
    <w:pPr>
      <w:autoSpaceDE w:val="0"/>
      <w:autoSpaceDN w:val="0"/>
      <w:adjustRightInd w:val="0"/>
      <w:ind w:firstLine="560"/>
      <w:jc w:val="both"/>
    </w:pPr>
    <w:rPr>
      <w:rFonts w:eastAsia="仿宋_GB2312"/>
      <w:color w:val="000000"/>
      <w:szCs w:val="20"/>
    </w:rPr>
  </w:style>
  <w:style w:type="paragraph" w:customStyle="1" w:styleId="2912">
    <w:name w:val="正文文本缩进 22"/>
    <w:basedOn w:val="1"/>
    <w:uiPriority w:val="0"/>
    <w:pPr>
      <w:adjustRightInd w:val="0"/>
      <w:snapToGrid/>
      <w:spacing w:line="312" w:lineRule="atLeast"/>
      <w:ind w:firstLine="540" w:firstLineChars="0"/>
      <w:jc w:val="both"/>
    </w:pPr>
    <w:rPr>
      <w:kern w:val="0"/>
      <w:sz w:val="21"/>
      <w:szCs w:val="20"/>
    </w:rPr>
  </w:style>
  <w:style w:type="paragraph" w:customStyle="1" w:styleId="2913">
    <w:name w:val="Char Char Char1 Char12"/>
    <w:basedOn w:val="1"/>
    <w:uiPriority w:val="0"/>
    <w:pPr>
      <w:adjustRightInd w:val="0"/>
      <w:spacing w:line="240" w:lineRule="auto"/>
      <w:ind w:left="-45" w:firstLine="0" w:firstLineChars="0"/>
      <w:jc w:val="both"/>
    </w:pPr>
    <w:rPr>
      <w:sz w:val="21"/>
    </w:rPr>
  </w:style>
  <w:style w:type="paragraph" w:customStyle="1" w:styleId="2914">
    <w:name w:val="Char6 Char Char Char Char Char Char Char Char Char2"/>
    <w:basedOn w:val="1"/>
    <w:uiPriority w:val="0"/>
    <w:pPr>
      <w:snapToGrid/>
      <w:spacing w:line="240" w:lineRule="auto"/>
      <w:ind w:firstLine="0" w:firstLineChars="0"/>
      <w:jc w:val="both"/>
    </w:pPr>
    <w:rPr>
      <w:rFonts w:ascii="宋体" w:hAnsi="宋体"/>
      <w:color w:val="000000"/>
      <w:sz w:val="28"/>
      <w:szCs w:val="20"/>
    </w:rPr>
  </w:style>
  <w:style w:type="paragraph" w:customStyle="1" w:styleId="2915">
    <w:name w:val=".€·..‘ .€·..‘ ..￡............è.. + .￥·..fi_GB2312 é|.è.....è..:  2 .....| ..μ.’”: 0.3 è.. è..è·.: 1.5 ..“è..è·. + é|.è.........&quot;1"/>
    <w:basedOn w:val="180"/>
    <w:next w:val="180"/>
    <w:uiPriority w:val="0"/>
    <w:pPr>
      <w:suppressAutoHyphens w:val="0"/>
      <w:adjustRightInd w:val="0"/>
      <w:spacing w:after="30"/>
      <w:textAlignment w:val="auto"/>
    </w:pPr>
    <w:rPr>
      <w:rFonts w:ascii="Kai Titling" w:hAnsi="Times New Roman" w:eastAsia="Kai Titling" w:cs="Times New Roman"/>
      <w:color w:val="auto"/>
    </w:rPr>
  </w:style>
  <w:style w:type="paragraph" w:customStyle="1" w:styleId="2916">
    <w:name w:val="Char2 Char Char Char1"/>
    <w:basedOn w:val="1"/>
    <w:uiPriority w:val="0"/>
    <w:pPr>
      <w:autoSpaceDE w:val="0"/>
      <w:autoSpaceDN w:val="0"/>
      <w:adjustRightInd w:val="0"/>
      <w:ind w:firstLine="560"/>
      <w:jc w:val="both"/>
    </w:pPr>
    <w:rPr>
      <w:rFonts w:ascii="宋体" w:hAnsi="宋体" w:eastAsia="仿宋_GB2312"/>
      <w:color w:val="000000"/>
    </w:rPr>
  </w:style>
  <w:style w:type="paragraph" w:customStyle="1" w:styleId="2917">
    <w:name w:val="Char Char1 Char Char Char Char Char Char Char Char Char Char Char Char Char Char1 Char Char Char Char Char Char11"/>
    <w:basedOn w:val="1"/>
    <w:uiPriority w:val="0"/>
    <w:pPr>
      <w:widowControl/>
      <w:snapToGrid/>
      <w:spacing w:line="300" w:lineRule="auto"/>
      <w:ind w:firstLine="200"/>
      <w:jc w:val="both"/>
    </w:pPr>
    <w:rPr>
      <w:sz w:val="21"/>
    </w:rPr>
  </w:style>
  <w:style w:type="paragraph" w:customStyle="1" w:styleId="2918">
    <w:name w:val="Char32"/>
    <w:basedOn w:val="1"/>
    <w:uiPriority w:val="0"/>
    <w:pPr>
      <w:snapToGrid/>
      <w:ind w:firstLine="200"/>
      <w:jc w:val="both"/>
    </w:pPr>
    <w:rPr>
      <w:rFonts w:ascii="宋体" w:hAnsi="宋体" w:cs="宋体"/>
    </w:rPr>
  </w:style>
  <w:style w:type="paragraph" w:customStyle="1" w:styleId="2919">
    <w:name w:val="Char Char Char3 Char Char Char Char1"/>
    <w:basedOn w:val="1"/>
    <w:next w:val="1"/>
    <w:uiPriority w:val="0"/>
    <w:pPr>
      <w:snapToGrid/>
      <w:ind w:firstLine="200"/>
      <w:jc w:val="both"/>
    </w:pPr>
    <w:rPr>
      <w:rFonts w:ascii="宋体" w:hAnsi="宋体" w:cs="宋体"/>
    </w:rPr>
  </w:style>
  <w:style w:type="paragraph" w:customStyle="1" w:styleId="2920">
    <w:name w:val="Char Char1 Char Char1 Char Char Char Char1"/>
    <w:basedOn w:val="1"/>
    <w:uiPriority w:val="0"/>
    <w:pPr>
      <w:snapToGrid/>
      <w:spacing w:line="240" w:lineRule="auto"/>
      <w:ind w:firstLine="0" w:firstLineChars="0"/>
      <w:jc w:val="both"/>
    </w:pPr>
    <w:rPr>
      <w:rFonts w:ascii="Tahoma" w:hAnsi="Tahoma"/>
      <w:szCs w:val="20"/>
    </w:rPr>
  </w:style>
  <w:style w:type="paragraph" w:customStyle="1" w:styleId="2921">
    <w:name w:val="Char Char3 Char Char Char Char Char Char1"/>
    <w:basedOn w:val="1"/>
    <w:uiPriority w:val="0"/>
    <w:pPr>
      <w:widowControl/>
      <w:snapToGrid/>
      <w:spacing w:line="240" w:lineRule="exact"/>
      <w:ind w:firstLine="0" w:firstLineChars="0"/>
    </w:pPr>
    <w:rPr>
      <w:sz w:val="18"/>
    </w:rPr>
  </w:style>
  <w:style w:type="paragraph" w:customStyle="1" w:styleId="2922">
    <w:name w:val="Char Char3 Char Char Char Char Char Char Char1"/>
    <w:basedOn w:val="1"/>
    <w:uiPriority w:val="0"/>
    <w:pPr>
      <w:widowControl/>
      <w:snapToGrid/>
      <w:spacing w:line="240" w:lineRule="exact"/>
      <w:ind w:firstLine="0" w:firstLineChars="0"/>
    </w:pPr>
    <w:rPr>
      <w:rFonts w:ascii="Verdana" w:hAnsi="Verdana"/>
      <w:kern w:val="0"/>
      <w:sz w:val="20"/>
      <w:szCs w:val="20"/>
      <w:lang w:eastAsia="en-US"/>
    </w:rPr>
  </w:style>
  <w:style w:type="paragraph" w:customStyle="1" w:styleId="2923">
    <w:name w:val="正文文本缩进2"/>
    <w:basedOn w:val="1"/>
    <w:uiPriority w:val="0"/>
    <w:pPr>
      <w:snapToGrid/>
      <w:spacing w:line="460" w:lineRule="atLeast"/>
      <w:ind w:right="851" w:firstLine="560"/>
      <w:jc w:val="both"/>
    </w:pPr>
    <w:rPr>
      <w:rFonts w:ascii="宋体"/>
      <w:kern w:val="0"/>
      <w:sz w:val="28"/>
      <w:szCs w:val="20"/>
    </w:rPr>
  </w:style>
  <w:style w:type="paragraph" w:customStyle="1" w:styleId="2924">
    <w:name w:val="Char71"/>
    <w:basedOn w:val="1"/>
    <w:uiPriority w:val="0"/>
    <w:pPr>
      <w:adjustRightInd w:val="0"/>
      <w:snapToGrid/>
      <w:ind w:firstLine="0" w:firstLineChars="0"/>
      <w:jc w:val="both"/>
    </w:pPr>
    <w:rPr>
      <w:kern w:val="0"/>
      <w:szCs w:val="20"/>
    </w:rPr>
  </w:style>
  <w:style w:type="character" w:customStyle="1" w:styleId="2925">
    <w:name w:val="sbody1"/>
    <w:qFormat/>
    <w:uiPriority w:val="0"/>
    <w:rPr>
      <w:spacing w:val="360"/>
      <w:sz w:val="14"/>
      <w:szCs w:val="14"/>
    </w:rPr>
  </w:style>
  <w:style w:type="character" w:customStyle="1" w:styleId="2926">
    <w:name w:val="main1"/>
    <w:uiPriority w:val="0"/>
    <w:rPr>
      <w:color w:val="0033CC"/>
      <w:spacing w:val="240"/>
      <w:sz w:val="18"/>
      <w:szCs w:val="18"/>
    </w:rPr>
  </w:style>
  <w:style w:type="character" w:customStyle="1" w:styleId="2927">
    <w:name w:val="text_l1"/>
    <w:autoRedefine/>
    <w:qFormat/>
    <w:uiPriority w:val="0"/>
    <w:rPr>
      <w:color w:val="000066"/>
      <w:sz w:val="18"/>
      <w:szCs w:val="18"/>
    </w:rPr>
  </w:style>
  <w:style w:type="character" w:customStyle="1" w:styleId="2928">
    <w:name w:val="标题 41"/>
    <w:qFormat/>
    <w:uiPriority w:val="0"/>
    <w:rPr>
      <w:rFonts w:hint="default" w:ascii="Arial" w:hAnsi="Arial" w:eastAsia="宋体" w:cs="Arial"/>
      <w:b/>
      <w:bCs/>
      <w:kern w:val="2"/>
      <w:sz w:val="28"/>
      <w:szCs w:val="28"/>
      <w:lang w:val="en-US" w:eastAsia="zh-CN" w:bidi="ar-SA"/>
    </w:rPr>
  </w:style>
  <w:style w:type="character" w:customStyle="1" w:styleId="2929">
    <w:name w:val="条-成果 Char Char"/>
    <w:uiPriority w:val="0"/>
    <w:rPr>
      <w:rFonts w:hint="eastAsia" w:ascii="宋体" w:hAnsi="宋体" w:eastAsia="宋体"/>
      <w:kern w:val="2"/>
      <w:sz w:val="24"/>
      <w:lang w:val="en-US" w:eastAsia="zh-CN"/>
    </w:rPr>
  </w:style>
  <w:style w:type="character" w:customStyle="1" w:styleId="2930">
    <w:name w:val="表格用字 +  六号 Char"/>
    <w:autoRedefine/>
    <w:qFormat/>
    <w:uiPriority w:val="0"/>
    <w:rPr>
      <w:rFonts w:hint="eastAsia" w:ascii="宋体" w:hAnsi="宋体" w:eastAsia="仿宋_GB2312"/>
      <w:kern w:val="2"/>
      <w:sz w:val="15"/>
      <w:lang w:val="en-US" w:eastAsia="zh-CN"/>
    </w:rPr>
  </w:style>
  <w:style w:type="character" w:customStyle="1" w:styleId="2931">
    <w:name w:val="表格用字 Char Char1"/>
    <w:uiPriority w:val="0"/>
    <w:rPr>
      <w:rFonts w:hint="eastAsia" w:ascii="宋体" w:hAnsi="宋体" w:eastAsia="仿宋_GB2312"/>
      <w:kern w:val="2"/>
      <w:sz w:val="24"/>
      <w:lang w:val="en-US" w:eastAsia="zh-CN"/>
    </w:rPr>
  </w:style>
  <w:style w:type="character" w:customStyle="1" w:styleId="2932">
    <w:name w:val="热电厂正文 Char"/>
    <w:autoRedefine/>
    <w:qFormat/>
    <w:uiPriority w:val="0"/>
    <w:rPr>
      <w:rFonts w:hint="eastAsia" w:ascii="宋体" w:hAnsi="宋体" w:eastAsia="宋体"/>
      <w:kern w:val="2"/>
      <w:sz w:val="24"/>
      <w:lang w:val="en-US" w:eastAsia="zh-CN"/>
    </w:rPr>
  </w:style>
  <w:style w:type="character" w:customStyle="1" w:styleId="2933">
    <w:name w:val="l1201"/>
    <w:autoRedefine/>
    <w:qFormat/>
    <w:uiPriority w:val="0"/>
  </w:style>
  <w:style w:type="character" w:customStyle="1" w:styleId="2934">
    <w:name w:val="样式 标题 3 + 宋体 Char"/>
    <w:uiPriority w:val="0"/>
    <w:rPr>
      <w:rFonts w:hint="eastAsia" w:ascii="宋体" w:hAnsi="宋体" w:eastAsia="宋体"/>
      <w:kern w:val="2"/>
      <w:sz w:val="30"/>
      <w:szCs w:val="32"/>
      <w:lang w:val="en-US" w:eastAsia="zh-CN" w:bidi="ar-SA"/>
    </w:rPr>
  </w:style>
  <w:style w:type="character" w:customStyle="1" w:styleId="2935">
    <w:name w:val="h31"/>
    <w:qFormat/>
    <w:uiPriority w:val="0"/>
    <w:rPr>
      <w:sz w:val="21"/>
      <w:szCs w:val="21"/>
    </w:rPr>
  </w:style>
  <w:style w:type="character" w:customStyle="1" w:styleId="2936">
    <w:name w:val="样式 正文文字缩进 + 左侧:  -0.05 字符 悬挂缩进: 0.05 字符"/>
    <w:uiPriority w:val="0"/>
    <w:rPr>
      <w:rFonts w:hint="eastAsia" w:ascii="宋体" w:hAnsi="宋体" w:eastAsia="宋体"/>
      <w:b/>
      <w:kern w:val="2"/>
      <w:sz w:val="24"/>
      <w:szCs w:val="24"/>
      <w:lang w:val="en-US" w:eastAsia="zh-CN" w:bidi="ar-SA"/>
    </w:rPr>
  </w:style>
  <w:style w:type="character" w:customStyle="1" w:styleId="2937">
    <w:name w:val="样式 标题 3 + Times New Roman 四号 加粗 Char"/>
    <w:qFormat/>
    <w:uiPriority w:val="0"/>
    <w:rPr>
      <w:rFonts w:hint="eastAsia" w:ascii="楷体_GB2312" w:hAnsi="宋体" w:eastAsia="楷体_GB2312"/>
      <w:b/>
      <w:bCs/>
      <w:iCs/>
      <w:kern w:val="2"/>
      <w:sz w:val="28"/>
      <w:szCs w:val="28"/>
      <w:lang w:val="en-US" w:eastAsia="zh-CN" w:bidi="ar-SA"/>
    </w:rPr>
  </w:style>
  <w:style w:type="character" w:customStyle="1" w:styleId="2938">
    <w:name w:val="tt1"/>
    <w:qFormat/>
    <w:uiPriority w:val="0"/>
    <w:rPr>
      <w:rFonts w:hint="default" w:ascii="ˎ̥" w:hAnsi="ˎ̥" w:eastAsia="宋体"/>
      <w:kern w:val="2"/>
      <w:sz w:val="21"/>
      <w:szCs w:val="21"/>
      <w:lang w:val="en-US" w:eastAsia="zh-CN" w:bidi="ar-SA"/>
    </w:rPr>
  </w:style>
  <w:style w:type="character" w:customStyle="1" w:styleId="2939">
    <w:name w:val="hang1"/>
    <w:uiPriority w:val="0"/>
    <w:rPr>
      <w:rFonts w:hint="eastAsia" w:ascii="宋体" w:hAnsi="宋体" w:eastAsia="宋体"/>
      <w:spacing w:val="384"/>
      <w:kern w:val="2"/>
      <w:sz w:val="20"/>
      <w:szCs w:val="20"/>
      <w:lang w:val="en-US" w:eastAsia="zh-CN" w:bidi="ar-SA"/>
    </w:rPr>
  </w:style>
  <w:style w:type="character" w:customStyle="1" w:styleId="2940">
    <w:name w:val="不同e"/>
    <w:autoRedefine/>
    <w:qFormat/>
    <w:uiPriority w:val="0"/>
    <w:rPr>
      <w:rFonts w:hint="eastAsia" w:ascii="宋体" w:hAnsi="宋体" w:eastAsia="宋体"/>
      <w:color w:val="FF0000"/>
      <w:kern w:val="22"/>
      <w:sz w:val="22"/>
      <w:szCs w:val="24"/>
      <w:lang w:val="en-US" w:eastAsia="zh-CN" w:bidi="ar-SA"/>
    </w:rPr>
  </w:style>
  <w:style w:type="character" w:customStyle="1" w:styleId="2941">
    <w:name w:val="un1"/>
    <w:uiPriority w:val="0"/>
    <w:rPr>
      <w:rFonts w:hint="eastAsia" w:ascii="宋体" w:hAnsi="宋体" w:eastAsia="宋体"/>
      <w:spacing w:val="440"/>
      <w:kern w:val="2"/>
      <w:sz w:val="26"/>
      <w:szCs w:val="26"/>
      <w:lang w:val="en-US" w:eastAsia="zh-CN" w:bidi="ar-SA"/>
    </w:rPr>
  </w:style>
  <w:style w:type="character" w:customStyle="1" w:styleId="2942">
    <w:name w:val="Typewriter"/>
    <w:autoRedefine/>
    <w:qFormat/>
    <w:uiPriority w:val="0"/>
    <w:rPr>
      <w:rFonts w:hint="default" w:ascii="Courier New" w:hAnsi="Courier New" w:cs="Courier New"/>
      <w:sz w:val="20"/>
    </w:rPr>
  </w:style>
  <w:style w:type="character" w:customStyle="1" w:styleId="2943">
    <w:name w:val="zt11"/>
    <w:uiPriority w:val="0"/>
    <w:rPr>
      <w:rFonts w:hint="eastAsia" w:ascii="宋体" w:hAnsi="宋体" w:eastAsia="宋体"/>
      <w:color w:val="000000"/>
      <w:kern w:val="2"/>
      <w:sz w:val="18"/>
      <w:szCs w:val="18"/>
      <w:u w:val="none"/>
      <w:lang w:val="en-US" w:eastAsia="zh-CN" w:bidi="ar-SA"/>
    </w:rPr>
  </w:style>
  <w:style w:type="character" w:customStyle="1" w:styleId="2944">
    <w:name w:val="样式2 Char Char Char"/>
    <w:qFormat/>
    <w:uiPriority w:val="0"/>
    <w:rPr>
      <w:rFonts w:hint="eastAsia" w:ascii="宋体" w:hAnsi="宋体" w:eastAsia="宋体"/>
      <w:sz w:val="24"/>
      <w:szCs w:val="24"/>
      <w:lang w:val="en-US" w:eastAsia="zh-CN"/>
    </w:rPr>
  </w:style>
  <w:style w:type="character" w:customStyle="1" w:styleId="2945">
    <w:name w:val="articlebody"/>
    <w:qFormat/>
    <w:uiPriority w:val="0"/>
    <w:rPr>
      <w:rFonts w:hint="eastAsia" w:ascii="宋体" w:hAnsi="宋体" w:eastAsia="宋体"/>
      <w:kern w:val="2"/>
      <w:sz w:val="30"/>
      <w:szCs w:val="24"/>
      <w:lang w:val="en-US" w:eastAsia="zh-CN" w:bidi="ar-SA"/>
    </w:rPr>
  </w:style>
  <w:style w:type="character" w:customStyle="1" w:styleId="2946">
    <w:name w:val="正文（首行缩进两字） Char Char Char Char2"/>
    <w:qFormat/>
    <w:uiPriority w:val="0"/>
    <w:rPr>
      <w:rFonts w:hint="eastAsia" w:ascii="宋体" w:hAnsi="宋体" w:eastAsia="宋体"/>
      <w:sz w:val="24"/>
      <w:lang w:val="en-US" w:eastAsia="zh-CN" w:bidi="ar-SA"/>
    </w:rPr>
  </w:style>
  <w:style w:type="character" w:customStyle="1" w:styleId="2947">
    <w:name w:val="样式 样式2 + (符号) 宋体1 Char"/>
    <w:autoRedefine/>
    <w:qFormat/>
    <w:uiPriority w:val="0"/>
    <w:rPr>
      <w:rFonts w:hint="eastAsia" w:ascii="宋体" w:hAnsi="宋体" w:eastAsia="宋体"/>
      <w:kern w:val="2"/>
      <w:sz w:val="28"/>
      <w:szCs w:val="28"/>
      <w:lang w:val="en-US" w:eastAsia="zh-CN" w:bidi="ar-SA"/>
    </w:rPr>
  </w:style>
  <w:style w:type="character" w:customStyle="1" w:styleId="2948">
    <w:name w:val="type_blue_61"/>
    <w:qFormat/>
    <w:uiPriority w:val="0"/>
    <w:rPr>
      <w:color w:val="002565"/>
      <w:spacing w:val="300"/>
      <w:sz w:val="21"/>
      <w:szCs w:val="21"/>
      <w:u w:val="none"/>
    </w:rPr>
  </w:style>
  <w:style w:type="character" w:customStyle="1" w:styleId="2949">
    <w:name w:val="ttitle1"/>
    <w:qFormat/>
    <w:uiPriority w:val="0"/>
    <w:rPr>
      <w:spacing w:val="120"/>
      <w:sz w:val="21"/>
      <w:szCs w:val="21"/>
    </w:rPr>
  </w:style>
  <w:style w:type="character" w:customStyle="1" w:styleId="2950">
    <w:name w:val="updatebodytest1"/>
    <w:autoRedefine/>
    <w:qFormat/>
    <w:uiPriority w:val="0"/>
    <w:rPr>
      <w:rFonts w:hint="default" w:ascii="Arial" w:hAnsi="Arial" w:cs="Arial"/>
      <w:sz w:val="18"/>
      <w:szCs w:val="18"/>
    </w:rPr>
  </w:style>
  <w:style w:type="character" w:customStyle="1" w:styleId="2951">
    <w:name w:val="mainheader1"/>
    <w:qFormat/>
    <w:uiPriority w:val="0"/>
    <w:rPr>
      <w:b/>
      <w:bCs/>
      <w:sz w:val="31"/>
      <w:szCs w:val="31"/>
    </w:rPr>
  </w:style>
  <w:style w:type="character" w:customStyle="1" w:styleId="2952">
    <w:name w:val="Job"/>
    <w:autoRedefine/>
    <w:qFormat/>
    <w:uiPriority w:val="0"/>
  </w:style>
  <w:style w:type="character" w:customStyle="1" w:styleId="2953">
    <w:name w:val="Lead-in Emphasis"/>
    <w:qFormat/>
    <w:uiPriority w:val="0"/>
    <w:rPr>
      <w:rFonts w:hint="default" w:ascii="Arial" w:hAnsi="Arial" w:cs="Arial"/>
      <w:b/>
      <w:spacing w:val="-8"/>
      <w:sz w:val="18"/>
    </w:rPr>
  </w:style>
  <w:style w:type="character" w:customStyle="1" w:styleId="2954">
    <w:name w:val="题注+ Char Char"/>
    <w:autoRedefine/>
    <w:qFormat/>
    <w:uiPriority w:val="0"/>
    <w:rPr>
      <w:rFonts w:hint="eastAsia" w:ascii="黑体" w:hAnsi="Arial" w:eastAsia="黑体" w:cs="Arial"/>
      <w:kern w:val="2"/>
      <w:sz w:val="24"/>
      <w:szCs w:val="24"/>
      <w:lang w:val="en-US" w:eastAsia="zh-CN" w:bidi="ar-SA"/>
    </w:rPr>
  </w:style>
  <w:style w:type="character" w:customStyle="1" w:styleId="2955">
    <w:name w:val="标5 Char Char"/>
    <w:qFormat/>
    <w:uiPriority w:val="0"/>
    <w:rPr>
      <w:rFonts w:hint="eastAsia" w:ascii="宋体" w:hAnsi="宋体" w:eastAsia="宋体"/>
      <w:sz w:val="28"/>
      <w:szCs w:val="28"/>
      <w:lang w:val="en-US" w:eastAsia="zh-CN"/>
    </w:rPr>
  </w:style>
  <w:style w:type="character" w:customStyle="1" w:styleId="2956">
    <w:name w:val="标4 Char Char"/>
    <w:qFormat/>
    <w:uiPriority w:val="0"/>
    <w:rPr>
      <w:rFonts w:hint="eastAsia" w:ascii="宋体" w:hAnsi="宋体" w:eastAsia="宋体"/>
      <w:sz w:val="28"/>
      <w:szCs w:val="28"/>
      <w:lang w:val="en-US" w:eastAsia="zh-CN"/>
    </w:rPr>
  </w:style>
  <w:style w:type="character" w:customStyle="1" w:styleId="2957">
    <w:name w:val="篇号"/>
    <w:qFormat/>
    <w:uiPriority w:val="0"/>
    <w:rPr>
      <w:rFonts w:hint="eastAsia" w:ascii="宋体" w:hAnsi="宋体" w:eastAsia="宋体"/>
      <w:sz w:val="28"/>
      <w:szCs w:val="28"/>
    </w:rPr>
  </w:style>
  <w:style w:type="character" w:customStyle="1" w:styleId="2958">
    <w:name w:val="首行缩进"/>
    <w:uiPriority w:val="0"/>
    <w:rPr>
      <w:rFonts w:hint="default" w:ascii="Arial" w:hAnsi="Arial" w:eastAsia="宋体" w:cs="Arial"/>
      <w:kern w:val="2"/>
      <w:sz w:val="24"/>
      <w:szCs w:val="24"/>
      <w:lang w:val="en-US" w:eastAsia="zh-CN" w:bidi="ar-SA"/>
    </w:rPr>
  </w:style>
  <w:style w:type="character" w:customStyle="1" w:styleId="2959">
    <w:name w:val="fb1"/>
    <w:autoRedefine/>
    <w:qFormat/>
    <w:uiPriority w:val="0"/>
    <w:rPr>
      <w:b/>
      <w:bCs/>
    </w:rPr>
  </w:style>
  <w:style w:type="character" w:customStyle="1" w:styleId="2960">
    <w:name w:val="arr1"/>
    <w:qFormat/>
    <w:uiPriority w:val="0"/>
  </w:style>
  <w:style w:type="character" w:customStyle="1" w:styleId="2961">
    <w:name w:val="f12 fgy"/>
    <w:qFormat/>
    <w:uiPriority w:val="0"/>
  </w:style>
  <w:style w:type="character" w:customStyle="1" w:styleId="2962">
    <w:name w:val="正文文字 Char Char Char Char"/>
    <w:qFormat/>
    <w:uiPriority w:val="0"/>
    <w:rPr>
      <w:rFonts w:hint="eastAsia" w:ascii="宋体" w:hAnsi="宋体" w:eastAsia="宋体"/>
      <w:kern w:val="2"/>
      <w:sz w:val="18"/>
      <w:szCs w:val="24"/>
      <w:lang w:val="en-US" w:eastAsia="zh-CN" w:bidi="ar-SA"/>
    </w:rPr>
  </w:style>
  <w:style w:type="character" w:customStyle="1" w:styleId="2963">
    <w:name w:val="样式 正文文本缩进 2正文文字缩进 2 + 四号 蓝色 Char Char Char"/>
    <w:qFormat/>
    <w:uiPriority w:val="0"/>
    <w:rPr>
      <w:rFonts w:hint="eastAsia" w:ascii="宋体" w:hAnsi="宋体" w:eastAsia="宋体"/>
      <w:color w:val="0000FF"/>
      <w:sz w:val="24"/>
      <w:szCs w:val="24"/>
      <w:lang w:val="en-US" w:eastAsia="zh-CN" w:bidi="ar-SA"/>
    </w:rPr>
  </w:style>
  <w:style w:type="character" w:customStyle="1" w:styleId="2964">
    <w:name w:val="fliesstext1"/>
    <w:autoRedefine/>
    <w:qFormat/>
    <w:uiPriority w:val="0"/>
    <w:rPr>
      <w:rFonts w:hint="default" w:ascii="Arial" w:hAnsi="Arial" w:cs="Arial"/>
      <w:color w:val="000000"/>
      <w:sz w:val="18"/>
      <w:szCs w:val="18"/>
    </w:rPr>
  </w:style>
  <w:style w:type="character" w:customStyle="1" w:styleId="2965">
    <w:name w:val="正文文字 Char Char Char Char Char"/>
    <w:qFormat/>
    <w:uiPriority w:val="0"/>
    <w:rPr>
      <w:rFonts w:hint="eastAsia" w:ascii="宋体" w:hAnsi="宋体" w:eastAsia="宋体"/>
      <w:kern w:val="2"/>
      <w:sz w:val="24"/>
      <w:lang w:val="en-US" w:eastAsia="zh-CN" w:bidi="ar-SA"/>
    </w:rPr>
  </w:style>
  <w:style w:type="character" w:customStyle="1" w:styleId="2966">
    <w:name w:val="td71"/>
    <w:qFormat/>
    <w:uiPriority w:val="0"/>
    <w:rPr>
      <w:color w:val="3B3B3B"/>
      <w:sz w:val="21"/>
      <w:szCs w:val="21"/>
    </w:rPr>
  </w:style>
  <w:style w:type="character" w:customStyle="1" w:styleId="2967">
    <w:name w:val="可研-正文首行缩进 Char Char1"/>
    <w:qFormat/>
    <w:uiPriority w:val="0"/>
    <w:rPr>
      <w:rFonts w:hint="eastAsia" w:ascii="宋体" w:hAnsi="宋体" w:eastAsia="宋体"/>
      <w:color w:val="000000"/>
      <w:sz w:val="28"/>
      <w:szCs w:val="28"/>
      <w:lang w:val="en-US" w:eastAsia="zh-CN" w:bidi="ar-SA"/>
    </w:rPr>
  </w:style>
  <w:style w:type="character" w:customStyle="1" w:styleId="2968">
    <w:name w:val="热电厂正文 Char Char Char Char"/>
    <w:qFormat/>
    <w:uiPriority w:val="0"/>
    <w:rPr>
      <w:rFonts w:hint="eastAsia" w:ascii="宋体" w:hAnsi="宋体" w:eastAsia="宋体"/>
      <w:kern w:val="2"/>
      <w:sz w:val="24"/>
      <w:szCs w:val="24"/>
      <w:lang w:val="en-US" w:eastAsia="zh-CN" w:bidi="ar-SA"/>
    </w:rPr>
  </w:style>
  <w:style w:type="character" w:customStyle="1" w:styleId="2969">
    <w:name w:val="新标题4 Char Char"/>
    <w:autoRedefine/>
    <w:qFormat/>
    <w:uiPriority w:val="0"/>
    <w:rPr>
      <w:rFonts w:hint="default" w:ascii="Arial" w:hAnsi="Arial" w:eastAsia="宋体" w:cs="宋体"/>
      <w:b/>
      <w:bCs/>
      <w:spacing w:val="8"/>
      <w:kern w:val="2"/>
      <w:sz w:val="24"/>
      <w:szCs w:val="24"/>
      <w:lang w:val="en-US" w:eastAsia="zh-CN" w:bidi="ar-SA"/>
    </w:rPr>
  </w:style>
  <w:style w:type="character" w:customStyle="1" w:styleId="2970">
    <w:name w:val="f241"/>
    <w:qFormat/>
    <w:uiPriority w:val="0"/>
    <w:rPr>
      <w:sz w:val="36"/>
      <w:szCs w:val="36"/>
    </w:rPr>
  </w:style>
  <w:style w:type="character" w:customStyle="1" w:styleId="2971">
    <w:name w:val="BOD 0 Char Char Char"/>
    <w:qFormat/>
    <w:uiPriority w:val="0"/>
    <w:rPr>
      <w:rFonts w:hint="eastAsia" w:ascii="宋体" w:hAnsi="宋体" w:eastAsia="宋体"/>
      <w:b/>
      <w:bCs/>
      <w:kern w:val="2"/>
      <w:sz w:val="32"/>
      <w:szCs w:val="32"/>
      <w:lang w:val="en-US" w:eastAsia="zh-CN" w:bidi="ar-SA"/>
    </w:rPr>
  </w:style>
  <w:style w:type="character" w:customStyle="1" w:styleId="2972">
    <w:name w:val="Char Char Char Char Char4"/>
    <w:autoRedefine/>
    <w:uiPriority w:val="0"/>
    <w:rPr>
      <w:rFonts w:hint="default" w:ascii="Arial" w:hAnsi="Arial" w:eastAsia="黑体" w:cs="Arial"/>
      <w:b/>
      <w:bCs/>
      <w:kern w:val="2"/>
      <w:sz w:val="32"/>
      <w:szCs w:val="32"/>
      <w:lang w:val="en-US" w:eastAsia="zh-CN" w:bidi="ar-SA"/>
    </w:rPr>
  </w:style>
  <w:style w:type="character" w:customStyle="1" w:styleId="2973">
    <w:name w:val="contentfont"/>
    <w:qFormat/>
    <w:uiPriority w:val="0"/>
  </w:style>
  <w:style w:type="character" w:customStyle="1" w:styleId="2974">
    <w:name w:val="heading1"/>
    <w:qFormat/>
    <w:uiPriority w:val="0"/>
    <w:rPr>
      <w:rFonts w:hint="default" w:ascii="ӗԲ" w:hAnsi="ӗԲ"/>
      <w:b/>
      <w:bCs/>
      <w:i/>
      <w:iCs/>
      <w:color w:val="000000"/>
      <w:sz w:val="32"/>
      <w:szCs w:val="32"/>
    </w:rPr>
  </w:style>
  <w:style w:type="character" w:customStyle="1" w:styleId="2975">
    <w:name w:val="样式 正文文本缩进 2正文文字缩进 2 + 四号 蓝色 Char Char Char Char"/>
    <w:qFormat/>
    <w:uiPriority w:val="0"/>
    <w:rPr>
      <w:rFonts w:hint="eastAsia" w:ascii="宋体" w:hAnsi="宋体" w:eastAsia="宋体"/>
      <w:color w:val="0000FF"/>
      <w:kern w:val="2"/>
      <w:sz w:val="28"/>
      <w:szCs w:val="28"/>
      <w:lang w:val="en-US" w:eastAsia="zh-CN" w:bidi="ar-SA"/>
    </w:rPr>
  </w:style>
  <w:style w:type="character" w:customStyle="1" w:styleId="2976">
    <w:name w:val="热电厂正文 Char Char Char Char Char"/>
    <w:qFormat/>
    <w:uiPriority w:val="0"/>
    <w:rPr>
      <w:rFonts w:hint="eastAsia" w:ascii="宋体" w:hAnsi="宋体" w:eastAsia="宋体"/>
      <w:kern w:val="2"/>
      <w:sz w:val="24"/>
      <w:szCs w:val="24"/>
      <w:lang w:val="en-US" w:eastAsia="zh-CN" w:bidi="ar-SA"/>
    </w:rPr>
  </w:style>
  <w:style w:type="character" w:customStyle="1" w:styleId="2977">
    <w:name w:val="样式 热电厂正文 + 首行缩进:  2 字符 Char Char Char Char Char"/>
    <w:autoRedefine/>
    <w:qFormat/>
    <w:uiPriority w:val="0"/>
    <w:rPr>
      <w:rFonts w:hint="eastAsia" w:ascii="宋体" w:hAnsi="宋体" w:eastAsia="宋体" w:cs="宋体"/>
      <w:kern w:val="2"/>
      <w:sz w:val="24"/>
      <w:szCs w:val="24"/>
      <w:lang w:val="en-US" w:eastAsia="zh-CN" w:bidi="ar-SA"/>
    </w:rPr>
  </w:style>
  <w:style w:type="character" w:customStyle="1" w:styleId="2978">
    <w:name w:val="样式 样式 首行缩进:  2 字符 行距: 最小值 24 磅 + 首行缩进:  2 字符 Char Char Char Char"/>
    <w:qFormat/>
    <w:uiPriority w:val="0"/>
    <w:rPr>
      <w:rFonts w:hint="eastAsia" w:ascii="宋体" w:hAnsi="宋体" w:eastAsia="宋体" w:cs="宋体"/>
      <w:kern w:val="2"/>
      <w:sz w:val="24"/>
      <w:szCs w:val="24"/>
      <w:lang w:val="en-US" w:eastAsia="zh-CN" w:bidi="ar-SA"/>
    </w:rPr>
  </w:style>
  <w:style w:type="character" w:customStyle="1" w:styleId="2979">
    <w:name w:val="样式 首行缩进:  2 字符 行距: 最小值 24 磅 Char Char Char Char"/>
    <w:autoRedefine/>
    <w:qFormat/>
    <w:uiPriority w:val="0"/>
    <w:rPr>
      <w:rFonts w:hint="eastAsia" w:ascii="宋体" w:hAnsi="宋体" w:eastAsia="宋体" w:cs="宋体"/>
      <w:kern w:val="2"/>
      <w:sz w:val="24"/>
      <w:szCs w:val="24"/>
      <w:lang w:val="en-US" w:eastAsia="zh-CN" w:bidi="ar-SA"/>
    </w:rPr>
  </w:style>
  <w:style w:type="character" w:customStyle="1" w:styleId="2980">
    <w:name w:val="text7"/>
    <w:qFormat/>
    <w:uiPriority w:val="0"/>
  </w:style>
  <w:style w:type="character" w:customStyle="1" w:styleId="2981">
    <w:name w:val="jtpsoft1"/>
    <w:autoRedefine/>
    <w:qFormat/>
    <w:uiPriority w:val="0"/>
    <w:rPr>
      <w:color w:val="505050"/>
      <w:sz w:val="18"/>
      <w:szCs w:val="18"/>
    </w:rPr>
  </w:style>
  <w:style w:type="character" w:customStyle="1" w:styleId="2982">
    <w:name w:val="style1 style3"/>
    <w:qFormat/>
    <w:uiPriority w:val="0"/>
  </w:style>
  <w:style w:type="character" w:customStyle="1" w:styleId="2983">
    <w:name w:val="字体--自建"/>
    <w:qFormat/>
    <w:uiPriority w:val="0"/>
    <w:rPr>
      <w:rFonts w:hint="eastAsia" w:ascii="宋体" w:hAnsi="宋体" w:eastAsia="宋体" w:cs="Times New Roman"/>
      <w:sz w:val="28"/>
      <w:szCs w:val="28"/>
    </w:rPr>
  </w:style>
  <w:style w:type="character" w:customStyle="1" w:styleId="2984">
    <w:name w:val="标题 7 表 Char"/>
    <w:qFormat/>
    <w:uiPriority w:val="0"/>
    <w:rPr>
      <w:rFonts w:hint="eastAsia" w:ascii="宋体" w:hAnsi="宋体" w:eastAsia="宋体"/>
      <w:b/>
      <w:bCs/>
      <w:sz w:val="24"/>
      <w:szCs w:val="24"/>
      <w:lang w:val="en-US" w:eastAsia="zh-CN" w:bidi="ar-SA"/>
    </w:rPr>
  </w:style>
  <w:style w:type="character" w:customStyle="1" w:styleId="2985">
    <w:name w:val="干标题(a) Char"/>
    <w:uiPriority w:val="0"/>
    <w:rPr>
      <w:rFonts w:hint="default" w:ascii="Arial" w:hAnsi="Arial" w:eastAsia="黑体" w:cs="Arial"/>
      <w:sz w:val="21"/>
      <w:szCs w:val="21"/>
      <w:lang w:val="en-US" w:eastAsia="zh-CN" w:bidi="ar-SA"/>
    </w:rPr>
  </w:style>
  <w:style w:type="character" w:customStyle="1" w:styleId="2986">
    <w:name w:val="Char Char14"/>
    <w:autoRedefine/>
    <w:uiPriority w:val="0"/>
    <w:rPr>
      <w:rFonts w:hint="default" w:ascii="Times New Roman" w:hAnsi="Times New Roman" w:cs="Times New Roman"/>
      <w:kern w:val="2"/>
      <w:sz w:val="21"/>
      <w:szCs w:val="24"/>
    </w:rPr>
  </w:style>
  <w:style w:type="character" w:customStyle="1" w:styleId="2987">
    <w:name w:val="headlines1"/>
    <w:uiPriority w:val="0"/>
    <w:rPr>
      <w:rFonts w:hint="eastAsia" w:ascii="򌘺ڢ,  ڌ墬 ˎ̥" w:eastAsia="򌘺ڢ,  ڌ墬 ˎ̥"/>
      <w:color w:val="554B74"/>
      <w:sz w:val="36"/>
      <w:szCs w:val="36"/>
    </w:rPr>
  </w:style>
  <w:style w:type="character" w:customStyle="1" w:styleId="2988">
    <w:name w:val="1-正文 Char Char"/>
    <w:autoRedefine/>
    <w:uiPriority w:val="0"/>
    <w:rPr>
      <w:rFonts w:hint="eastAsia" w:ascii="宋体" w:hAnsi="宋体" w:eastAsia="宋体"/>
      <w:kern w:val="2"/>
      <w:sz w:val="24"/>
      <w:lang w:val="en-US" w:eastAsia="zh-CN" w:bidi="ar-SA"/>
    </w:rPr>
  </w:style>
  <w:style w:type="character" w:customStyle="1" w:styleId="2989">
    <w:name w:val="nfdjsaeriu1"/>
    <w:autoRedefine/>
    <w:qFormat/>
    <w:uiPriority w:val="0"/>
    <w:rPr>
      <w:vanish/>
    </w:rPr>
  </w:style>
  <w:style w:type="character" w:customStyle="1" w:styleId="2990">
    <w:name w:val="标题 4。 Char"/>
    <w:uiPriority w:val="0"/>
    <w:rPr>
      <w:rFonts w:hint="default" w:ascii="Times New Roman" w:hAnsi="Times New Roman" w:cs="Times New Roman"/>
      <w:b/>
      <w:bCs/>
      <w:kern w:val="2"/>
      <w:sz w:val="32"/>
      <w:szCs w:val="32"/>
    </w:rPr>
  </w:style>
  <w:style w:type="character" w:customStyle="1" w:styleId="2991">
    <w:name w:val="标题 3-报告书 Char Char"/>
    <w:autoRedefine/>
    <w:qFormat/>
    <w:uiPriority w:val="0"/>
    <w:rPr>
      <w:rFonts w:hint="eastAsia" w:ascii="华文中宋" w:hAnsi="华文中宋" w:eastAsia="华文中宋"/>
      <w:kern w:val="2"/>
      <w:sz w:val="30"/>
      <w:szCs w:val="24"/>
      <w:lang w:val="en-US" w:eastAsia="zh-CN" w:bidi="ar-SA"/>
    </w:rPr>
  </w:style>
  <w:style w:type="character" w:customStyle="1" w:styleId="2992">
    <w:name w:val="正文（首行缩进两字） Char Char1 Char"/>
    <w:uiPriority w:val="0"/>
    <w:rPr>
      <w:rFonts w:hint="default" w:ascii="Arial" w:hAnsi="Arial" w:cs="Arial"/>
      <w:color w:val="000000"/>
      <w:kern w:val="2"/>
      <w:sz w:val="24"/>
      <w:szCs w:val="24"/>
    </w:rPr>
  </w:style>
  <w:style w:type="character" w:customStyle="1" w:styleId="2993">
    <w:name w:val="正文文字缩进 3 Char Char"/>
    <w:uiPriority w:val="0"/>
    <w:rPr>
      <w:rFonts w:hint="eastAsia" w:ascii="宋体" w:hAnsi="宋体" w:eastAsia="宋体"/>
      <w:color w:val="000000"/>
      <w:spacing w:val="5"/>
      <w:kern w:val="2"/>
      <w:sz w:val="28"/>
      <w:szCs w:val="28"/>
      <w:shd w:val="pct10" w:color="auto" w:fill="FFFFFF"/>
      <w:lang w:val="en-US" w:eastAsia="zh-CN" w:bidi="ar-SA"/>
    </w:rPr>
  </w:style>
  <w:style w:type="character" w:customStyle="1" w:styleId="2994">
    <w:name w:val="a21"/>
    <w:autoRedefine/>
    <w:qFormat/>
    <w:uiPriority w:val="0"/>
    <w:rPr>
      <w:rFonts w:hint="eastAsia" w:ascii="宋体" w:hAnsi="宋体" w:eastAsia="宋体"/>
      <w:color w:val="000000"/>
      <w:spacing w:val="300"/>
      <w:sz w:val="24"/>
      <w:szCs w:val="24"/>
      <w:u w:val="none"/>
      <w:lang w:val="en-US" w:eastAsia="en-US" w:bidi="ar-SA"/>
    </w:rPr>
  </w:style>
  <w:style w:type="character" w:customStyle="1" w:styleId="2995">
    <w:name w:val="Body Text Char1"/>
    <w:autoRedefine/>
    <w:qFormat/>
    <w:uiPriority w:val="0"/>
    <w:rPr>
      <w:kern w:val="2"/>
      <w:sz w:val="21"/>
      <w:szCs w:val="24"/>
    </w:rPr>
  </w:style>
  <w:style w:type="character" w:customStyle="1" w:styleId="2996">
    <w:name w:val="页码1"/>
    <w:uiPriority w:val="0"/>
  </w:style>
  <w:style w:type="character" w:customStyle="1" w:styleId="2997">
    <w:name w:val="chword"/>
    <w:autoRedefine/>
    <w:qFormat/>
    <w:uiPriority w:val="0"/>
  </w:style>
  <w:style w:type="character" w:customStyle="1" w:styleId="2998">
    <w:name w:val="hei141"/>
    <w:uiPriority w:val="0"/>
    <w:rPr>
      <w:color w:val="000000"/>
      <w:sz w:val="21"/>
    </w:rPr>
  </w:style>
  <w:style w:type="character" w:customStyle="1" w:styleId="2999">
    <w:name w:val="td2"/>
    <w:autoRedefine/>
    <w:qFormat/>
    <w:uiPriority w:val="0"/>
  </w:style>
  <w:style w:type="character" w:customStyle="1" w:styleId="3000">
    <w:name w:val="style61"/>
    <w:uiPriority w:val="0"/>
    <w:rPr>
      <w:b/>
      <w:bCs/>
      <w:sz w:val="23"/>
      <w:szCs w:val="23"/>
    </w:rPr>
  </w:style>
  <w:style w:type="character" w:customStyle="1" w:styleId="3001">
    <w:name w:val="pt91"/>
    <w:autoRedefine/>
    <w:qFormat/>
    <w:uiPriority w:val="0"/>
    <w:rPr>
      <w:rFonts w:hint="eastAsia" w:ascii="宋体" w:hAnsi="宋体" w:eastAsia="宋体"/>
      <w:color w:val="000000"/>
      <w:sz w:val="18"/>
      <w:szCs w:val="18"/>
      <w:u w:val="none"/>
    </w:rPr>
  </w:style>
  <w:style w:type="character" w:customStyle="1" w:styleId="3002">
    <w:name w:val="正文文字缩进 3 Char Char1"/>
    <w:uiPriority w:val="0"/>
    <w:rPr>
      <w:rFonts w:hint="eastAsia" w:ascii="宋体" w:hAnsi="宋体" w:eastAsia="宋体"/>
      <w:color w:val="FF0000"/>
      <w:kern w:val="2"/>
      <w:sz w:val="28"/>
      <w:lang w:val="en-US" w:eastAsia="zh-CN" w:bidi="ar-SA"/>
    </w:rPr>
  </w:style>
  <w:style w:type="character" w:customStyle="1" w:styleId="3003">
    <w:name w:val="newsf1"/>
    <w:autoRedefine/>
    <w:qFormat/>
    <w:uiPriority w:val="0"/>
    <w:rPr>
      <w:sz w:val="21"/>
      <w:szCs w:val="21"/>
    </w:rPr>
  </w:style>
  <w:style w:type="character" w:customStyle="1" w:styleId="3004">
    <w:name w:val="dlscore"/>
    <w:uiPriority w:val="0"/>
  </w:style>
  <w:style w:type="character" w:customStyle="1" w:styleId="3005">
    <w:name w:val="yyp Char Char"/>
    <w:autoRedefine/>
    <w:qFormat/>
    <w:uiPriority w:val="0"/>
    <w:rPr>
      <w:rFonts w:hint="default" w:ascii="Calibri" w:hAnsi="Calibri" w:eastAsia="宋体"/>
      <w:sz w:val="24"/>
      <w:lang w:bidi="ar-SA"/>
    </w:rPr>
  </w:style>
  <w:style w:type="character" w:customStyle="1" w:styleId="3006">
    <w:name w:val="样式 正文 +"/>
    <w:uiPriority w:val="0"/>
    <w:rPr>
      <w:kern w:val="0"/>
      <w:sz w:val="24"/>
    </w:rPr>
  </w:style>
  <w:style w:type="character" w:customStyle="1" w:styleId="3007">
    <w:name w:val="font01"/>
    <w:autoRedefine/>
    <w:uiPriority w:val="0"/>
    <w:rPr>
      <w:rFonts w:hint="eastAsia" w:ascii="宋体" w:hAnsi="宋体" w:eastAsia="宋体"/>
      <w:color w:val="000000"/>
      <w:sz w:val="24"/>
      <w:szCs w:val="24"/>
      <w:u w:val="none"/>
    </w:rPr>
  </w:style>
  <w:style w:type="character" w:customStyle="1" w:styleId="3008">
    <w:name w:val="Char Char Char Char Char41"/>
    <w:autoRedefine/>
    <w:qFormat/>
    <w:uiPriority w:val="0"/>
    <w:rPr>
      <w:rFonts w:hint="default" w:ascii="Arial" w:hAnsi="Arial" w:eastAsia="黑体" w:cs="Arial"/>
      <w:b/>
      <w:bCs/>
      <w:kern w:val="2"/>
      <w:sz w:val="32"/>
      <w:szCs w:val="32"/>
      <w:lang w:val="en-US" w:eastAsia="zh-CN" w:bidi="ar-SA"/>
    </w:rPr>
  </w:style>
  <w:style w:type="character" w:customStyle="1" w:styleId="3009">
    <w:name w:val="Char Char141"/>
    <w:autoRedefine/>
    <w:uiPriority w:val="0"/>
    <w:rPr>
      <w:rFonts w:hint="default" w:ascii="Times New Roman" w:hAnsi="Times New Roman" w:cs="Times New Roman"/>
      <w:kern w:val="2"/>
      <w:sz w:val="21"/>
      <w:szCs w:val="24"/>
    </w:rPr>
  </w:style>
  <w:style w:type="character" w:customStyle="1" w:styleId="3010">
    <w:name w:val="页码2"/>
    <w:autoRedefine/>
    <w:uiPriority w:val="0"/>
  </w:style>
  <w:style w:type="paragraph" w:customStyle="1" w:styleId="3011">
    <w:name w:val="样式 样式18 + 黑色 行距: 固定值 23 磅"/>
    <w:basedOn w:val="1251"/>
    <w:autoRedefine/>
    <w:uiPriority w:val="0"/>
    <w:pPr>
      <w:keepNext/>
      <w:keepLines/>
      <w:tabs>
        <w:tab w:val="left" w:pos="1800"/>
      </w:tabs>
      <w:overflowPunct w:val="0"/>
      <w:topLinePunct/>
      <w:autoSpaceDE w:val="0"/>
      <w:autoSpaceDN w:val="0"/>
      <w:adjustRightInd w:val="0"/>
      <w:snapToGrid w:val="0"/>
      <w:ind w:firstLine="0" w:firstLineChars="0"/>
      <w:jc w:val="left"/>
      <w:outlineLvl w:val="3"/>
    </w:pPr>
    <w:rPr>
      <w:rFonts w:hAnsi="宋体"/>
      <w:szCs w:val="20"/>
    </w:rPr>
  </w:style>
  <w:style w:type="paragraph" w:customStyle="1" w:styleId="3012">
    <w:name w:val="说明-表格用字1"/>
    <w:basedOn w:val="2461"/>
    <w:autoRedefine/>
    <w:uiPriority w:val="0"/>
  </w:style>
  <w:style w:type="paragraph" w:customStyle="1" w:styleId="3013">
    <w:name w:val="样式 样式 样式9 + 段前: 0.5 行 段后: 0.5 行 + 段前: 1 行 段后: 0.5 行"/>
    <w:basedOn w:val="2878"/>
    <w:autoRedefine/>
    <w:qFormat/>
    <w:uiPriority w:val="0"/>
  </w:style>
  <w:style w:type="paragraph" w:customStyle="1" w:styleId="3014">
    <w:name w:val="样式 样式 样式 样式9 + 段前: 0.5 行 段后: 0.5 行 + 段前: 1 行 段后: 0.5 行 + 段前: 1 行..."/>
    <w:basedOn w:val="3013"/>
    <w:autoRedefine/>
    <w:uiPriority w:val="0"/>
  </w:style>
  <w:style w:type="paragraph" w:customStyle="1" w:styleId="3015">
    <w:name w:val="样式 样式 样式 样式 样式9 + 段前: 0.5 行 段后: 0.5 行 + 段前: 1 行 段后: 0.5 行 + 段前: ...1"/>
    <w:basedOn w:val="3014"/>
    <w:autoRedefine/>
    <w:uiPriority w:val="0"/>
    <w:pPr>
      <w:tabs>
        <w:tab w:val="left" w:pos="567"/>
      </w:tabs>
    </w:pPr>
  </w:style>
  <w:style w:type="paragraph" w:customStyle="1" w:styleId="3016">
    <w:name w:val="样式 样式 样式 样式 样式9 + 段前: 0.5 行 段后: 0.5 行 + 段前: 1 行 段后: 0.5 行 + 段前: ..."/>
    <w:basedOn w:val="3014"/>
    <w:autoRedefine/>
    <w:qFormat/>
    <w:uiPriority w:val="0"/>
  </w:style>
  <w:style w:type="paragraph" w:customStyle="1" w:styleId="3017">
    <w:name w:val="样式 样式 样式 样式 样式 样式9 + 段前: 0.5 行 段后: 0.5 行 + 段前: 1 行 段后: 0.5 行 + 段..."/>
    <w:basedOn w:val="3016"/>
    <w:autoRedefine/>
    <w:uiPriority w:val="0"/>
    <w:pPr>
      <w:jc w:val="left"/>
    </w:pPr>
  </w:style>
  <w:style w:type="paragraph" w:customStyle="1" w:styleId="3018">
    <w:name w:val="样式 样式 样式 样式 样式 样式 样式9 + 段前: 0.5 行 段后: 0.5 行 + 段前: 1 行 段后: 0.5 行 ..."/>
    <w:basedOn w:val="3017"/>
    <w:autoRedefine/>
    <w:uiPriority w:val="0"/>
  </w:style>
  <w:style w:type="paragraph" w:customStyle="1" w:styleId="3019">
    <w:name w:val="样式 样式 样式 样式 样式 样式 样式 样式9 + 段前: 0.5 行 段后: 0.5 行 + 段前: 1 行 段后: 0.5...3"/>
    <w:basedOn w:val="3018"/>
    <w:autoRedefine/>
    <w:qFormat/>
    <w:uiPriority w:val="0"/>
    <w:pPr>
      <w:tabs>
        <w:tab w:val="left" w:pos="567"/>
      </w:tabs>
    </w:pPr>
    <w:rPr>
      <w:color w:val="000000"/>
    </w:rPr>
  </w:style>
  <w:style w:type="paragraph" w:customStyle="1" w:styleId="3020">
    <w:name w:val="样式 样式 样式 样式 样式 样式 样式 样式9 + 段前: 0.5 行 段后: 0.5 行 + 段前: 1 行 段后: 0.5...2"/>
    <w:basedOn w:val="3018"/>
    <w:uiPriority w:val="0"/>
    <w:rPr>
      <w:color w:val="000000"/>
    </w:rPr>
  </w:style>
  <w:style w:type="paragraph" w:customStyle="1" w:styleId="3021">
    <w:name w:val="样式 样式 样式 样式 样式 样式 样式 样式9 + 段前: 0.5 行 段后: 0.5 行 + 段前: 1 行 段后: 0.5...1"/>
    <w:basedOn w:val="3018"/>
    <w:autoRedefine/>
    <w:uiPriority w:val="0"/>
    <w:rPr>
      <w:color w:val="000000"/>
    </w:rPr>
  </w:style>
  <w:style w:type="paragraph" w:customStyle="1" w:styleId="3022">
    <w:name w:val="样式 样式 标题 4 + 首行缩进:  2 字符1 + 首行缩进:  2 字符"/>
    <w:basedOn w:val="2805"/>
    <w:autoRedefine/>
    <w:uiPriority w:val="0"/>
    <w:pPr>
      <w:ind w:firstLine="482"/>
    </w:pPr>
    <w:rPr>
      <w:rFonts w:ascii="Times New Roman" w:hAnsi="Times New Roman"/>
      <w:bCs/>
    </w:rPr>
  </w:style>
  <w:style w:type="character" w:customStyle="1" w:styleId="3023">
    <w:name w:val="1正文段落 Char Char"/>
    <w:autoRedefine/>
    <w:qFormat/>
    <w:uiPriority w:val="0"/>
    <w:rPr>
      <w:rFonts w:eastAsia="宋体"/>
      <w:snapToGrid w:val="0"/>
      <w:sz w:val="24"/>
      <w:szCs w:val="24"/>
      <w:lang w:val="en-US" w:eastAsia="zh-CN" w:bidi="ar-SA"/>
    </w:rPr>
  </w:style>
  <w:style w:type="character" w:customStyle="1" w:styleId="3024">
    <w:name w:val="text_black_100_14px1"/>
    <w:autoRedefine/>
    <w:qFormat/>
    <w:uiPriority w:val="0"/>
    <w:rPr>
      <w:rFonts w:hint="eastAsia" w:ascii="宋体" w:hAnsi="宋体" w:eastAsia="宋体"/>
      <w:color w:val="000000"/>
      <w:sz w:val="21"/>
      <w:szCs w:val="21"/>
      <w:u w:val="none"/>
    </w:rPr>
  </w:style>
  <w:style w:type="character" w:customStyle="1" w:styleId="3025">
    <w:name w:val="正文文字 2 Char Char"/>
    <w:autoRedefine/>
    <w:uiPriority w:val="0"/>
    <w:rPr>
      <w:rFonts w:ascii="Times New Roman" w:hAnsi="Times New Roman" w:eastAsia="宋体" w:cs="Times New Roman"/>
      <w:szCs w:val="24"/>
    </w:rPr>
  </w:style>
  <w:style w:type="paragraph" w:customStyle="1" w:styleId="3026">
    <w:name w:val="font14g"/>
    <w:basedOn w:val="1"/>
    <w:autoRedefine/>
    <w:qFormat/>
    <w:uiPriority w:val="0"/>
    <w:pPr>
      <w:widowControl/>
      <w:snapToGrid/>
      <w:spacing w:line="450" w:lineRule="atLeast"/>
      <w:ind w:left="15" w:right="15" w:firstLine="0" w:firstLineChars="0"/>
    </w:pPr>
    <w:rPr>
      <w:rFonts w:ascii="宋体" w:hAnsi="宋体" w:cs="宋体"/>
      <w:color w:val="3E3E3E"/>
      <w:kern w:val="0"/>
      <w:sz w:val="21"/>
      <w:szCs w:val="21"/>
    </w:rPr>
  </w:style>
  <w:style w:type="table" w:customStyle="1" w:styleId="3027">
    <w:name w:val="网格型 13"/>
    <w:basedOn w:val="88"/>
    <w:autoRedefine/>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character" w:customStyle="1" w:styleId="3028">
    <w:name w:val="163s2"/>
    <w:autoRedefine/>
    <w:qFormat/>
    <w:uiPriority w:val="0"/>
    <w:rPr>
      <w:sz w:val="18"/>
      <w:szCs w:val="18"/>
    </w:rPr>
  </w:style>
  <w:style w:type="character" w:customStyle="1" w:styleId="3029">
    <w:name w:val="标题8 Char"/>
    <w:autoRedefine/>
    <w:uiPriority w:val="0"/>
    <w:rPr>
      <w:rFonts w:ascii="Arial" w:hAnsi="Arial" w:eastAsia="黑体"/>
      <w:b/>
      <w:kern w:val="2"/>
      <w:sz w:val="24"/>
    </w:rPr>
  </w:style>
  <w:style w:type="character" w:customStyle="1" w:styleId="3030">
    <w:name w:val="H7 Char"/>
    <w:autoRedefine/>
    <w:qFormat/>
    <w:uiPriority w:val="0"/>
    <w:rPr>
      <w:rFonts w:ascii="Times New Roman" w:hAnsi="Times New Roman"/>
      <w:b/>
      <w:kern w:val="2"/>
      <w:sz w:val="24"/>
    </w:rPr>
  </w:style>
  <w:style w:type="character" w:customStyle="1" w:styleId="3031">
    <w:name w:val="H9 Char Char"/>
    <w:autoRedefine/>
    <w:qFormat/>
    <w:uiPriority w:val="0"/>
    <w:rPr>
      <w:rFonts w:ascii="Arial" w:hAnsi="Arial" w:eastAsia="黑体"/>
      <w:kern w:val="2"/>
      <w:sz w:val="21"/>
    </w:rPr>
  </w:style>
  <w:style w:type="table" w:customStyle="1" w:styleId="3032">
    <w:name w:val="网格型 54"/>
    <w:basedOn w:val="88"/>
    <w:autoRedefine/>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paragraph" w:customStyle="1" w:styleId="3033">
    <w:name w:val="正文首行缩进3"/>
    <w:basedOn w:val="34"/>
    <w:autoRedefine/>
    <w:qFormat/>
    <w:uiPriority w:val="0"/>
    <w:pPr>
      <w:widowControl w:val="0"/>
      <w:adjustRightInd w:val="0"/>
      <w:snapToGrid/>
      <w:spacing w:before="0" w:after="120" w:line="312" w:lineRule="auto"/>
      <w:ind w:right="0" w:firstLine="567" w:firstLineChars="0"/>
      <w:textAlignment w:val="baseline"/>
    </w:pPr>
    <w:rPr>
      <w:sz w:val="28"/>
    </w:rPr>
  </w:style>
  <w:style w:type="paragraph" w:customStyle="1" w:styleId="3034">
    <w:name w:val="正文文本缩进 23"/>
    <w:basedOn w:val="1"/>
    <w:autoRedefine/>
    <w:uiPriority w:val="0"/>
    <w:pPr>
      <w:adjustRightInd w:val="0"/>
      <w:snapToGrid/>
      <w:spacing w:line="348" w:lineRule="auto"/>
      <w:ind w:firstLine="573" w:firstLineChars="0"/>
      <w:jc w:val="both"/>
      <w:textAlignment w:val="baseline"/>
    </w:pPr>
    <w:rPr>
      <w:rFonts w:eastAsia="Wingdings"/>
      <w:sz w:val="28"/>
      <w:szCs w:val="20"/>
    </w:rPr>
  </w:style>
  <w:style w:type="table" w:customStyle="1" w:styleId="3035">
    <w:name w:val="列表型 53"/>
    <w:basedOn w:val="88"/>
    <w:autoRedefine/>
    <w:qFormat/>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036">
    <w:name w:val="网格型31"/>
    <w:basedOn w:val="88"/>
    <w:autoRedefine/>
    <w:qFormat/>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7">
    <w:name w:val="网格型41"/>
    <w:basedOn w:val="88"/>
    <w:autoRedefine/>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8">
    <w:name w:val="网格型51"/>
    <w:basedOn w:val="88"/>
    <w:autoRedefine/>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9">
    <w:name w:val="网格型 513"/>
    <w:basedOn w:val="88"/>
    <w:qFormat/>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040">
    <w:name w:val="网格型61"/>
    <w:basedOn w:val="88"/>
    <w:uiPriority w:val="0"/>
    <w:pPr>
      <w:widowControl w:val="0"/>
      <w:adjustRightInd w:val="0"/>
      <w:snapToGrid w:val="0"/>
      <w:spacing w:line="348"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1">
    <w:name w:val="网格型 75"/>
    <w:basedOn w:val="88"/>
    <w:qFormat/>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042">
    <w:name w:val="网格型71"/>
    <w:basedOn w:val="88"/>
    <w:autoRedefine/>
    <w:qFormat/>
    <w:uiPriority w:val="0"/>
    <w:pPr>
      <w:widowControl w:val="0"/>
      <w:adjustRightInd w:val="0"/>
      <w:snapToGrid w:val="0"/>
      <w:spacing w:line="348" w:lineRule="auto"/>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3">
    <w:name w:val="网格型 521"/>
    <w:basedOn w:val="88"/>
    <w:autoRedefine/>
    <w:qFormat/>
    <w:uiPriority w:val="0"/>
    <w:pPr>
      <w:widowControl w:val="0"/>
      <w:adjustRightInd w:val="0"/>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044">
    <w:name w:val="三线表1"/>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45">
    <w:name w:val="H3 Char1"/>
    <w:autoRedefine/>
    <w:qFormat/>
    <w:uiPriority w:val="0"/>
    <w:rPr>
      <w:rFonts w:ascii="Times New Roman" w:hAnsi="Times New Roman" w:eastAsia="宋体" w:cs="Times New Roman"/>
      <w:b/>
      <w:bCs/>
      <w:sz w:val="24"/>
      <w:szCs w:val="32"/>
    </w:rPr>
  </w:style>
  <w:style w:type="character" w:customStyle="1" w:styleId="3046">
    <w:name w:val="样式14 Char"/>
    <w:link w:val="369"/>
    <w:autoRedefine/>
    <w:qFormat/>
    <w:uiPriority w:val="0"/>
    <w:rPr>
      <w:kern w:val="2"/>
      <w:sz w:val="22"/>
      <w:szCs w:val="22"/>
      <w:lang w:val="zh-CN"/>
    </w:rPr>
  </w:style>
  <w:style w:type="table" w:customStyle="1" w:styleId="3047">
    <w:name w:val="三线表2"/>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8">
    <w:name w:val="网格型13"/>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49">
    <w:name w:val="正文首行缩进4"/>
    <w:basedOn w:val="34"/>
    <w:autoRedefine/>
    <w:qFormat/>
    <w:uiPriority w:val="0"/>
    <w:pPr>
      <w:widowControl w:val="0"/>
      <w:adjustRightInd w:val="0"/>
      <w:snapToGrid/>
      <w:spacing w:before="0" w:after="120" w:line="312" w:lineRule="auto"/>
      <w:ind w:right="0" w:firstLine="567" w:firstLineChars="0"/>
      <w:textAlignment w:val="baseline"/>
    </w:pPr>
    <w:rPr>
      <w:sz w:val="28"/>
    </w:rPr>
  </w:style>
  <w:style w:type="paragraph" w:customStyle="1" w:styleId="3050">
    <w:name w:val="正文文本缩进 24"/>
    <w:basedOn w:val="1"/>
    <w:autoRedefine/>
    <w:qFormat/>
    <w:uiPriority w:val="0"/>
    <w:pPr>
      <w:adjustRightInd w:val="0"/>
      <w:snapToGrid/>
      <w:spacing w:line="348" w:lineRule="auto"/>
      <w:ind w:firstLine="573" w:firstLineChars="0"/>
      <w:jc w:val="both"/>
      <w:textAlignment w:val="baseline"/>
    </w:pPr>
    <w:rPr>
      <w:rFonts w:eastAsia="Wingdings"/>
      <w:sz w:val="28"/>
      <w:szCs w:val="20"/>
    </w:rPr>
  </w:style>
  <w:style w:type="paragraph" w:customStyle="1" w:styleId="3051">
    <w:name w:val="文档结构图2"/>
    <w:basedOn w:val="1"/>
    <w:autoRedefine/>
    <w:qFormat/>
    <w:uiPriority w:val="0"/>
    <w:pPr>
      <w:shd w:val="clear" w:color="auto" w:fill="000080"/>
      <w:adjustRightInd w:val="0"/>
      <w:snapToGrid/>
      <w:spacing w:line="360" w:lineRule="atLeast"/>
      <w:ind w:firstLine="0" w:firstLineChars="0"/>
      <w:textAlignment w:val="baseline"/>
    </w:pPr>
    <w:rPr>
      <w:rFonts w:eastAsia="Wingdings"/>
      <w:kern w:val="0"/>
      <w:szCs w:val="20"/>
    </w:rPr>
  </w:style>
  <w:style w:type="table" w:customStyle="1" w:styleId="3052">
    <w:name w:val="网格型10"/>
    <w:basedOn w:val="8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3">
    <w:name w:val="彩色型 21"/>
    <w:basedOn w:val="88"/>
    <w:autoRedefine/>
    <w:semiHidden/>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3054">
    <w:name w:val="彩色型 31"/>
    <w:basedOn w:val="88"/>
    <w:autoRedefine/>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3055">
    <w:name w:val="典雅型1"/>
    <w:basedOn w:val="8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l2br w:val="nil"/>
          <w:tr2bl w:val="nil"/>
        </w:tcBorders>
      </w:tcPr>
    </w:tblStylePr>
  </w:style>
  <w:style w:type="table" w:customStyle="1" w:styleId="3056">
    <w:name w:val="古典型 11"/>
    <w:basedOn w:val="88"/>
    <w:autoRedefine/>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3057">
    <w:name w:val="古典型 21"/>
    <w:basedOn w:val="88"/>
    <w:autoRedefine/>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3058">
    <w:name w:val="古典型 31"/>
    <w:basedOn w:val="88"/>
    <w:autoRedefine/>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3059">
    <w:name w:val="古典型 41"/>
    <w:basedOn w:val="88"/>
    <w:autoRedefine/>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3060">
    <w:name w:val="简明型 11"/>
    <w:basedOn w:val="88"/>
    <w:autoRedefine/>
    <w:qFormat/>
    <w:uiPriority w:val="0"/>
    <w:pPr>
      <w:widowControl w:val="0"/>
      <w:adjustRightInd w:val="0"/>
      <w:textAlignment w:val="baseline"/>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061">
    <w:name w:val="简明型 21"/>
    <w:basedOn w:val="88"/>
    <w:autoRedefine/>
    <w:semiHidden/>
    <w:qFormat/>
    <w:uiPriority w:val="0"/>
    <w:pPr>
      <w:widowControl w:val="0"/>
      <w:jc w:val="both"/>
    </w:pPr>
    <w:tblPr>
      <w:tblCellMar>
        <w:top w:w="0" w:type="dxa"/>
        <w:left w:w="108" w:type="dxa"/>
        <w:bottom w:w="0" w:type="dxa"/>
        <w:right w:w="108" w:type="dxa"/>
      </w:tblCellMar>
    </w:tbl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3062">
    <w:name w:val="简明型 31"/>
    <w:basedOn w:val="88"/>
    <w:autoRedefine/>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3063">
    <w:name w:val="精巧型 11"/>
    <w:basedOn w:val="88"/>
    <w:autoRedefine/>
    <w:semiHidden/>
    <w:qFormat/>
    <w:uiPriority w:val="0"/>
    <w:pPr>
      <w:widowControl w:val="0"/>
      <w:jc w:val="both"/>
    </w:pPr>
    <w:tblPr>
      <w:tblCellMar>
        <w:top w:w="0" w:type="dxa"/>
        <w:left w:w="108" w:type="dxa"/>
        <w:bottom w:w="0" w:type="dxa"/>
        <w:right w:w="108" w:type="dxa"/>
      </w:tblCellMar>
    </w:tbl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064">
    <w:name w:val="精巧型 21"/>
    <w:basedOn w:val="88"/>
    <w:autoRedefine/>
    <w:semiHidden/>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065">
    <w:name w:val="立体型 11"/>
    <w:basedOn w:val="88"/>
    <w:autoRedefine/>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3066">
    <w:name w:val="立体型 21"/>
    <w:basedOn w:val="88"/>
    <w:autoRedefine/>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067">
    <w:name w:val="立体型 31"/>
    <w:basedOn w:val="88"/>
    <w:autoRedefine/>
    <w:semiHidden/>
    <w:qFormat/>
    <w:uiPriority w:val="0"/>
    <w:pPr>
      <w:widowControl w:val="0"/>
      <w:jc w:val="both"/>
    </w:p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068">
    <w:name w:val="列表型 11"/>
    <w:basedOn w:val="88"/>
    <w:autoRedefine/>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069">
    <w:name w:val="列表型 21"/>
    <w:basedOn w:val="88"/>
    <w:autoRedefine/>
    <w:semiHidden/>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070">
    <w:name w:val="列表型 31"/>
    <w:basedOn w:val="88"/>
    <w:autoRedefine/>
    <w:semiHidden/>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3071">
    <w:name w:val="列表型 41"/>
    <w:basedOn w:val="88"/>
    <w:autoRedefine/>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3072">
    <w:name w:val="列表型 54"/>
    <w:basedOn w:val="88"/>
    <w:autoRedefine/>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073">
    <w:name w:val="列表型 61"/>
    <w:basedOn w:val="88"/>
    <w:autoRedefine/>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3074">
    <w:name w:val="列表型 71"/>
    <w:basedOn w:val="88"/>
    <w:autoRedefine/>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075">
    <w:name w:val="列表型 81"/>
    <w:basedOn w:val="88"/>
    <w:autoRedefine/>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3076">
    <w:name w:val="流行型1"/>
    <w:basedOn w:val="88"/>
    <w:autoRedefine/>
    <w:semiHidden/>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3077">
    <w:name w:val="竖列型 11"/>
    <w:basedOn w:val="88"/>
    <w:autoRedefine/>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078">
    <w:name w:val="竖列型 21"/>
    <w:basedOn w:val="88"/>
    <w:autoRedefine/>
    <w:semiHidden/>
    <w:qFormat/>
    <w:uiPriority w:val="0"/>
    <w:pPr>
      <w:widowControl w:val="0"/>
      <w:jc w:val="both"/>
    </w:pPr>
    <w:rPr>
      <w:b/>
      <w:bCs/>
    </w:rPr>
    <w:tblPr>
      <w:tblCellMar>
        <w:top w:w="0" w:type="dxa"/>
        <w:left w:w="108" w:type="dxa"/>
        <w:bottom w:w="0" w:type="dxa"/>
        <w:right w:w="108" w:type="dxa"/>
      </w:tblCellMar>
    </w:tbl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079">
    <w:name w:val="竖列型 31"/>
    <w:basedOn w:val="88"/>
    <w:autoRedefine/>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3080">
    <w:name w:val="竖列型 41"/>
    <w:basedOn w:val="88"/>
    <w:autoRedefine/>
    <w:semiHidden/>
    <w:qFormat/>
    <w:uiPriority w:val="0"/>
    <w:pPr>
      <w:widowControl w:val="0"/>
      <w:jc w:val="both"/>
    </w:pPr>
    <w:tblPr>
      <w:tblCellMar>
        <w:top w:w="0" w:type="dxa"/>
        <w:left w:w="108" w:type="dxa"/>
        <w:bottom w:w="0" w:type="dxa"/>
        <w:right w:w="108" w:type="dxa"/>
      </w:tblCellMar>
    </w:tbl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3081">
    <w:name w:val="竖列型 51"/>
    <w:basedOn w:val="88"/>
    <w:autoRedefine/>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3082">
    <w:name w:val="网格型 14"/>
    <w:basedOn w:val="8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083">
    <w:name w:val="网格型 21"/>
    <w:basedOn w:val="88"/>
    <w:autoRedefine/>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3084">
    <w:name w:val="网格型 31"/>
    <w:basedOn w:val="88"/>
    <w:autoRedefine/>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085">
    <w:name w:val="网格型 41"/>
    <w:basedOn w:val="88"/>
    <w:autoRedefine/>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3086">
    <w:name w:val="网格型 55"/>
    <w:basedOn w:val="8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087">
    <w:name w:val="网格型 61"/>
    <w:basedOn w:val="88"/>
    <w:autoRedefine/>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3088">
    <w:name w:val="网格型 76"/>
    <w:basedOn w:val="88"/>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089">
    <w:name w:val="网格型 81"/>
    <w:basedOn w:val="88"/>
    <w:autoRedefine/>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3090">
    <w:name w:val="网页型 11"/>
    <w:basedOn w:val="88"/>
    <w:autoRedefine/>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l2br w:val="nil"/>
          <w:tr2bl w:val="nil"/>
        </w:tcBorders>
      </w:tcPr>
    </w:tblStylePr>
  </w:style>
  <w:style w:type="table" w:customStyle="1" w:styleId="3091">
    <w:name w:val="网页型 21"/>
    <w:basedOn w:val="88"/>
    <w:autoRedefine/>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l2br w:val="nil"/>
          <w:tr2bl w:val="nil"/>
        </w:tcBorders>
      </w:tcPr>
    </w:tblStylePr>
  </w:style>
  <w:style w:type="table" w:customStyle="1" w:styleId="3092">
    <w:name w:val="网页型 31"/>
    <w:basedOn w:val="88"/>
    <w:autoRedefine/>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l2br w:val="nil"/>
          <w:tr2bl w:val="nil"/>
        </w:tcBorders>
      </w:tcPr>
    </w:tblStylePr>
  </w:style>
  <w:style w:type="table" w:customStyle="1" w:styleId="3093">
    <w:name w:val="专业型1"/>
    <w:basedOn w:val="88"/>
    <w:autoRedefine/>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l2br w:val="nil"/>
          <w:tr2bl w:val="nil"/>
        </w:tcBorders>
        <w:shd w:val="solid" w:color="000000" w:fill="FFFFFF"/>
      </w:tcPr>
    </w:tblStylePr>
  </w:style>
  <w:style w:type="table" w:customStyle="1" w:styleId="3094">
    <w:name w:val="表格样式13"/>
    <w:basedOn w:val="88"/>
    <w:autoRedefine/>
    <w:qFormat/>
    <w:uiPriority w:val="0"/>
    <w:tblPr>
      <w:tblCellMar>
        <w:top w:w="0" w:type="dxa"/>
        <w:left w:w="108" w:type="dxa"/>
        <w:bottom w:w="0" w:type="dxa"/>
        <w:right w:w="108" w:type="dxa"/>
      </w:tblCellMar>
    </w:tblPr>
  </w:style>
  <w:style w:type="table" w:customStyle="1" w:styleId="3095">
    <w:name w:val="表格样式-ls1"/>
    <w:basedOn w:val="88"/>
    <w:autoRedefine/>
    <w:qFormat/>
    <w:uiPriority w:val="0"/>
    <w:pPr>
      <w:widowControl w:val="0"/>
      <w:adjustRightInd w:val="0"/>
      <w:spacing w:line="360" w:lineRule="exact"/>
      <w:jc w:val="center"/>
      <w:textAlignment w:val="center"/>
    </w:pPr>
    <w:rPr>
      <w:szCs w:val="21"/>
    </w:rPr>
    <w:tblPr>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
    <w:trPr>
      <w:jc w:val="center"/>
    </w:trPr>
    <w:tcPr>
      <w:shd w:val="clear" w:color="auto" w:fill="auto"/>
      <w:tcMar>
        <w:left w:w="0" w:type="dxa"/>
        <w:right w:w="0" w:type="dxa"/>
      </w:tcMar>
      <w:vAlign w:val="center"/>
    </w:tcPr>
    <w:tblStylePr w:type="firstRow">
      <w:pPr>
        <w:jc w:val="center"/>
      </w:pPr>
      <w:rPr>
        <w:rFonts w:eastAsia="宋体"/>
        <w:b w:val="0"/>
        <w:bCs/>
        <w:color w:val="auto"/>
        <w:sz w:val="21"/>
      </w:rPr>
      <w:tcPr>
        <w:tcBorders>
          <w:tl2br w:val="nil"/>
          <w:tr2bl w:val="nil"/>
        </w:tcBorders>
        <w:shd w:val="pct20" w:color="000000" w:fill="FFFFFF"/>
      </w:tcPr>
    </w:tblStylePr>
  </w:style>
  <w:style w:type="table" w:customStyle="1" w:styleId="3096">
    <w:name w:val="自定义11"/>
    <w:basedOn w:val="124"/>
    <w:autoRedefine/>
    <w:qFormat/>
    <w:uiPriority w:val="0"/>
    <w:pPr>
      <w:jc w:val="center"/>
    </w:pPr>
    <w:rPr>
      <w:sz w:val="21"/>
      <w:szCs w:val="21"/>
    </w:rPr>
    <w:tblPr>
      <w:tblBorders>
        <w:top w:val="thinThickSmallGap" w:color="auto" w:sz="12" w:space="0"/>
        <w:left w:val="thinThickSmallGap" w:color="auto" w:sz="12" w:space="0"/>
        <w:bottom w:val="thickThinSmallGap" w:color="auto" w:sz="12" w:space="0"/>
        <w:right w:val="thickThinSmallGap" w:color="auto" w:sz="12" w:space="0"/>
      </w:tblBorders>
      <w:tblCellMar>
        <w:top w:w="0" w:type="dxa"/>
        <w:left w:w="0" w:type="dxa"/>
        <w:bottom w:w="0" w:type="dxa"/>
        <w:right w:w="0" w:type="dxa"/>
      </w:tblCellMar>
    </w:tblPr>
    <w:tcPr>
      <w:shd w:val="clear" w:color="auto" w:fill="auto"/>
      <w:vAlign w:val="center"/>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097">
    <w:name w:val="自定义2"/>
    <w:basedOn w:val="93"/>
    <w:autoRedefine/>
    <w:qFormat/>
    <w:uiPriority w:val="0"/>
    <w:pPr>
      <w:jc w:val="center"/>
    </w:pPr>
    <w:rPr>
      <w:sz w:val="21"/>
    </w:rPr>
    <w:tblPr>
      <w:tblBorders>
        <w:top w:val="thinThickSmallGap" w:color="auto" w:sz="12" w:space="0"/>
        <w:left w:val="thinThickSmallGap" w:color="auto" w:sz="12" w:space="0"/>
        <w:bottom w:val="thickThinSmallGap" w:color="auto" w:sz="12" w:space="0"/>
        <w:right w:val="thickThinSmallGap" w:color="auto" w:sz="12" w:space="0"/>
      </w:tblBorders>
      <w:tblCellMar>
        <w:top w:w="0" w:type="dxa"/>
        <w:left w:w="0" w:type="dxa"/>
        <w:bottom w:w="0" w:type="dxa"/>
        <w:right w:w="0" w:type="dxa"/>
      </w:tblCellMar>
    </w:tblPr>
    <w:tcPr>
      <w:shd w:val="clear" w:color="auto" w:fill="auto"/>
      <w:vAlign w:val="center"/>
    </w:tcPr>
    <w:tblStylePr w:type="firstRow">
      <w:rPr>
        <w:caps/>
        <w:color w:val="auto"/>
      </w:rPr>
      <w:tcPr>
        <w:tcBorders>
          <w:tl2br w:val="nil"/>
          <w:tr2bl w:val="nil"/>
        </w:tcBorders>
      </w:tcPr>
    </w:tblStylePr>
  </w:style>
  <w:style w:type="table" w:customStyle="1" w:styleId="3098">
    <w:name w:val="普通表格11"/>
    <w:autoRedefine/>
    <w:semiHidden/>
    <w:qFormat/>
    <w:uiPriority w:val="0"/>
    <w:rPr>
      <w:rFonts w:eastAsia="Times New Roman"/>
    </w:rPr>
    <w:tblPr>
      <w:tblCellMar>
        <w:top w:w="0" w:type="dxa"/>
        <w:left w:w="108" w:type="dxa"/>
        <w:bottom w:w="0" w:type="dxa"/>
        <w:right w:w="108" w:type="dxa"/>
      </w:tblCellMar>
    </w:tblPr>
  </w:style>
  <w:style w:type="table" w:customStyle="1" w:styleId="3099">
    <w:name w:val="Table Normal2"/>
    <w:autoRedefine/>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3100">
    <w:name w:val="AAA1"/>
    <w:basedOn w:val="89"/>
    <w:autoRedefine/>
    <w:qFormat/>
    <w:uiPriority w:val="0"/>
    <w:pPr>
      <w:widowControl w:val="0"/>
      <w:jc w:val="center"/>
    </w:pPr>
    <w:tblPr>
      <w:tblBorders>
        <w:top w:val="single" w:color="auto" w:sz="12" w:space="0"/>
        <w:bottom w:val="single" w:color="auto" w:sz="12" w:space="0"/>
      </w:tblBorders>
      <w:tblCellMar>
        <w:top w:w="0" w:type="dxa"/>
        <w:left w:w="108" w:type="dxa"/>
        <w:bottom w:w="0" w:type="dxa"/>
        <w:right w:w="108" w:type="dxa"/>
      </w:tblCellMar>
    </w:tblPr>
    <w:tcPr>
      <w:vAlign w:val="center"/>
    </w:tcPr>
  </w:style>
  <w:style w:type="table" w:customStyle="1" w:styleId="3101">
    <w:name w:val="Table Normal11"/>
    <w:autoRedefine/>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3102">
    <w:name w:val="专业网格13"/>
    <w:basedOn w:val="8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3">
    <w:name w:val="专业网格23"/>
    <w:basedOn w:val="88"/>
    <w:autoRedefine/>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4">
    <w:name w:val="cucd-table1"/>
    <w:basedOn w:val="88"/>
    <w:autoRedefine/>
    <w:qFormat/>
    <w:uiPriority w:val="0"/>
    <w:pPr>
      <w:jc w:val="center"/>
    </w:pPr>
    <w:tblP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
    <w:tcPr>
      <w:vAlign w:val="center"/>
    </w:tcPr>
    <w:tblStylePr w:type="firstRow">
      <w:rPr>
        <w:b/>
        <w:i w:val="0"/>
      </w:rPr>
      <w:tcPr>
        <w:tcBorders>
          <w:top w:val="thinThickSmallGap" w:color="auto" w:sz="12" w:space="0"/>
          <w:left w:val="thinThickSmallGap" w:color="auto" w:sz="12" w:space="0"/>
          <w:bottom w:val="single" w:color="auto" w:sz="4" w:space="0"/>
          <w:right w:val="thickThinSmallGap" w:color="auto" w:sz="12" w:space="0"/>
          <w:insideH w:val="single" w:sz="6" w:space="0"/>
          <w:insideV w:val="single" w:sz="6" w:space="0"/>
          <w:tl2br w:val="nil"/>
          <w:tr2bl w:val="nil"/>
        </w:tcBorders>
        <w:shd w:val="clear" w:color="auto" w:fill="D9D9D9"/>
      </w:tcPr>
    </w:tblStylePr>
  </w:style>
  <w:style w:type="table" w:customStyle="1" w:styleId="3105">
    <w:name w:val="专业网格33"/>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6">
    <w:name w:val="网格型 111"/>
    <w:basedOn w:val="8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107">
    <w:name w:val="网格型 514"/>
    <w:basedOn w:val="8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08">
    <w:name w:val="网格型14"/>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9">
    <w:name w:val="列表型 511"/>
    <w:basedOn w:val="88"/>
    <w:autoRedefine/>
    <w:qFormat/>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110">
    <w:name w:val="网格型22"/>
    <w:basedOn w:val="88"/>
    <w:autoRedefine/>
    <w:qFormat/>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1">
    <w:name w:val="网格型32"/>
    <w:basedOn w:val="88"/>
    <w:autoRedefine/>
    <w:qFormat/>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2">
    <w:name w:val="网格型42"/>
    <w:basedOn w:val="88"/>
    <w:autoRedefine/>
    <w:qFormat/>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3">
    <w:name w:val="网格型52"/>
    <w:basedOn w:val="88"/>
    <w:autoRedefine/>
    <w:qFormat/>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4">
    <w:name w:val="网格型 5111"/>
    <w:basedOn w:val="88"/>
    <w:autoRedefine/>
    <w:qFormat/>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15">
    <w:name w:val="网格型62"/>
    <w:basedOn w:val="88"/>
    <w:autoRedefine/>
    <w:qFormat/>
    <w:uiPriority w:val="0"/>
    <w:pPr>
      <w:widowControl w:val="0"/>
      <w:adjustRightInd w:val="0"/>
      <w:snapToGrid w:val="0"/>
      <w:spacing w:line="348"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6">
    <w:name w:val="网格型 713"/>
    <w:basedOn w:val="88"/>
    <w:autoRedefine/>
    <w:qFormat/>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17">
    <w:name w:val="网格型72"/>
    <w:basedOn w:val="88"/>
    <w:uiPriority w:val="0"/>
    <w:pPr>
      <w:widowControl w:val="0"/>
      <w:adjustRightInd w:val="0"/>
      <w:snapToGrid w:val="0"/>
      <w:spacing w:line="348" w:lineRule="auto"/>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8">
    <w:name w:val="网格型 522"/>
    <w:basedOn w:val="88"/>
    <w:autoRedefine/>
    <w:qFormat/>
    <w:uiPriority w:val="0"/>
    <w:pPr>
      <w:widowControl w:val="0"/>
      <w:adjustRightInd w:val="0"/>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19">
    <w:name w:val="专业网格111"/>
    <w:basedOn w:val="88"/>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20">
    <w:name w:val="表格样式111"/>
    <w:basedOn w:val="88"/>
    <w:autoRedefine/>
    <w:qFormat/>
    <w:uiPriority w:val="0"/>
    <w:pPr>
      <w:snapToGrid w:val="0"/>
      <w:jc w:val="center"/>
      <w:textAlignment w:val="center"/>
    </w:pPr>
    <w:rPr>
      <w:rFonts w:eastAsia="仿宋_GB2312"/>
      <w:snapToGrid w:val="0"/>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rPr>
      <w:jc w:val="center"/>
    </w:trPr>
    <w:tcPr>
      <w:vAlign w:val="center"/>
    </w:tcPr>
  </w:style>
  <w:style w:type="table" w:customStyle="1" w:styleId="3121">
    <w:name w:val="专业网格211"/>
    <w:basedOn w:val="88"/>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22">
    <w:name w:val="表格样式21"/>
    <w:basedOn w:val="88"/>
    <w:autoRedefine/>
    <w:qFormat/>
    <w:uiPriority w:val="0"/>
    <w:pPr>
      <w:snapToGrid w:val="0"/>
      <w:jc w:val="center"/>
      <w:textAlignment w:val="center"/>
    </w:pPr>
    <w:rPr>
      <w:rFonts w:eastAsia="仿宋_GB2312"/>
      <w:snapToGrid w:val="0"/>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rPr>
      <w:jc w:val="center"/>
    </w:trPr>
    <w:tcPr>
      <w:vAlign w:val="center"/>
    </w:tcPr>
  </w:style>
  <w:style w:type="table" w:customStyle="1" w:styleId="3123">
    <w:name w:val="专业网格311"/>
    <w:basedOn w:val="88"/>
    <w:autoRedefine/>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4">
    <w:name w:val="网格型 7111"/>
    <w:basedOn w:val="88"/>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25">
    <w:name w:val="专业网格41"/>
    <w:basedOn w:val="88"/>
    <w:autoRedefine/>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6">
    <w:name w:val="网格型 721"/>
    <w:basedOn w:val="88"/>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27">
    <w:name w:val="专业网格51"/>
    <w:basedOn w:val="88"/>
    <w:autoRedefine/>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8">
    <w:name w:val="网格型 731"/>
    <w:basedOn w:val="88"/>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29">
    <w:name w:val="网格型模版11"/>
    <w:basedOn w:val="88"/>
    <w:autoRedefine/>
    <w:semiHidden/>
    <w:qFormat/>
    <w:uiPriority w:val="0"/>
    <w:pPr>
      <w:widowControl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0">
    <w:name w:val="网格型81"/>
    <w:basedOn w:val="8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1">
    <w:name w:val="网格型91"/>
    <w:basedOn w:val="8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2">
    <w:name w:val="专业网格61"/>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3">
    <w:name w:val="网格型 121"/>
    <w:basedOn w:val="8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134">
    <w:name w:val="网格型 531"/>
    <w:basedOn w:val="8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35">
    <w:name w:val="列表型 521"/>
    <w:basedOn w:val="88"/>
    <w:autoRedefine/>
    <w:qFormat/>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136">
    <w:name w:val="网格型 5121"/>
    <w:basedOn w:val="88"/>
    <w:autoRedefine/>
    <w:qFormat/>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37">
    <w:name w:val="网格型 741"/>
    <w:basedOn w:val="88"/>
    <w:autoRedefine/>
    <w:qFormat/>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38">
    <w:name w:val="专业网格121"/>
    <w:basedOn w:val="88"/>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39">
    <w:name w:val="表格样式121"/>
    <w:basedOn w:val="88"/>
    <w:autoRedefine/>
    <w:qFormat/>
    <w:uiPriority w:val="0"/>
    <w:pPr>
      <w:snapToGrid w:val="0"/>
      <w:jc w:val="center"/>
      <w:textAlignment w:val="center"/>
    </w:pPr>
    <w:rPr>
      <w:rFonts w:eastAsia="仿宋_GB2312"/>
      <w:snapToGrid w:val="0"/>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rPr>
      <w:jc w:val="center"/>
    </w:trPr>
    <w:tcPr>
      <w:vAlign w:val="center"/>
    </w:tcPr>
  </w:style>
  <w:style w:type="table" w:customStyle="1" w:styleId="3140">
    <w:name w:val="专业网格221"/>
    <w:basedOn w:val="88"/>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41">
    <w:name w:val="专业网格321"/>
    <w:basedOn w:val="88"/>
    <w:autoRedefine/>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2">
    <w:name w:val="网格型 7121"/>
    <w:basedOn w:val="88"/>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43">
    <w:name w:val="网格型-无边竖线11"/>
    <w:basedOn w:val="8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4">
    <w:name w:val="网格型 131"/>
    <w:basedOn w:val="8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145">
    <w:name w:val="网格型 541"/>
    <w:basedOn w:val="8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46">
    <w:name w:val="列表型 531"/>
    <w:basedOn w:val="88"/>
    <w:qFormat/>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147">
    <w:name w:val="网格型211"/>
    <w:basedOn w:val="88"/>
    <w:autoRedefine/>
    <w:qFormat/>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8">
    <w:name w:val="网格型311"/>
    <w:basedOn w:val="88"/>
    <w:autoRedefine/>
    <w:qFormat/>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9">
    <w:name w:val="网格型411"/>
    <w:basedOn w:val="88"/>
    <w:autoRedefine/>
    <w:qFormat/>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0">
    <w:name w:val="网格型511"/>
    <w:basedOn w:val="88"/>
    <w:autoRedefine/>
    <w:qFormat/>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1">
    <w:name w:val="网格型 5131"/>
    <w:basedOn w:val="88"/>
    <w:autoRedefine/>
    <w:qFormat/>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52">
    <w:name w:val="网格型611"/>
    <w:basedOn w:val="88"/>
    <w:autoRedefine/>
    <w:qFormat/>
    <w:uiPriority w:val="0"/>
    <w:pPr>
      <w:widowControl w:val="0"/>
      <w:adjustRightInd w:val="0"/>
      <w:snapToGrid w:val="0"/>
      <w:spacing w:line="348"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3">
    <w:name w:val="网格型 751"/>
    <w:basedOn w:val="88"/>
    <w:autoRedefine/>
    <w:qFormat/>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54">
    <w:name w:val="网格型711"/>
    <w:basedOn w:val="88"/>
    <w:autoRedefine/>
    <w:qFormat/>
    <w:uiPriority w:val="0"/>
    <w:pPr>
      <w:widowControl w:val="0"/>
      <w:adjustRightInd w:val="0"/>
      <w:snapToGrid w:val="0"/>
      <w:spacing w:line="348" w:lineRule="auto"/>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5">
    <w:name w:val="网格型 5211"/>
    <w:basedOn w:val="88"/>
    <w:autoRedefine/>
    <w:qFormat/>
    <w:uiPriority w:val="0"/>
    <w:pPr>
      <w:widowControl w:val="0"/>
      <w:adjustRightInd w:val="0"/>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56">
    <w:name w:val="三线表11"/>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7">
    <w:name w:val="网格型121"/>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8">
    <w:name w:val="三线表21"/>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9">
    <w:name w:val="网格型131"/>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0">
    <w:name w:val="专业网格7"/>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1">
    <w:name w:val="网格型 15"/>
    <w:basedOn w:val="8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162">
    <w:name w:val="网格型 56"/>
    <w:basedOn w:val="8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paragraph" w:customStyle="1" w:styleId="3163">
    <w:name w:val="正文文本 24"/>
    <w:basedOn w:val="1"/>
    <w:autoRedefine/>
    <w:qFormat/>
    <w:uiPriority w:val="0"/>
    <w:pPr>
      <w:tabs>
        <w:tab w:val="left" w:pos="567"/>
      </w:tabs>
      <w:adjustRightInd w:val="0"/>
      <w:snapToGrid/>
      <w:spacing w:line="410" w:lineRule="atLeast"/>
      <w:ind w:firstLine="0" w:firstLineChars="0"/>
      <w:jc w:val="both"/>
      <w:textAlignment w:val="baseline"/>
    </w:pPr>
    <w:rPr>
      <w:rFonts w:ascii="宋体"/>
      <w:kern w:val="0"/>
      <w:szCs w:val="20"/>
    </w:rPr>
  </w:style>
  <w:style w:type="paragraph" w:customStyle="1" w:styleId="3164">
    <w:name w:val="纯文本6"/>
    <w:basedOn w:val="1"/>
    <w:autoRedefine/>
    <w:qFormat/>
    <w:uiPriority w:val="0"/>
    <w:pPr>
      <w:adjustRightInd w:val="0"/>
      <w:snapToGrid/>
      <w:spacing w:line="240" w:lineRule="auto"/>
      <w:ind w:firstLine="0" w:firstLineChars="0"/>
      <w:jc w:val="both"/>
      <w:textAlignment w:val="baseline"/>
    </w:pPr>
    <w:rPr>
      <w:rFonts w:ascii="宋体" w:hAnsi="Courier New"/>
      <w:sz w:val="21"/>
      <w:szCs w:val="20"/>
    </w:rPr>
  </w:style>
  <w:style w:type="character" w:customStyle="1" w:styleId="3165">
    <w:name w:val="标题13"/>
    <w:autoRedefine/>
    <w:qFormat/>
    <w:uiPriority w:val="0"/>
  </w:style>
  <w:style w:type="paragraph" w:customStyle="1" w:styleId="3166">
    <w:name w:val="正文首行缩进5"/>
    <w:basedOn w:val="34"/>
    <w:autoRedefine/>
    <w:qFormat/>
    <w:uiPriority w:val="0"/>
    <w:pPr>
      <w:widowControl w:val="0"/>
      <w:adjustRightInd w:val="0"/>
      <w:snapToGrid/>
      <w:spacing w:before="0" w:after="120" w:line="312" w:lineRule="auto"/>
      <w:ind w:right="0" w:firstLine="567" w:firstLineChars="0"/>
      <w:textAlignment w:val="baseline"/>
    </w:pPr>
    <w:rPr>
      <w:sz w:val="28"/>
    </w:rPr>
  </w:style>
  <w:style w:type="paragraph" w:customStyle="1" w:styleId="3167">
    <w:name w:val="正文文本缩进 25"/>
    <w:basedOn w:val="1"/>
    <w:autoRedefine/>
    <w:qFormat/>
    <w:uiPriority w:val="0"/>
    <w:pPr>
      <w:adjustRightInd w:val="0"/>
      <w:snapToGrid/>
      <w:spacing w:line="348" w:lineRule="auto"/>
      <w:ind w:firstLine="573" w:firstLineChars="0"/>
      <w:jc w:val="both"/>
      <w:textAlignment w:val="baseline"/>
    </w:pPr>
    <w:rPr>
      <w:rFonts w:eastAsia="Wingdings"/>
      <w:sz w:val="28"/>
      <w:szCs w:val="20"/>
    </w:rPr>
  </w:style>
  <w:style w:type="paragraph" w:customStyle="1" w:styleId="3168">
    <w:name w:val="文档结构图3"/>
    <w:basedOn w:val="1"/>
    <w:autoRedefine/>
    <w:qFormat/>
    <w:uiPriority w:val="0"/>
    <w:pPr>
      <w:shd w:val="clear" w:color="auto" w:fill="000080"/>
      <w:adjustRightInd w:val="0"/>
      <w:snapToGrid/>
      <w:spacing w:line="360" w:lineRule="atLeast"/>
      <w:ind w:firstLine="0" w:firstLineChars="0"/>
      <w:textAlignment w:val="baseline"/>
    </w:pPr>
    <w:rPr>
      <w:rFonts w:eastAsia="Wingdings"/>
      <w:kern w:val="0"/>
      <w:szCs w:val="20"/>
    </w:rPr>
  </w:style>
  <w:style w:type="table" w:customStyle="1" w:styleId="3169">
    <w:name w:val="列表型 55"/>
    <w:basedOn w:val="88"/>
    <w:autoRedefine/>
    <w:qFormat/>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170">
    <w:name w:val="网格型 515"/>
    <w:basedOn w:val="88"/>
    <w:autoRedefine/>
    <w:qFormat/>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71">
    <w:name w:val="网格型 77"/>
    <w:basedOn w:val="88"/>
    <w:autoRedefine/>
    <w:qFormat/>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paragraph" w:customStyle="1" w:styleId="3172">
    <w:name w:val="正文17"/>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table" w:customStyle="1" w:styleId="3173">
    <w:name w:val="专业网格14"/>
    <w:basedOn w:val="88"/>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74">
    <w:name w:val="表格样式14"/>
    <w:basedOn w:val="88"/>
    <w:autoRedefine/>
    <w:qFormat/>
    <w:uiPriority w:val="0"/>
    <w:pPr>
      <w:snapToGrid w:val="0"/>
      <w:jc w:val="center"/>
      <w:textAlignment w:val="center"/>
    </w:pPr>
    <w:rPr>
      <w:rFonts w:eastAsia="仿宋_GB2312"/>
      <w:snapToGrid w:val="0"/>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rPr>
      <w:jc w:val="center"/>
    </w:trPr>
    <w:tcPr>
      <w:vAlign w:val="center"/>
    </w:tcPr>
  </w:style>
  <w:style w:type="table" w:customStyle="1" w:styleId="3175">
    <w:name w:val="专业网格24"/>
    <w:basedOn w:val="88"/>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76">
    <w:name w:val="专业网格34"/>
    <w:basedOn w:val="88"/>
    <w:autoRedefine/>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7">
    <w:name w:val="网格型 714"/>
    <w:basedOn w:val="88"/>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paragraph" w:customStyle="1" w:styleId="3178">
    <w:name w:val="正文18"/>
    <w:basedOn w:val="1"/>
    <w:autoRedefine/>
    <w:qFormat/>
    <w:uiPriority w:val="0"/>
    <w:pPr>
      <w:adjustRightInd w:val="0"/>
      <w:snapToGrid/>
      <w:spacing w:line="315" w:lineRule="atLeast"/>
      <w:ind w:firstLine="0" w:firstLineChars="0"/>
      <w:textAlignment w:val="baseline"/>
    </w:pPr>
    <w:rPr>
      <w:rFonts w:ascii="宋体"/>
      <w:kern w:val="0"/>
      <w:szCs w:val="20"/>
    </w:rPr>
  </w:style>
  <w:style w:type="paragraph" w:customStyle="1" w:styleId="3179">
    <w:name w:val="正文文本缩进 33"/>
    <w:basedOn w:val="1"/>
    <w:autoRedefine/>
    <w:qFormat/>
    <w:uiPriority w:val="0"/>
    <w:pPr>
      <w:snapToGrid/>
      <w:spacing w:line="240" w:lineRule="auto"/>
      <w:ind w:left="420" w:leftChars="200" w:firstLine="0" w:firstLineChars="0"/>
      <w:jc w:val="both"/>
    </w:pPr>
    <w:rPr>
      <w:sz w:val="16"/>
      <w:szCs w:val="16"/>
    </w:rPr>
  </w:style>
  <w:style w:type="paragraph" w:customStyle="1" w:styleId="3180">
    <w:name w:val="无间隔3"/>
    <w:autoRedefine/>
    <w:qFormat/>
    <w:uiPriority w:val="0"/>
    <w:pPr>
      <w:widowControl w:val="0"/>
      <w:tabs>
        <w:tab w:val="left" w:pos="360"/>
      </w:tabs>
      <w:jc w:val="both"/>
    </w:pPr>
    <w:rPr>
      <w:rFonts w:ascii="宋体" w:hAnsi="宋体" w:eastAsia="宋体" w:cs="Times New Roman"/>
      <w:kern w:val="2"/>
      <w:sz w:val="32"/>
      <w:szCs w:val="32"/>
      <w:lang w:val="en-US" w:eastAsia="zh-CN" w:bidi="ar-SA"/>
    </w:rPr>
  </w:style>
  <w:style w:type="table" w:customStyle="1" w:styleId="3181">
    <w:name w:val="专业网格8"/>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82">
    <w:name w:val="网格型 16"/>
    <w:basedOn w:val="8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183">
    <w:name w:val="网格型 57"/>
    <w:basedOn w:val="8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84">
    <w:name w:val="列表型 56"/>
    <w:basedOn w:val="88"/>
    <w:autoRedefine/>
    <w:qFormat/>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185">
    <w:name w:val="网格型 516"/>
    <w:basedOn w:val="88"/>
    <w:autoRedefine/>
    <w:qFormat/>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186">
    <w:name w:val="网格型 78"/>
    <w:basedOn w:val="88"/>
    <w:autoRedefine/>
    <w:qFormat/>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187">
    <w:name w:val="网格型15"/>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88">
    <w:name w:val="Table Normal3"/>
    <w:autoRedefine/>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89">
    <w:name w:val="Table Normal4"/>
    <w:autoRedefine/>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3190">
    <w:name w:val="网格型16"/>
    <w:basedOn w:val="88"/>
    <w:qFormat/>
    <w:uiPriority w:val="0"/>
    <w:pPr>
      <w:widowControl w:val="0"/>
      <w:spacing w:line="48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91">
    <w:name w:val="&quot;表名&quot;"/>
    <w:autoRedefine/>
    <w:uiPriority w:val="0"/>
    <w:pPr>
      <w:spacing w:beforeLines="50"/>
      <w:jc w:val="center"/>
    </w:pPr>
    <w:rPr>
      <w:rFonts w:ascii="黑体" w:hAnsi="Calibri" w:eastAsia="黑体" w:cs="Times New Roman"/>
      <w:b/>
      <w:kern w:val="2"/>
      <w:sz w:val="21"/>
      <w:szCs w:val="21"/>
      <w:lang w:val="en-US" w:eastAsia="zh-CN" w:bidi="ar-SA"/>
    </w:rPr>
  </w:style>
  <w:style w:type="character" w:customStyle="1" w:styleId="3192">
    <w:name w:val="标题14"/>
    <w:qFormat/>
    <w:uiPriority w:val="0"/>
  </w:style>
  <w:style w:type="paragraph" w:customStyle="1" w:styleId="3193">
    <w:name w:val="正文文本 25"/>
    <w:basedOn w:val="1"/>
    <w:autoRedefine/>
    <w:uiPriority w:val="0"/>
    <w:pPr>
      <w:tabs>
        <w:tab w:val="left" w:pos="567"/>
      </w:tabs>
      <w:adjustRightInd w:val="0"/>
      <w:snapToGrid/>
      <w:spacing w:line="410" w:lineRule="atLeast"/>
      <w:ind w:firstLine="0" w:firstLineChars="0"/>
      <w:jc w:val="both"/>
      <w:textAlignment w:val="baseline"/>
    </w:pPr>
    <w:rPr>
      <w:rFonts w:ascii="宋体"/>
      <w:kern w:val="0"/>
      <w:szCs w:val="20"/>
    </w:rPr>
  </w:style>
  <w:style w:type="paragraph" w:customStyle="1" w:styleId="3194">
    <w:name w:val="日期7"/>
    <w:basedOn w:val="1"/>
    <w:next w:val="1"/>
    <w:autoRedefine/>
    <w:qFormat/>
    <w:uiPriority w:val="0"/>
    <w:pPr>
      <w:adjustRightInd w:val="0"/>
      <w:snapToGrid/>
      <w:spacing w:line="240" w:lineRule="auto"/>
      <w:ind w:firstLine="0" w:firstLineChars="0"/>
      <w:textAlignment w:val="baseline"/>
    </w:pPr>
    <w:rPr>
      <w:rFonts w:ascii="宋体"/>
      <w:spacing w:val="24"/>
      <w:kern w:val="24"/>
      <w:szCs w:val="20"/>
    </w:rPr>
  </w:style>
  <w:style w:type="paragraph" w:customStyle="1" w:styleId="3195">
    <w:name w:val="纯文本7"/>
    <w:basedOn w:val="1"/>
    <w:qFormat/>
    <w:uiPriority w:val="0"/>
    <w:pPr>
      <w:adjustRightInd w:val="0"/>
      <w:snapToGrid/>
      <w:spacing w:line="240" w:lineRule="auto"/>
      <w:ind w:firstLine="0" w:firstLineChars="0"/>
      <w:jc w:val="both"/>
      <w:textAlignment w:val="baseline"/>
    </w:pPr>
    <w:rPr>
      <w:rFonts w:ascii="宋体" w:hAnsi="Courier New"/>
      <w:sz w:val="21"/>
      <w:szCs w:val="20"/>
    </w:rPr>
  </w:style>
  <w:style w:type="paragraph" w:customStyle="1" w:styleId="3196">
    <w:name w:val="正文19"/>
    <w:autoRedefine/>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197">
    <w:name w:val="Char Char Char Char Char Char Char Char Char Char Char1 Char Char Char Char Char Char Char"/>
    <w:basedOn w:val="1"/>
    <w:autoRedefine/>
    <w:qFormat/>
    <w:uiPriority w:val="0"/>
    <w:pPr>
      <w:snapToGrid/>
      <w:spacing w:line="240" w:lineRule="auto"/>
      <w:ind w:firstLine="0" w:firstLineChars="0"/>
      <w:jc w:val="both"/>
    </w:pPr>
    <w:rPr>
      <w:sz w:val="21"/>
    </w:rPr>
  </w:style>
  <w:style w:type="paragraph" w:customStyle="1" w:styleId="3198">
    <w:name w:val="正文首行缩进6"/>
    <w:basedOn w:val="34"/>
    <w:qFormat/>
    <w:uiPriority w:val="0"/>
    <w:pPr>
      <w:widowControl w:val="0"/>
      <w:adjustRightInd w:val="0"/>
      <w:snapToGrid/>
      <w:spacing w:before="0" w:after="0" w:line="312" w:lineRule="auto"/>
      <w:ind w:right="0" w:firstLine="567" w:firstLineChars="0"/>
      <w:textAlignment w:val="baseline"/>
    </w:pPr>
    <w:rPr>
      <w:sz w:val="28"/>
    </w:rPr>
  </w:style>
  <w:style w:type="paragraph" w:customStyle="1" w:styleId="3199">
    <w:name w:val="文档结构图4"/>
    <w:basedOn w:val="1"/>
    <w:autoRedefine/>
    <w:uiPriority w:val="0"/>
    <w:pPr>
      <w:shd w:val="clear" w:color="auto" w:fill="000080"/>
      <w:adjustRightInd w:val="0"/>
      <w:snapToGrid/>
      <w:spacing w:line="360" w:lineRule="atLeast"/>
      <w:ind w:firstLine="0" w:firstLineChars="0"/>
      <w:textAlignment w:val="baseline"/>
    </w:pPr>
    <w:rPr>
      <w:rFonts w:eastAsia="Wingdings"/>
      <w:kern w:val="0"/>
      <w:szCs w:val="20"/>
    </w:rPr>
  </w:style>
  <w:style w:type="paragraph" w:customStyle="1" w:styleId="3200">
    <w:name w:val="正文20"/>
    <w:basedOn w:val="1"/>
    <w:autoRedefine/>
    <w:qFormat/>
    <w:uiPriority w:val="0"/>
    <w:pPr>
      <w:adjustRightInd w:val="0"/>
      <w:snapToGrid/>
      <w:spacing w:before="120" w:line="315" w:lineRule="atLeast"/>
      <w:ind w:firstLine="0" w:firstLineChars="0"/>
      <w:textAlignment w:val="baseline"/>
    </w:pPr>
    <w:rPr>
      <w:rFonts w:ascii="宋体" w:hAnsi="Calibri"/>
      <w:szCs w:val="22"/>
    </w:rPr>
  </w:style>
  <w:style w:type="paragraph" w:customStyle="1" w:styleId="3201">
    <w:name w:val="Char Char Char Char Char Char6"/>
    <w:basedOn w:val="1"/>
    <w:qFormat/>
    <w:uiPriority w:val="0"/>
    <w:pPr>
      <w:snapToGrid/>
      <w:spacing w:line="240" w:lineRule="auto"/>
      <w:ind w:firstLine="0" w:firstLineChars="0"/>
      <w:jc w:val="both"/>
    </w:pPr>
    <w:rPr>
      <w:sz w:val="21"/>
    </w:rPr>
  </w:style>
  <w:style w:type="table" w:customStyle="1" w:styleId="3202">
    <w:name w:val="网格型 58"/>
    <w:basedOn w:val="88"/>
    <w:autoRedefine/>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203">
    <w:name w:val="网格型17"/>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4">
    <w:name w:val="网格型 17"/>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205">
    <w:name w:val="列表型 57"/>
    <w:basedOn w:val="88"/>
    <w:autoRedefine/>
    <w:uiPriority w:val="0"/>
    <w:pPr>
      <w:widowControl w:val="0"/>
      <w:adjustRightInd w:val="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3206">
    <w:name w:val="网格型 79"/>
    <w:basedOn w:val="88"/>
    <w:autoRedefine/>
    <w:qFormat/>
    <w:uiPriority w:val="0"/>
    <w:pPr>
      <w:widowControl w:val="0"/>
      <w:snapToGrid w:val="0"/>
      <w:spacing w:line="34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207">
    <w:name w:val="网格型18"/>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8">
    <w:name w:val="网格型23"/>
    <w:basedOn w:val="88"/>
    <w:autoRedefine/>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9">
    <w:name w:val="网格型 517"/>
    <w:basedOn w:val="88"/>
    <w:autoRedefine/>
    <w:qFormat/>
    <w:uiPriority w:val="0"/>
    <w:pPr>
      <w:widowControl w:val="0"/>
      <w:adjustRightInd w:val="0"/>
      <w:snapToGrid w:val="0"/>
      <w:spacing w:line="34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210">
    <w:name w:val="网格型 523"/>
    <w:basedOn w:val="88"/>
    <w:qFormat/>
    <w:uiPriority w:val="0"/>
    <w:pPr>
      <w:widowControl w:val="0"/>
      <w:adjustRightInd w:val="0"/>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character" w:customStyle="1" w:styleId="3211">
    <w:name w:val="样式3 Char2"/>
    <w:autoRedefine/>
    <w:qFormat/>
    <w:uiPriority w:val="0"/>
    <w:rPr>
      <w:rFonts w:eastAsia="宋体"/>
      <w:sz w:val="24"/>
      <w:szCs w:val="28"/>
    </w:rPr>
  </w:style>
  <w:style w:type="table" w:customStyle="1" w:styleId="3212">
    <w:name w:val="lily 表格1"/>
    <w:basedOn w:val="88"/>
    <w:qFormat/>
    <w:uiPriority w:val="0"/>
    <w:pPr>
      <w:spacing w:line="360" w:lineRule="exact"/>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3">
    <w:name w:val="表格主题2"/>
    <w:basedOn w:val="88"/>
    <w:autoRedefine/>
    <w:uiPriority w:val="0"/>
    <w:pPr>
      <w:widowControl w:val="0"/>
      <w:spacing w:line="360" w:lineRule="exact"/>
      <w:jc w:val="both"/>
    </w:pPr>
    <w:tblP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
  </w:style>
  <w:style w:type="table" w:customStyle="1" w:styleId="3214">
    <w:name w:val="彩色型 22"/>
    <w:basedOn w:val="88"/>
    <w:semiHidden/>
    <w:qFormat/>
    <w:uiPriority w:val="0"/>
    <w:pPr>
      <w:widowControl w:val="0"/>
      <w:spacing w:line="360" w:lineRule="exact"/>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3215">
    <w:name w:val="彩色型 32"/>
    <w:basedOn w:val="88"/>
    <w:semiHidden/>
    <w:qFormat/>
    <w:uiPriority w:val="0"/>
    <w:pPr>
      <w:widowControl w:val="0"/>
      <w:spacing w:line="360" w:lineRule="exact"/>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3216">
    <w:name w:val="典雅型2"/>
    <w:basedOn w:val="88"/>
    <w:autoRedefine/>
    <w:uiPriority w:val="0"/>
    <w:pPr>
      <w:widowControl w:val="0"/>
      <w:spacing w:line="36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l2br w:val="nil"/>
          <w:tr2bl w:val="nil"/>
        </w:tcBorders>
      </w:tcPr>
    </w:tblStylePr>
  </w:style>
  <w:style w:type="table" w:customStyle="1" w:styleId="3217">
    <w:name w:val="古典型 12"/>
    <w:basedOn w:val="88"/>
    <w:autoRedefine/>
    <w:semiHidden/>
    <w:qFormat/>
    <w:uiPriority w:val="0"/>
    <w:pPr>
      <w:widowControl w:val="0"/>
      <w:spacing w:line="360" w:lineRule="exact"/>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3218">
    <w:name w:val="古典型 22"/>
    <w:basedOn w:val="88"/>
    <w:semiHidden/>
    <w:qFormat/>
    <w:uiPriority w:val="0"/>
    <w:pPr>
      <w:widowControl w:val="0"/>
      <w:spacing w:line="360" w:lineRule="exact"/>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3219">
    <w:name w:val="古典型 32"/>
    <w:basedOn w:val="88"/>
    <w:autoRedefine/>
    <w:semiHidden/>
    <w:uiPriority w:val="0"/>
    <w:pPr>
      <w:widowControl w:val="0"/>
      <w:spacing w:line="360" w:lineRule="exact"/>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3220">
    <w:name w:val="古典型 42"/>
    <w:basedOn w:val="88"/>
    <w:autoRedefine/>
    <w:semiHidden/>
    <w:qFormat/>
    <w:uiPriority w:val="0"/>
    <w:pPr>
      <w:widowControl w:val="0"/>
      <w:spacing w:line="360" w:lineRule="exact"/>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3221">
    <w:name w:val="简明型 12"/>
    <w:basedOn w:val="88"/>
    <w:qFormat/>
    <w:uiPriority w:val="0"/>
    <w:pPr>
      <w:widowControl w:val="0"/>
      <w:adjustRightInd w:val="0"/>
      <w:spacing w:line="360" w:lineRule="exact"/>
      <w:textAlignment w:val="baseline"/>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222">
    <w:name w:val="简明型 22"/>
    <w:basedOn w:val="88"/>
    <w:autoRedefine/>
    <w:semiHidden/>
    <w:uiPriority w:val="0"/>
    <w:pPr>
      <w:widowControl w:val="0"/>
      <w:spacing w:line="360" w:lineRule="exact"/>
      <w:jc w:val="both"/>
    </w:pPr>
    <w:tblPr>
      <w:tblCellMar>
        <w:top w:w="0" w:type="dxa"/>
        <w:left w:w="108" w:type="dxa"/>
        <w:bottom w:w="0" w:type="dxa"/>
        <w:right w:w="108" w:type="dxa"/>
      </w:tblCellMar>
    </w:tbl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3223">
    <w:name w:val="简明型 32"/>
    <w:basedOn w:val="88"/>
    <w:autoRedefine/>
    <w:semiHidden/>
    <w:qFormat/>
    <w:uiPriority w:val="0"/>
    <w:pPr>
      <w:widowControl w:val="0"/>
      <w:spacing w:line="360" w:lineRule="exact"/>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3224">
    <w:name w:val="精巧型 12"/>
    <w:basedOn w:val="88"/>
    <w:semiHidden/>
    <w:qFormat/>
    <w:uiPriority w:val="0"/>
    <w:pPr>
      <w:widowControl w:val="0"/>
      <w:spacing w:line="360" w:lineRule="exact"/>
      <w:jc w:val="both"/>
    </w:pPr>
    <w:tblPr>
      <w:tblCellMar>
        <w:top w:w="0" w:type="dxa"/>
        <w:left w:w="108" w:type="dxa"/>
        <w:bottom w:w="0" w:type="dxa"/>
        <w:right w:w="108" w:type="dxa"/>
      </w:tblCellMar>
    </w:tbl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225">
    <w:name w:val="精巧型 22"/>
    <w:basedOn w:val="88"/>
    <w:autoRedefine/>
    <w:semiHidden/>
    <w:uiPriority w:val="0"/>
    <w:pPr>
      <w:widowControl w:val="0"/>
      <w:spacing w:line="360" w:lineRule="exact"/>
      <w:jc w:val="both"/>
    </w:pPr>
    <w:tblPr>
      <w:tblBorders>
        <w:left w:val="single" w:color="000000" w:sz="6" w:space="0"/>
        <w:right w:val="single" w:color="000000" w:sz="6" w:space="0"/>
      </w:tblBorders>
      <w:tblCellMar>
        <w:top w:w="0" w:type="dxa"/>
        <w:left w:w="108" w:type="dxa"/>
        <w:bottom w:w="0" w:type="dxa"/>
        <w:right w:w="108" w:type="dxa"/>
      </w:tblCellMar>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226">
    <w:name w:val="立体型 12"/>
    <w:basedOn w:val="88"/>
    <w:autoRedefine/>
    <w:semiHidden/>
    <w:qFormat/>
    <w:uiPriority w:val="0"/>
    <w:pPr>
      <w:widowControl w:val="0"/>
      <w:spacing w:line="360" w:lineRule="exact"/>
      <w:jc w:val="both"/>
    </w:p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character" w:customStyle="1" w:styleId="3227">
    <w:name w:val="编辑正文 Char Char"/>
    <w:link w:val="3228"/>
    <w:qFormat/>
    <w:uiPriority w:val="0"/>
    <w:rPr>
      <w:rFonts w:hAnsi="宋体"/>
      <w:sz w:val="26"/>
      <w:szCs w:val="26"/>
    </w:rPr>
  </w:style>
  <w:style w:type="paragraph" w:customStyle="1" w:styleId="3228">
    <w:name w:val="编辑正文"/>
    <w:basedOn w:val="1"/>
    <w:link w:val="3227"/>
    <w:autoRedefine/>
    <w:qFormat/>
    <w:uiPriority w:val="0"/>
    <w:pPr>
      <w:snapToGrid/>
      <w:spacing w:line="480" w:lineRule="exact"/>
      <w:ind w:firstLine="520"/>
      <w:jc w:val="both"/>
    </w:pPr>
    <w:rPr>
      <w:rFonts w:hAnsi="宋体"/>
      <w:kern w:val="0"/>
      <w:sz w:val="26"/>
      <w:szCs w:val="26"/>
    </w:rPr>
  </w:style>
  <w:style w:type="paragraph" w:customStyle="1" w:styleId="3229">
    <w:name w:val="h正文"/>
    <w:basedOn w:val="1"/>
    <w:autoRedefine/>
    <w:qFormat/>
    <w:uiPriority w:val="0"/>
    <w:pPr>
      <w:snapToGrid/>
      <w:ind w:firstLine="200"/>
      <w:jc w:val="both"/>
    </w:pPr>
  </w:style>
  <w:style w:type="paragraph" w:customStyle="1" w:styleId="3230">
    <w:name w:val="h表名及图名"/>
    <w:basedOn w:val="1"/>
    <w:link w:val="3231"/>
    <w:qFormat/>
    <w:uiPriority w:val="0"/>
    <w:pPr>
      <w:snapToGrid/>
      <w:spacing w:line="460" w:lineRule="exact"/>
      <w:ind w:firstLine="0" w:firstLineChars="0"/>
      <w:jc w:val="center"/>
      <w:outlineLvl w:val="4"/>
    </w:pPr>
    <w:rPr>
      <w:rFonts w:eastAsia="黑体"/>
      <w:color w:val="000000"/>
      <w:sz w:val="21"/>
      <w:szCs w:val="20"/>
    </w:rPr>
  </w:style>
  <w:style w:type="character" w:customStyle="1" w:styleId="3231">
    <w:name w:val="h表名及图名 Char"/>
    <w:link w:val="3230"/>
    <w:autoRedefine/>
    <w:qFormat/>
    <w:uiPriority w:val="0"/>
    <w:rPr>
      <w:rFonts w:eastAsia="黑体"/>
      <w:color w:val="000000"/>
      <w:kern w:val="2"/>
      <w:sz w:val="21"/>
    </w:rPr>
  </w:style>
  <w:style w:type="paragraph" w:customStyle="1" w:styleId="3232">
    <w:name w:val="h表格文字小"/>
    <w:basedOn w:val="1"/>
    <w:autoRedefine/>
    <w:qFormat/>
    <w:uiPriority w:val="0"/>
    <w:pPr>
      <w:widowControl/>
      <w:adjustRightInd w:val="0"/>
      <w:spacing w:line="240" w:lineRule="auto"/>
      <w:ind w:firstLine="0" w:firstLineChars="0"/>
      <w:jc w:val="center"/>
    </w:pPr>
    <w:rPr>
      <w:rFonts w:eastAsia="Times New Roman" w:cstheme="minorBidi"/>
      <w:sz w:val="18"/>
      <w:szCs w:val="18"/>
    </w:rPr>
  </w:style>
  <w:style w:type="paragraph" w:customStyle="1" w:styleId="3233">
    <w:name w:val="h标题1"/>
    <w:basedOn w:val="3"/>
    <w:next w:val="3229"/>
    <w:qFormat/>
    <w:uiPriority w:val="0"/>
    <w:pPr>
      <w:keepNext/>
      <w:keepLines/>
      <w:numPr>
        <w:numId w:val="0"/>
      </w:numPr>
      <w:overflowPunct/>
      <w:snapToGrid/>
      <w:spacing w:before="200" w:after="200" w:line="360" w:lineRule="auto"/>
      <w:ind w:left="425" w:hanging="425"/>
    </w:pPr>
    <w:rPr>
      <w:snapToGrid/>
      <w:color w:val="auto"/>
      <w:sz w:val="36"/>
      <w:szCs w:val="44"/>
    </w:rPr>
  </w:style>
  <w:style w:type="paragraph" w:customStyle="1" w:styleId="3234">
    <w:name w:val="h标题1.1.1"/>
    <w:basedOn w:val="5"/>
    <w:next w:val="3229"/>
    <w:autoRedefine/>
    <w:qFormat/>
    <w:uiPriority w:val="0"/>
    <w:pPr>
      <w:keepNext/>
      <w:keepLines/>
      <w:numPr>
        <w:ilvl w:val="0"/>
        <w:numId w:val="0"/>
      </w:numPr>
      <w:adjustRightInd w:val="0"/>
      <w:spacing w:before="0" w:beforeLines="0" w:after="0" w:afterLines="0"/>
    </w:pPr>
    <w:rPr>
      <w:rFonts w:eastAsia="黑体"/>
      <w:b w:val="0"/>
    </w:rPr>
  </w:style>
  <w:style w:type="paragraph" w:customStyle="1" w:styleId="3235">
    <w:name w:val="h标题1.1.1.1"/>
    <w:basedOn w:val="6"/>
    <w:next w:val="3229"/>
    <w:autoRedefine/>
    <w:qFormat/>
    <w:uiPriority w:val="0"/>
    <w:pPr>
      <w:keepNext/>
      <w:keepLines/>
      <w:numPr>
        <w:ilvl w:val="0"/>
        <w:numId w:val="0"/>
      </w:numPr>
      <w:snapToGrid/>
      <w:spacing w:before="0" w:beforeLines="0" w:after="0" w:afterLines="0"/>
      <w:ind w:firstLine="480" w:firstLineChars="200"/>
    </w:pPr>
    <w:rPr>
      <w:rFonts w:eastAsiaTheme="minorEastAsia"/>
      <w:b w:val="0"/>
      <w:szCs w:val="28"/>
    </w:rPr>
  </w:style>
  <w:style w:type="paragraph" w:customStyle="1" w:styleId="3236">
    <w:name w:val="h表格注释及表后空"/>
    <w:basedOn w:val="1"/>
    <w:next w:val="3229"/>
    <w:qFormat/>
    <w:uiPriority w:val="0"/>
    <w:pPr>
      <w:snapToGrid/>
      <w:spacing w:line="240" w:lineRule="auto"/>
      <w:ind w:firstLine="0" w:firstLineChars="0"/>
      <w:jc w:val="both"/>
    </w:pPr>
    <w:rPr>
      <w:sz w:val="21"/>
    </w:rPr>
  </w:style>
  <w:style w:type="character" w:customStyle="1" w:styleId="3237">
    <w:name w:val="h表格文字 Char"/>
    <w:link w:val="3238"/>
    <w:autoRedefine/>
    <w:qFormat/>
    <w:uiPriority w:val="0"/>
  </w:style>
  <w:style w:type="paragraph" w:customStyle="1" w:styleId="3238">
    <w:name w:val="h表格文字"/>
    <w:link w:val="3237"/>
    <w:autoRedefine/>
    <w:qFormat/>
    <w:uiPriority w:val="0"/>
    <w:pPr>
      <w:adjustRightInd w:val="0"/>
      <w:snapToGrid w:val="0"/>
      <w:jc w:val="center"/>
    </w:pPr>
    <w:rPr>
      <w:rFonts w:ascii="Times New Roman" w:hAnsi="Times New Roman" w:eastAsia="宋体" w:cs="Times New Roman"/>
      <w:lang w:val="en-US" w:eastAsia="zh-CN" w:bidi="ar-SA"/>
    </w:rPr>
  </w:style>
  <w:style w:type="paragraph" w:customStyle="1" w:styleId="3239">
    <w:name w:val="h表名"/>
    <w:basedOn w:val="1"/>
    <w:link w:val="3240"/>
    <w:qFormat/>
    <w:uiPriority w:val="0"/>
    <w:pPr>
      <w:snapToGrid/>
      <w:spacing w:line="460" w:lineRule="exact"/>
      <w:ind w:firstLine="0" w:firstLineChars="0"/>
      <w:jc w:val="center"/>
      <w:outlineLvl w:val="4"/>
    </w:pPr>
    <w:rPr>
      <w:rFonts w:eastAsia="黑体"/>
      <w:color w:val="000000"/>
      <w:sz w:val="21"/>
      <w:szCs w:val="20"/>
    </w:rPr>
  </w:style>
  <w:style w:type="character" w:customStyle="1" w:styleId="3240">
    <w:name w:val="h表名 Char"/>
    <w:link w:val="3239"/>
    <w:autoRedefine/>
    <w:qFormat/>
    <w:uiPriority w:val="0"/>
    <w:rPr>
      <w:rFonts w:eastAsia="黑体"/>
      <w:color w:val="000000"/>
      <w:kern w:val="2"/>
      <w:sz w:val="21"/>
    </w:rPr>
  </w:style>
  <w:style w:type="paragraph" w:customStyle="1" w:styleId="3241">
    <w:name w:val="样式 小四 行距: 1.5 倍行距 首行缩进:  1.96 字符"/>
    <w:basedOn w:val="1"/>
    <w:autoRedefine/>
    <w:qFormat/>
    <w:uiPriority w:val="0"/>
    <w:pPr>
      <w:snapToGrid/>
      <w:ind w:firstLine="196" w:firstLineChars="196"/>
      <w:jc w:val="both"/>
    </w:pPr>
    <w:rPr>
      <w:rFonts w:cs="宋体"/>
      <w:szCs w:val="20"/>
    </w:rPr>
  </w:style>
  <w:style w:type="character" w:customStyle="1" w:styleId="3242">
    <w:name w:val="表格文字 字符"/>
    <w:qFormat/>
    <w:uiPriority w:val="0"/>
    <w:rPr>
      <w:rFonts w:ascii="Times New Roman" w:hAnsi="Times New Roman"/>
    </w:rPr>
  </w:style>
  <w:style w:type="character" w:customStyle="1" w:styleId="3243">
    <w:name w:val="页脚 Char2"/>
    <w:autoRedefine/>
    <w:qFormat/>
    <w:uiPriority w:val="99"/>
    <w:rPr>
      <w:kern w:val="2"/>
      <w:sz w:val="18"/>
      <w:szCs w:val="18"/>
    </w:rPr>
  </w:style>
  <w:style w:type="paragraph" w:customStyle="1" w:styleId="3244">
    <w:name w:val="表内容-L"/>
    <w:basedOn w:val="1"/>
    <w:link w:val="3245"/>
    <w:autoRedefine/>
    <w:qFormat/>
    <w:uiPriority w:val="0"/>
    <w:pPr>
      <w:adjustRightInd w:val="0"/>
      <w:spacing w:line="240" w:lineRule="auto"/>
      <w:ind w:firstLine="0" w:firstLineChars="0"/>
      <w:jc w:val="center"/>
    </w:pPr>
    <w:rPr>
      <w:kern w:val="0"/>
      <w:sz w:val="21"/>
      <w:szCs w:val="20"/>
    </w:rPr>
  </w:style>
  <w:style w:type="character" w:customStyle="1" w:styleId="3245">
    <w:name w:val="表内容-L 字符"/>
    <w:basedOn w:val="132"/>
    <w:link w:val="3244"/>
    <w:qFormat/>
    <w:uiPriority w:val="0"/>
    <w:rPr>
      <w:sz w:val="21"/>
    </w:rPr>
  </w:style>
  <w:style w:type="paragraph" w:customStyle="1" w:styleId="3246">
    <w:name w:val="样式 小四 左 首行缩进:  2 字符 行距: 1.5 倍行距"/>
    <w:basedOn w:val="1"/>
    <w:autoRedefine/>
    <w:uiPriority w:val="0"/>
    <w:pPr>
      <w:snapToGrid/>
      <w:ind w:firstLine="0" w:firstLineChars="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jpe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5C670-D495-4999-B9EC-3FF4EBA404C9}">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78</Pages>
  <Words>8944</Words>
  <Characters>50984</Characters>
  <Lines>424</Lines>
  <Paragraphs>119</Paragraphs>
  <TotalTime>4491</TotalTime>
  <ScaleCrop>false</ScaleCrop>
  <LinksUpToDate>false</LinksUpToDate>
  <CharactersWithSpaces>59809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2021-08-20T09:19:00Z</dcterms:created>
  <dc:creator>lhj</dc:creator>
  <cp:lastModifiedBy>╰つ花雨黯 岚风殇 红颜殆</cp:lastModifiedBy>
  <cp:lastPrinted>2023-12-08T02:13:00Z</cp:lastPrinted>
  <dcterms:modified xsi:type="dcterms:W3CDTF">2023-12-28T07:19:01Z</dcterms:modified>
  <dc:title>附件2</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00B8B826733845D3BA8919230EF86676_12</vt:lpwstr>
  </property>
</Properties>
</file>