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720" w:firstLineChars="2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重庆集健再生资源有限责任公司报废机动车回收拆解再利用项目</w:t>
      </w:r>
    </w:p>
    <w:p>
      <w:pPr>
        <w:adjustRightInd w:val="0"/>
        <w:snapToGrid w:val="0"/>
        <w:spacing w:line="288" w:lineRule="auto"/>
        <w:ind w:firstLine="720" w:firstLineChars="200"/>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重庆集健再生资源回收有限责任公司</w:t>
      </w:r>
    </w:p>
    <w:p>
      <w:pPr>
        <w:adjustRightInd w:val="0"/>
        <w:snapToGrid w:val="0"/>
        <w:spacing w:line="288" w:lineRule="auto"/>
        <w:ind w:firstLine="720" w:firstLineChars="2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202</w:t>
      </w:r>
      <w:r>
        <w:rPr>
          <w:rFonts w:ascii="仿宋_GB2312" w:eastAsia="仿宋_GB2312"/>
          <w:sz w:val="36"/>
          <w:szCs w:val="36"/>
          <w:u w:val="single"/>
        </w:rPr>
        <w:t>3</w:t>
      </w:r>
      <w:r>
        <w:rPr>
          <w:rFonts w:hint="eastAsia" w:ascii="仿宋_GB2312" w:eastAsia="仿宋_GB2312"/>
          <w:sz w:val="36"/>
          <w:szCs w:val="36"/>
          <w:u w:val="single"/>
        </w:rPr>
        <w:t>年1月</w:t>
      </w:r>
    </w:p>
    <w:p>
      <w:pPr>
        <w:adjustRightInd w:val="0"/>
        <w:snapToGrid w:val="0"/>
        <w:spacing w:line="288" w:lineRule="auto"/>
        <w:ind w:firstLine="1040"/>
        <w:rPr>
          <w:rFonts w:ascii="仿宋_GB2312" w:eastAsia="仿宋_GB2312"/>
          <w:sz w:val="36"/>
          <w:szCs w:val="36"/>
          <w:u w:val="single"/>
        </w:rPr>
      </w:pPr>
      <w:bookmarkStart w:id="0" w:name="_Hlk57884087"/>
    </w:p>
    <w:bookmarkEnd w:id="0"/>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p>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4"/>
        <w:gridCol w:w="2305"/>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7156" w:type="dxa"/>
            <w:gridSpan w:val="3"/>
            <w:vAlign w:val="center"/>
          </w:tcPr>
          <w:p>
            <w:pPr>
              <w:adjustRightInd w:val="0"/>
              <w:snapToGrid w:val="0"/>
              <w:jc w:val="center"/>
              <w:rPr>
                <w:szCs w:val="21"/>
              </w:rPr>
            </w:pPr>
            <w:r>
              <w:rPr>
                <w:rFonts w:hint="eastAsia"/>
                <w:szCs w:val="21"/>
              </w:rPr>
              <w:t>重庆集健再生资源有限责任公司报废机动车回收拆解再利用项目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项目代码</w:t>
            </w:r>
          </w:p>
        </w:tc>
        <w:tc>
          <w:tcPr>
            <w:tcW w:w="7156" w:type="dxa"/>
            <w:gridSpan w:val="3"/>
            <w:vAlign w:val="center"/>
          </w:tcPr>
          <w:p>
            <w:pPr>
              <w:adjustRightInd w:val="0"/>
              <w:snapToGrid w:val="0"/>
              <w:jc w:val="center"/>
              <w:rPr>
                <w:szCs w:val="21"/>
              </w:rPr>
            </w:pPr>
            <w:r>
              <w:rPr>
                <w:rFonts w:hint="eastAsia"/>
                <w:szCs w:val="21"/>
              </w:rPr>
              <w:t>2207-500111-04-01-779242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建设单位联系人</w:t>
            </w:r>
          </w:p>
        </w:tc>
        <w:tc>
          <w:tcPr>
            <w:tcW w:w="2305" w:type="dxa"/>
            <w:vAlign w:val="center"/>
          </w:tcPr>
          <w:p>
            <w:pPr>
              <w:adjustRightInd w:val="0"/>
              <w:snapToGrid w:val="0"/>
              <w:jc w:val="center"/>
              <w:rPr>
                <w:rFonts w:hint="eastAsia" w:eastAsia="宋体"/>
                <w:szCs w:val="21"/>
                <w:lang w:val="en-US" w:eastAsia="zh-CN"/>
              </w:rPr>
            </w:pPr>
            <w:r>
              <w:rPr>
                <w:rFonts w:hint="eastAsia"/>
                <w:szCs w:val="21"/>
              </w:rPr>
              <w:t>王</w:t>
            </w:r>
            <w:r>
              <w:rPr>
                <w:rFonts w:hint="eastAsia"/>
                <w:szCs w:val="21"/>
                <w:lang w:val="en-US" w:eastAsia="zh-CN"/>
              </w:rPr>
              <w:t>先生</w:t>
            </w:r>
          </w:p>
        </w:tc>
        <w:tc>
          <w:tcPr>
            <w:tcW w:w="2212" w:type="dxa"/>
            <w:vAlign w:val="center"/>
          </w:tcPr>
          <w:p>
            <w:pPr>
              <w:adjustRightInd w:val="0"/>
              <w:snapToGrid w:val="0"/>
              <w:jc w:val="center"/>
              <w:rPr>
                <w:szCs w:val="21"/>
              </w:rPr>
            </w:pPr>
            <w:r>
              <w:rPr>
                <w:szCs w:val="21"/>
              </w:rPr>
              <w:t>联系方式</w:t>
            </w:r>
          </w:p>
        </w:tc>
        <w:tc>
          <w:tcPr>
            <w:tcW w:w="2639" w:type="dxa"/>
            <w:vAlign w:val="center"/>
          </w:tcPr>
          <w:p>
            <w:pPr>
              <w:adjustRightInd w:val="0"/>
              <w:snapToGrid w:val="0"/>
              <w:jc w:val="center"/>
              <w:rPr>
                <w:szCs w:val="21"/>
              </w:rPr>
            </w:pPr>
            <w:r>
              <w:rPr>
                <w:rFonts w:hint="eastAsia"/>
                <w:szCs w:val="21"/>
              </w:rPr>
              <w:t>188</w:t>
            </w:r>
            <w:r>
              <w:rPr>
                <w:rFonts w:hint="eastAsia"/>
                <w:szCs w:val="21"/>
                <w:lang w:val="en-US" w:eastAsia="zh-CN"/>
              </w:rPr>
              <w:t>****</w:t>
            </w:r>
            <w:r>
              <w:rPr>
                <w:rFonts w:hint="eastAsia"/>
                <w:szCs w:val="21"/>
              </w:rPr>
              <w:t>9878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建设地点</w:t>
            </w:r>
          </w:p>
        </w:tc>
        <w:tc>
          <w:tcPr>
            <w:tcW w:w="7156" w:type="dxa"/>
            <w:gridSpan w:val="3"/>
            <w:vAlign w:val="center"/>
          </w:tcPr>
          <w:p>
            <w:pPr>
              <w:adjustRightInd w:val="0"/>
              <w:snapToGrid w:val="0"/>
              <w:jc w:val="center"/>
              <w:rPr>
                <w:szCs w:val="21"/>
                <w:u w:val="single"/>
              </w:rPr>
            </w:pPr>
            <w:r>
              <w:rPr>
                <w:rFonts w:hint="eastAsia" w:ascii="宋体" w:hAnsi="宋体" w:cs="宋体"/>
                <w:szCs w:val="21"/>
                <w:u w:val="single"/>
              </w:rPr>
              <w:t>/</w:t>
            </w:r>
            <w:r>
              <w:rPr>
                <w:rFonts w:hint="eastAsia" w:ascii="宋体" w:hAnsi="宋体" w:cs="宋体"/>
                <w:szCs w:val="21"/>
              </w:rPr>
              <w:t>省（自治区</w:t>
            </w:r>
            <w:r>
              <w:rPr>
                <w:szCs w:val="21"/>
              </w:rPr>
              <w:t>）</w:t>
            </w:r>
            <w:r>
              <w:rPr>
                <w:szCs w:val="21"/>
                <w:u w:val="single"/>
              </w:rPr>
              <w:t>重庆</w:t>
            </w:r>
            <w:r>
              <w:rPr>
                <w:szCs w:val="21"/>
              </w:rPr>
              <w:t>市</w:t>
            </w:r>
            <w:r>
              <w:rPr>
                <w:rFonts w:hint="eastAsia"/>
                <w:szCs w:val="21"/>
                <w:u w:val="single"/>
              </w:rPr>
              <w:t>大足区-双桥经开区</w:t>
            </w:r>
            <w:r>
              <w:rPr>
                <w:szCs w:val="21"/>
              </w:rPr>
              <w:t>县（区）</w:t>
            </w:r>
            <w:r>
              <w:rPr>
                <w:rFonts w:hint="eastAsia"/>
                <w:szCs w:val="21"/>
                <w:u w:val="single"/>
              </w:rPr>
              <w:t>邮亭镇工业园区A7-01/01地块</w:t>
            </w:r>
            <w:r>
              <w:rPr>
                <w:szCs w:val="21"/>
              </w:rPr>
              <w:t>（街道）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地理坐标</w:t>
            </w:r>
          </w:p>
        </w:tc>
        <w:tc>
          <w:tcPr>
            <w:tcW w:w="7156" w:type="dxa"/>
            <w:gridSpan w:val="3"/>
            <w:vAlign w:val="center"/>
          </w:tcPr>
          <w:p>
            <w:pPr>
              <w:jc w:val="center"/>
              <w:rPr>
                <w:szCs w:val="21"/>
              </w:rPr>
            </w:pPr>
            <w:r>
              <w:rPr>
                <w:rFonts w:hint="eastAsia" w:ascii="宋体" w:hAnsi="宋体" w:cs="宋体"/>
                <w:szCs w:val="21"/>
              </w:rPr>
              <w:t>（</w:t>
            </w:r>
            <w:r>
              <w:rPr>
                <w:szCs w:val="21"/>
                <w:u w:val="single"/>
              </w:rPr>
              <w:t>105</w:t>
            </w:r>
            <w:r>
              <w:rPr>
                <w:szCs w:val="21"/>
              </w:rPr>
              <w:t>度</w:t>
            </w:r>
            <w:r>
              <w:rPr>
                <w:szCs w:val="21"/>
                <w:u w:val="single"/>
              </w:rPr>
              <w:t>43</w:t>
            </w:r>
            <w:r>
              <w:rPr>
                <w:szCs w:val="21"/>
              </w:rPr>
              <w:t>分</w:t>
            </w:r>
            <w:r>
              <w:rPr>
                <w:szCs w:val="21"/>
                <w:u w:val="single"/>
              </w:rPr>
              <w:t>48.608</w:t>
            </w:r>
            <w:r>
              <w:rPr>
                <w:szCs w:val="21"/>
              </w:rPr>
              <w:t>秒，</w:t>
            </w:r>
            <w:r>
              <w:rPr>
                <w:rFonts w:hint="eastAsia"/>
                <w:szCs w:val="21"/>
                <w:u w:val="single"/>
              </w:rPr>
              <w:t>29</w:t>
            </w:r>
            <w:r>
              <w:rPr>
                <w:szCs w:val="21"/>
              </w:rPr>
              <w:t>度</w:t>
            </w:r>
            <w:r>
              <w:rPr>
                <w:rFonts w:hint="eastAsia"/>
                <w:szCs w:val="21"/>
              </w:rPr>
              <w:t>2</w:t>
            </w:r>
            <w:r>
              <w:rPr>
                <w:rFonts w:hint="eastAsia"/>
                <w:szCs w:val="21"/>
                <w:u w:val="single"/>
              </w:rPr>
              <w:t>7</w:t>
            </w:r>
            <w:r>
              <w:rPr>
                <w:szCs w:val="21"/>
              </w:rPr>
              <w:t>分</w:t>
            </w:r>
            <w:r>
              <w:rPr>
                <w:szCs w:val="21"/>
                <w:u w:val="single"/>
              </w:rPr>
              <w:t>41.466</w:t>
            </w:r>
            <w:r>
              <w:rPr>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国民经济</w:t>
            </w:r>
          </w:p>
          <w:p>
            <w:pPr>
              <w:adjustRightInd w:val="0"/>
              <w:snapToGrid w:val="0"/>
              <w:jc w:val="center"/>
              <w:rPr>
                <w:rFonts w:ascii="宋体" w:hAnsi="宋体" w:cs="宋体"/>
                <w:szCs w:val="21"/>
              </w:rPr>
            </w:pPr>
            <w:r>
              <w:rPr>
                <w:rFonts w:hint="eastAsia" w:ascii="宋体" w:hAnsi="宋体" w:cs="宋体"/>
                <w:szCs w:val="21"/>
              </w:rPr>
              <w:t>行业类别</w:t>
            </w:r>
          </w:p>
        </w:tc>
        <w:tc>
          <w:tcPr>
            <w:tcW w:w="2305" w:type="dxa"/>
            <w:vAlign w:val="center"/>
          </w:tcPr>
          <w:p>
            <w:pPr>
              <w:adjustRightInd w:val="0"/>
              <w:snapToGrid w:val="0"/>
              <w:jc w:val="center"/>
              <w:rPr>
                <w:szCs w:val="21"/>
              </w:rPr>
            </w:pPr>
            <w:r>
              <w:rPr>
                <w:rFonts w:hint="eastAsia"/>
                <w:szCs w:val="21"/>
              </w:rPr>
              <w:t>C4210 金属废料和碎屑加工处理</w:t>
            </w:r>
          </w:p>
        </w:tc>
        <w:tc>
          <w:tcPr>
            <w:tcW w:w="2212" w:type="dxa"/>
            <w:vAlign w:val="center"/>
          </w:tcPr>
          <w:p>
            <w:pPr>
              <w:adjustRightInd w:val="0"/>
              <w:snapToGrid w:val="0"/>
              <w:jc w:val="center"/>
              <w:rPr>
                <w:szCs w:val="21"/>
              </w:rPr>
            </w:pPr>
            <w:bookmarkStart w:id="1" w:name="_Hlk49843745"/>
            <w:r>
              <w:rPr>
                <w:szCs w:val="21"/>
              </w:rPr>
              <w:t>建设项目</w:t>
            </w:r>
          </w:p>
          <w:p>
            <w:pPr>
              <w:adjustRightInd w:val="0"/>
              <w:snapToGrid w:val="0"/>
              <w:jc w:val="center"/>
              <w:rPr>
                <w:szCs w:val="21"/>
              </w:rPr>
            </w:pPr>
            <w:r>
              <w:rPr>
                <w:szCs w:val="21"/>
              </w:rPr>
              <w:t>行业类别</w:t>
            </w:r>
            <w:bookmarkEnd w:id="1"/>
          </w:p>
        </w:tc>
        <w:tc>
          <w:tcPr>
            <w:tcW w:w="2639" w:type="dxa"/>
            <w:vAlign w:val="center"/>
          </w:tcPr>
          <w:p>
            <w:pPr>
              <w:adjustRightInd w:val="0"/>
              <w:snapToGrid w:val="0"/>
              <w:rPr>
                <w:szCs w:val="21"/>
              </w:rPr>
            </w:pPr>
            <w:r>
              <w:rPr>
                <w:rFonts w:hint="eastAsia"/>
                <w:szCs w:val="21"/>
              </w:rPr>
              <w:t>三十九、废弃资源综合利用业 金属废料和碎屑加工处理421（均不含原料为危险废物的，均不含仅分拣、破碎的）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2305" w:type="dxa"/>
            <w:vAlign w:val="center"/>
          </w:tcPr>
          <w:p>
            <w:pPr>
              <w:jc w:val="left"/>
              <w:rPr>
                <w:rFonts w:ascii="宋体" w:hAnsi="宋体" w:cs="宋体"/>
                <w:szCs w:val="21"/>
              </w:rPr>
            </w:pPr>
            <w:r>
              <w:rPr>
                <w:rFonts w:ascii="Wingdings 2" w:hAnsi="Wingdings 2" w:cs="宋体"/>
                <w:szCs w:val="21"/>
              </w:rPr>
              <w:t></w:t>
            </w:r>
            <w:r>
              <w:rPr>
                <w:rFonts w:hint="eastAsia" w:ascii="宋体" w:hAnsi="宋体" w:cs="宋体"/>
                <w:szCs w:val="21"/>
              </w:rPr>
              <w:t>新建（迁建）</w:t>
            </w:r>
          </w:p>
          <w:p>
            <w:pPr>
              <w:jc w:val="left"/>
              <w:rPr>
                <w:rFonts w:ascii="宋体" w:hAnsi="宋体" w:cs="宋体"/>
                <w:szCs w:val="21"/>
              </w:rPr>
            </w:pPr>
            <w:r>
              <w:rPr>
                <w:rFonts w:hint="eastAsia" w:ascii="宋体" w:hAnsi="宋体" w:cs="宋体"/>
                <w:szCs w:val="21"/>
              </w:rPr>
              <w:t>□改建</w:t>
            </w:r>
          </w:p>
          <w:p>
            <w:pPr>
              <w:jc w:val="left"/>
              <w:rPr>
                <w:rFonts w:ascii="宋体" w:hAnsi="宋体" w:cs="宋体"/>
                <w:szCs w:val="21"/>
              </w:rPr>
            </w:pPr>
            <w:r>
              <w:rPr>
                <w:rFonts w:hint="eastAsia" w:ascii="宋体" w:hAnsi="宋体" w:cs="宋体"/>
                <w:szCs w:val="21"/>
              </w:rPr>
              <w:t>□扩建</w:t>
            </w:r>
          </w:p>
          <w:p>
            <w:pPr>
              <w:jc w:val="left"/>
              <w:rPr>
                <w:rFonts w:ascii="宋体" w:hAnsi="宋体" w:cs="宋体"/>
                <w:szCs w:val="21"/>
              </w:rPr>
            </w:pPr>
            <w:r>
              <w:rPr>
                <w:rFonts w:hint="eastAsia" w:ascii="宋体" w:hAnsi="宋体" w:cs="宋体"/>
                <w:szCs w:val="21"/>
              </w:rPr>
              <w:t>□技术改造</w:t>
            </w:r>
          </w:p>
        </w:tc>
        <w:tc>
          <w:tcPr>
            <w:tcW w:w="2212" w:type="dxa"/>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639" w:type="dxa"/>
            <w:vAlign w:val="center"/>
          </w:tcPr>
          <w:p>
            <w:pPr>
              <w:jc w:val="left"/>
              <w:rPr>
                <w:rFonts w:ascii="宋体" w:hAnsi="宋体" w:cs="宋体"/>
                <w:szCs w:val="21"/>
              </w:rPr>
            </w:pPr>
            <w:r>
              <w:rPr>
                <w:rFonts w:ascii="Wingdings 2" w:hAnsi="Wingdings 2" w:cs="宋体"/>
                <w:szCs w:val="21"/>
              </w:rPr>
              <w:t></w:t>
            </w:r>
            <w:r>
              <w:rPr>
                <w:rFonts w:hint="eastAsia" w:ascii="宋体" w:hAnsi="宋体" w:cs="宋体"/>
                <w:szCs w:val="21"/>
              </w:rPr>
              <w:t>首次申报项目</w:t>
            </w:r>
          </w:p>
          <w:p>
            <w:pPr>
              <w:jc w:val="left"/>
              <w:rPr>
                <w:rFonts w:ascii="宋体" w:hAnsi="宋体" w:cs="宋体"/>
                <w:szCs w:val="21"/>
              </w:rPr>
            </w:pPr>
            <w:r>
              <w:rPr>
                <w:rFonts w:hint="eastAsia" w:ascii="宋体" w:hAnsi="宋体" w:cs="宋体"/>
                <w:szCs w:val="21"/>
              </w:rPr>
              <w:t>□不予批准后再次申报项目</w:t>
            </w:r>
          </w:p>
          <w:p>
            <w:pPr>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超五年重新审核项目</w:t>
            </w:r>
          </w:p>
          <w:p>
            <w:pPr>
              <w:jc w:val="left"/>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备案）部门（选填）</w:t>
            </w:r>
          </w:p>
        </w:tc>
        <w:tc>
          <w:tcPr>
            <w:tcW w:w="2305" w:type="dxa"/>
            <w:vAlign w:val="center"/>
          </w:tcPr>
          <w:p>
            <w:pPr>
              <w:adjustRightInd w:val="0"/>
              <w:snapToGrid w:val="0"/>
              <w:jc w:val="center"/>
              <w:rPr>
                <w:rFonts w:ascii="宋体" w:hAnsi="宋体" w:cs="宋体"/>
                <w:szCs w:val="21"/>
              </w:rPr>
            </w:pPr>
            <w:r>
              <w:rPr>
                <w:rFonts w:hint="eastAsia" w:ascii="宋体" w:hAnsi="宋体" w:cs="宋体"/>
                <w:szCs w:val="21"/>
              </w:rPr>
              <w:t>重庆市双桥经济技术开发区经济发展局</w:t>
            </w:r>
          </w:p>
        </w:tc>
        <w:tc>
          <w:tcPr>
            <w:tcW w:w="2212" w:type="dxa"/>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备案）文号（选填）</w:t>
            </w:r>
          </w:p>
        </w:tc>
        <w:tc>
          <w:tcPr>
            <w:tcW w:w="2639" w:type="dxa"/>
            <w:vAlign w:val="center"/>
          </w:tcPr>
          <w:p>
            <w:pPr>
              <w:adjustRightInd w:val="0"/>
              <w:snapToGrid w:val="0"/>
              <w:jc w:val="center"/>
              <w:rPr>
                <w:rFonts w:ascii="宋体" w:hAnsi="宋体" w:cs="宋体"/>
                <w:szCs w:val="21"/>
              </w:rPr>
            </w:pPr>
            <w:r>
              <w:rPr>
                <w:szCs w:val="21"/>
              </w:rPr>
              <w:t>2207-500111-04-01-779242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总投资（万元）</w:t>
            </w:r>
          </w:p>
        </w:tc>
        <w:tc>
          <w:tcPr>
            <w:tcW w:w="2305" w:type="dxa"/>
            <w:vAlign w:val="center"/>
          </w:tcPr>
          <w:p>
            <w:pPr>
              <w:adjustRightInd w:val="0"/>
              <w:snapToGrid w:val="0"/>
              <w:jc w:val="center"/>
              <w:rPr>
                <w:szCs w:val="21"/>
              </w:rPr>
            </w:pPr>
            <w:r>
              <w:rPr>
                <w:rFonts w:hint="eastAsia"/>
                <w:szCs w:val="21"/>
              </w:rPr>
              <w:t>20000</w:t>
            </w:r>
          </w:p>
        </w:tc>
        <w:tc>
          <w:tcPr>
            <w:tcW w:w="2212" w:type="dxa"/>
            <w:tcMar>
              <w:top w:w="16" w:type="dxa"/>
              <w:left w:w="16" w:type="dxa"/>
              <w:right w:w="16" w:type="dxa"/>
            </w:tcMar>
            <w:vAlign w:val="center"/>
          </w:tcPr>
          <w:p>
            <w:pPr>
              <w:adjustRightInd w:val="0"/>
              <w:snapToGrid w:val="0"/>
              <w:jc w:val="center"/>
              <w:rPr>
                <w:szCs w:val="21"/>
              </w:rPr>
            </w:pPr>
            <w:r>
              <w:rPr>
                <w:szCs w:val="21"/>
              </w:rPr>
              <w:t>环保投资（万元）</w:t>
            </w:r>
          </w:p>
        </w:tc>
        <w:tc>
          <w:tcPr>
            <w:tcW w:w="2639" w:type="dxa"/>
            <w:vAlign w:val="center"/>
          </w:tcPr>
          <w:p>
            <w:pPr>
              <w:adjustRightInd w:val="0"/>
              <w:snapToGrid w:val="0"/>
              <w:jc w:val="center"/>
              <w:rPr>
                <w:szCs w:val="21"/>
              </w:rPr>
            </w:pPr>
            <w:r>
              <w:rPr>
                <w:rFonts w:hint="eastAsia"/>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环保投资占比（</w:t>
            </w:r>
            <w:r>
              <w:rPr>
                <w:rFonts w:ascii="宋体" w:hAnsi="宋体" w:cs="宋体"/>
                <w:szCs w:val="21"/>
              </w:rPr>
              <w:t>%</w:t>
            </w:r>
            <w:r>
              <w:rPr>
                <w:rFonts w:hint="eastAsia" w:ascii="宋体" w:hAnsi="宋体" w:cs="宋体"/>
                <w:szCs w:val="21"/>
              </w:rPr>
              <w:t>）</w:t>
            </w:r>
          </w:p>
        </w:tc>
        <w:tc>
          <w:tcPr>
            <w:tcW w:w="2305" w:type="dxa"/>
            <w:vAlign w:val="center"/>
          </w:tcPr>
          <w:p>
            <w:pPr>
              <w:adjustRightInd w:val="0"/>
              <w:snapToGrid w:val="0"/>
              <w:jc w:val="center"/>
              <w:rPr>
                <w:szCs w:val="21"/>
              </w:rPr>
            </w:pPr>
            <w:r>
              <w:rPr>
                <w:szCs w:val="21"/>
              </w:rPr>
              <w:t>0.5</w:t>
            </w:r>
          </w:p>
        </w:tc>
        <w:tc>
          <w:tcPr>
            <w:tcW w:w="2212" w:type="dxa"/>
            <w:tcMar>
              <w:top w:w="16" w:type="dxa"/>
              <w:left w:w="16" w:type="dxa"/>
              <w:right w:w="16" w:type="dxa"/>
            </w:tcMar>
            <w:vAlign w:val="center"/>
          </w:tcPr>
          <w:p>
            <w:pPr>
              <w:adjustRightInd w:val="0"/>
              <w:snapToGrid w:val="0"/>
              <w:jc w:val="center"/>
              <w:rPr>
                <w:szCs w:val="21"/>
              </w:rPr>
            </w:pPr>
            <w:r>
              <w:rPr>
                <w:szCs w:val="21"/>
              </w:rPr>
              <w:t>施工工期</w:t>
            </w:r>
          </w:p>
        </w:tc>
        <w:tc>
          <w:tcPr>
            <w:tcW w:w="2639" w:type="dxa"/>
            <w:vAlign w:val="center"/>
          </w:tcPr>
          <w:p>
            <w:pPr>
              <w:adjustRightInd w:val="0"/>
              <w:snapToGrid w:val="0"/>
              <w:jc w:val="center"/>
              <w:rPr>
                <w:szCs w:val="21"/>
              </w:rPr>
            </w:pPr>
            <w:r>
              <w:rPr>
                <w:rFonts w:hint="eastAsia"/>
                <w:szCs w:val="21"/>
              </w:rPr>
              <w:t>17</w:t>
            </w:r>
            <w:r>
              <w:rPr>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14" w:type="dxa"/>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是否开工建设</w:t>
            </w:r>
          </w:p>
        </w:tc>
        <w:tc>
          <w:tcPr>
            <w:tcW w:w="2305" w:type="dxa"/>
            <w:vAlign w:val="center"/>
          </w:tcPr>
          <w:p>
            <w:pPr>
              <w:adjustRightInd w:val="0"/>
              <w:snapToGrid w:val="0"/>
              <w:rPr>
                <w:rFonts w:ascii="宋体" w:hAnsi="宋体" w:cs="宋体"/>
                <w:szCs w:val="21"/>
              </w:rPr>
            </w:pPr>
            <w:r>
              <w:rPr>
                <w:rFonts w:ascii="Wingdings 2" w:hAnsi="Wingdings 2" w:cs="宋体"/>
                <w:szCs w:val="21"/>
              </w:rPr>
              <w:t></w:t>
            </w:r>
            <w:r>
              <w:rPr>
                <w:rFonts w:hint="eastAsia" w:ascii="宋体" w:hAnsi="宋体" w:cs="宋体"/>
                <w:szCs w:val="21"/>
              </w:rPr>
              <w:t>否</w:t>
            </w:r>
          </w:p>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是：</w:t>
            </w:r>
          </w:p>
        </w:tc>
        <w:tc>
          <w:tcPr>
            <w:tcW w:w="2212" w:type="dxa"/>
            <w:tcMar>
              <w:top w:w="16" w:type="dxa"/>
              <w:left w:w="16" w:type="dxa"/>
              <w:right w:w="16" w:type="dxa"/>
            </w:tcMar>
            <w:vAlign w:val="center"/>
          </w:tcPr>
          <w:p>
            <w:pPr>
              <w:adjustRightInd w:val="0"/>
              <w:snapToGrid w:val="0"/>
              <w:jc w:val="center"/>
              <w:rPr>
                <w:spacing w:val="-6"/>
                <w:szCs w:val="21"/>
              </w:rPr>
            </w:pPr>
            <w:r>
              <w:rPr>
                <w:spacing w:val="-6"/>
                <w:szCs w:val="21"/>
              </w:rPr>
              <w:t>用地（用海）</w:t>
            </w:r>
          </w:p>
          <w:p>
            <w:pPr>
              <w:adjustRightInd w:val="0"/>
              <w:snapToGrid w:val="0"/>
              <w:jc w:val="center"/>
              <w:rPr>
                <w:rFonts w:ascii="宋体" w:hAnsi="宋体" w:cs="宋体"/>
                <w:szCs w:val="21"/>
              </w:rPr>
            </w:pPr>
            <w:r>
              <w:rPr>
                <w:spacing w:val="-6"/>
                <w:szCs w:val="21"/>
              </w:rPr>
              <w:t>面积（m</w:t>
            </w:r>
            <w:r>
              <w:rPr>
                <w:spacing w:val="-6"/>
                <w:szCs w:val="21"/>
                <w:vertAlign w:val="superscript"/>
              </w:rPr>
              <w:t>2</w:t>
            </w:r>
            <w:r>
              <w:rPr>
                <w:spacing w:val="-6"/>
                <w:szCs w:val="21"/>
              </w:rPr>
              <w:t>）</w:t>
            </w:r>
          </w:p>
        </w:tc>
        <w:tc>
          <w:tcPr>
            <w:tcW w:w="2639" w:type="dxa"/>
            <w:vAlign w:val="center"/>
          </w:tcPr>
          <w:p>
            <w:pPr>
              <w:adjustRightInd w:val="0"/>
              <w:snapToGrid w:val="0"/>
              <w:jc w:val="center"/>
              <w:rPr>
                <w:szCs w:val="21"/>
              </w:rPr>
            </w:pPr>
            <w:r>
              <w:rPr>
                <w:rFonts w:hint="eastAsia"/>
                <w:szCs w:val="21"/>
              </w:rPr>
              <w:t>20000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171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7156" w:type="dxa"/>
            <w:gridSpan w:val="3"/>
            <w:vAlign w:val="center"/>
          </w:tcPr>
          <w:p>
            <w:pPr>
              <w:autoSpaceDE w:val="0"/>
              <w:autoSpaceDN w:val="0"/>
              <w:adjustRightInd w:val="0"/>
              <w:snapToGrid w:val="0"/>
              <w:jc w:val="center"/>
              <w:rPr>
                <w:rFonts w:ascii="宋体" w:hAnsi="宋体" w:cs="宋体"/>
                <w:kern w:val="0"/>
                <w:szCs w:val="21"/>
              </w:rPr>
            </w:pPr>
            <w:r>
              <w:rPr>
                <w:rFonts w:hint="eastAsia"/>
                <w:kern w:val="21"/>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1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规划情况</w:t>
            </w:r>
          </w:p>
        </w:tc>
        <w:tc>
          <w:tcPr>
            <w:tcW w:w="7156" w:type="dxa"/>
            <w:gridSpan w:val="3"/>
            <w:vAlign w:val="center"/>
          </w:tcPr>
          <w:p>
            <w:pPr>
              <w:autoSpaceDE w:val="0"/>
              <w:autoSpaceDN w:val="0"/>
              <w:adjustRightInd w:val="0"/>
              <w:snapToGrid w:val="0"/>
              <w:spacing w:line="480" w:lineRule="exact"/>
              <w:jc w:val="left"/>
              <w:rPr>
                <w:kern w:val="0"/>
                <w:sz w:val="24"/>
              </w:rPr>
            </w:pPr>
            <w:r>
              <w:rPr>
                <w:b/>
                <w:kern w:val="0"/>
                <w:sz w:val="24"/>
              </w:rPr>
              <w:t>规划名称：</w:t>
            </w:r>
            <w:r>
              <w:rPr>
                <w:kern w:val="0"/>
                <w:sz w:val="24"/>
              </w:rPr>
              <w:t>《重庆市双桥经济技术开发区邮亭片区A区控制性详细规划》；</w:t>
            </w:r>
          </w:p>
          <w:p>
            <w:pPr>
              <w:autoSpaceDE w:val="0"/>
              <w:autoSpaceDN w:val="0"/>
              <w:adjustRightInd w:val="0"/>
              <w:snapToGrid w:val="0"/>
              <w:spacing w:line="480" w:lineRule="exact"/>
              <w:jc w:val="left"/>
              <w:rPr>
                <w:kern w:val="0"/>
                <w:sz w:val="24"/>
              </w:rPr>
            </w:pPr>
            <w:r>
              <w:rPr>
                <w:b/>
                <w:kern w:val="0"/>
                <w:sz w:val="24"/>
              </w:rPr>
              <w:t>审批机关：</w:t>
            </w:r>
            <w:r>
              <w:rPr>
                <w:kern w:val="0"/>
                <w:sz w:val="24"/>
              </w:rPr>
              <w:t>重庆市园区办</w:t>
            </w:r>
          </w:p>
          <w:p>
            <w:pPr>
              <w:autoSpaceDE w:val="0"/>
              <w:autoSpaceDN w:val="0"/>
              <w:adjustRightInd w:val="0"/>
              <w:snapToGrid w:val="0"/>
              <w:spacing w:line="480" w:lineRule="exact"/>
              <w:jc w:val="left"/>
              <w:rPr>
                <w:rFonts w:ascii="宋体" w:hAnsi="宋体" w:cs="宋体"/>
                <w:kern w:val="0"/>
                <w:sz w:val="24"/>
              </w:rPr>
            </w:pPr>
            <w:r>
              <w:rPr>
                <w:b/>
                <w:kern w:val="0"/>
                <w:sz w:val="24"/>
              </w:rPr>
              <w:t>审批文号：</w:t>
            </w:r>
            <w:r>
              <w:rPr>
                <w:kern w:val="0"/>
                <w:sz w:val="24"/>
              </w:rPr>
              <w:t>渝园区领导小组〔2006〕号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vAlign w:val="center"/>
          </w:tcPr>
          <w:p>
            <w:pPr>
              <w:adjustRightInd w:val="0"/>
              <w:snapToGrid w:val="0"/>
              <w:jc w:val="center"/>
              <w:rPr>
                <w:rFonts w:ascii="宋体" w:hAnsi="宋体" w:cs="宋体"/>
                <w:szCs w:val="21"/>
              </w:rPr>
            </w:pPr>
            <w:r>
              <w:rPr>
                <w:rFonts w:hint="eastAsia" w:ascii="宋体" w:hAnsi="宋体" w:cs="宋体"/>
                <w:szCs w:val="21"/>
              </w:rPr>
              <w:t>规划环境影响</w:t>
            </w:r>
          </w:p>
          <w:p>
            <w:pPr>
              <w:adjustRightInd w:val="0"/>
              <w:snapToGrid w:val="0"/>
              <w:jc w:val="center"/>
              <w:rPr>
                <w:rFonts w:ascii="宋体" w:hAnsi="宋体" w:cs="宋体"/>
                <w:kern w:val="0"/>
                <w:szCs w:val="21"/>
              </w:rPr>
            </w:pPr>
            <w:r>
              <w:rPr>
                <w:rFonts w:hint="eastAsia" w:ascii="宋体" w:hAnsi="宋体" w:cs="宋体"/>
                <w:szCs w:val="21"/>
              </w:rPr>
              <w:t>评价情况</w:t>
            </w:r>
          </w:p>
        </w:tc>
        <w:tc>
          <w:tcPr>
            <w:tcW w:w="7156" w:type="dxa"/>
            <w:gridSpan w:val="3"/>
            <w:vAlign w:val="center"/>
          </w:tcPr>
          <w:p>
            <w:pPr>
              <w:autoSpaceDE w:val="0"/>
              <w:autoSpaceDN w:val="0"/>
              <w:adjustRightInd w:val="0"/>
              <w:snapToGrid w:val="0"/>
              <w:spacing w:line="480" w:lineRule="exact"/>
              <w:jc w:val="left"/>
              <w:rPr>
                <w:kern w:val="0"/>
                <w:sz w:val="24"/>
              </w:rPr>
            </w:pPr>
            <w:r>
              <w:rPr>
                <w:rFonts w:hint="eastAsia"/>
                <w:b/>
                <w:kern w:val="0"/>
                <w:sz w:val="24"/>
              </w:rPr>
              <w:t>规划环评文件名称：</w:t>
            </w:r>
            <w:r>
              <w:rPr>
                <w:rFonts w:hint="eastAsia"/>
                <w:kern w:val="0"/>
                <w:sz w:val="24"/>
              </w:rPr>
              <w:t>《重庆市双桥经济技术开发区邮亭片区A区控制性详细规划环境影响跟踪评价报告书》</w:t>
            </w:r>
          </w:p>
          <w:p>
            <w:pPr>
              <w:autoSpaceDE w:val="0"/>
              <w:autoSpaceDN w:val="0"/>
              <w:adjustRightInd w:val="0"/>
              <w:snapToGrid w:val="0"/>
              <w:spacing w:line="480" w:lineRule="exact"/>
              <w:jc w:val="left"/>
              <w:rPr>
                <w:kern w:val="0"/>
                <w:sz w:val="24"/>
              </w:rPr>
            </w:pPr>
            <w:r>
              <w:rPr>
                <w:rFonts w:hint="eastAsia"/>
                <w:b/>
                <w:kern w:val="0"/>
                <w:sz w:val="24"/>
              </w:rPr>
              <w:t>审查机关：</w:t>
            </w:r>
            <w:r>
              <w:rPr>
                <w:rFonts w:hint="eastAsia"/>
                <w:kern w:val="0"/>
                <w:sz w:val="24"/>
              </w:rPr>
              <w:t>重庆市生态环境局</w:t>
            </w:r>
          </w:p>
          <w:p>
            <w:pPr>
              <w:autoSpaceDE w:val="0"/>
              <w:autoSpaceDN w:val="0"/>
              <w:adjustRightInd w:val="0"/>
              <w:snapToGrid w:val="0"/>
              <w:spacing w:line="480" w:lineRule="exact"/>
              <w:jc w:val="left"/>
              <w:rPr>
                <w:rFonts w:ascii="宋体" w:hAnsi="宋体" w:cs="宋体"/>
                <w:kern w:val="0"/>
                <w:szCs w:val="21"/>
              </w:rPr>
            </w:pPr>
            <w:r>
              <w:rPr>
                <w:rFonts w:hint="eastAsia"/>
                <w:b/>
                <w:kern w:val="0"/>
                <w:sz w:val="24"/>
              </w:rPr>
              <w:t>审批文件名称及文号：</w:t>
            </w:r>
            <w:r>
              <w:rPr>
                <w:rFonts w:hint="eastAsia"/>
                <w:kern w:val="0"/>
                <w:sz w:val="24"/>
              </w:rPr>
              <w:t>《重庆市环境保护局关重庆市双桥经济技术开发区邮亭片区A区控制性详细规划环境影响跟踪评价报告书审查意见的函》（渝环函</w:t>
            </w:r>
            <w:r>
              <w:rPr>
                <w:rFonts w:ascii="Arial" w:hAnsi="Arial" w:cs="Arial"/>
                <w:sz w:val="20"/>
                <w:szCs w:val="20"/>
                <w:shd w:val="clear" w:color="auto" w:fill="FFFFFF"/>
              </w:rPr>
              <w:t>〔</w:t>
            </w:r>
            <w:r>
              <w:rPr>
                <w:rFonts w:hint="eastAsia"/>
                <w:kern w:val="0"/>
                <w:sz w:val="24"/>
              </w:rPr>
              <w:t>2021</w:t>
            </w:r>
            <w:r>
              <w:rPr>
                <w:rFonts w:ascii="Arial" w:hAnsi="Arial" w:cs="Arial"/>
                <w:sz w:val="20"/>
                <w:szCs w:val="20"/>
                <w:shd w:val="clear" w:color="auto" w:fill="FFFFFF"/>
              </w:rPr>
              <w:t>〕</w:t>
            </w:r>
            <w:r>
              <w:rPr>
                <w:rFonts w:hint="eastAsia"/>
                <w:kern w:val="0"/>
                <w:sz w:val="24"/>
              </w:rPr>
              <w:t>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1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规划及规划环境</w:t>
            </w:r>
          </w:p>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影响评价符合性分析</w:t>
            </w:r>
          </w:p>
        </w:tc>
        <w:tc>
          <w:tcPr>
            <w:tcW w:w="7156" w:type="dxa"/>
            <w:gridSpan w:val="3"/>
            <w:vAlign w:val="center"/>
          </w:tcPr>
          <w:p>
            <w:pPr>
              <w:spacing w:line="480" w:lineRule="exact"/>
              <w:rPr>
                <w:b/>
                <w:sz w:val="24"/>
              </w:rPr>
            </w:pPr>
            <w:r>
              <w:rPr>
                <w:rFonts w:hint="eastAsia"/>
                <w:b/>
                <w:sz w:val="24"/>
              </w:rPr>
              <w:t>1.1规划及规划环境影响评价符合性分析</w:t>
            </w:r>
          </w:p>
          <w:p>
            <w:pPr>
              <w:autoSpaceDE w:val="0"/>
              <w:autoSpaceDN w:val="0"/>
              <w:adjustRightInd w:val="0"/>
              <w:snapToGrid w:val="0"/>
              <w:spacing w:line="480" w:lineRule="exact"/>
              <w:ind w:firstLine="480" w:firstLineChars="200"/>
              <w:rPr>
                <w:bCs/>
                <w:sz w:val="24"/>
              </w:rPr>
            </w:pPr>
            <w:r>
              <w:rPr>
                <w:rFonts w:hint="eastAsia"/>
                <w:bCs/>
                <w:sz w:val="24"/>
              </w:rPr>
              <w:t>（1）与《重庆市双桥经济技术开发区邮亭片区A区控制性详细规划》符合性分析</w:t>
            </w:r>
          </w:p>
          <w:p>
            <w:pPr>
              <w:autoSpaceDE w:val="0"/>
              <w:autoSpaceDN w:val="0"/>
              <w:adjustRightInd w:val="0"/>
              <w:snapToGrid w:val="0"/>
              <w:spacing w:line="480" w:lineRule="exact"/>
              <w:ind w:firstLine="480" w:firstLineChars="200"/>
              <w:rPr>
                <w:bCs/>
                <w:sz w:val="24"/>
              </w:rPr>
            </w:pPr>
            <w:r>
              <w:rPr>
                <w:rFonts w:hint="eastAsia"/>
                <w:bCs/>
                <w:sz w:val="24"/>
              </w:rPr>
              <w:t>根据《重庆市双桥经济技术开发区邮亭片区A区控制性详细规划》，邮亭片区A区产业定位主要为再生资源产业下游产业为主（主要包括再生铅及下游产品、废钢铁回收利用、废旧机电及电子产品拆解、废旧汽车拆解回收及加工、再生铝及再生光亮铜等），加工工业、高新技术产业、电镀及金属表面处理加工为辅。</w:t>
            </w:r>
          </w:p>
          <w:p>
            <w:pPr>
              <w:spacing w:line="480" w:lineRule="exact"/>
              <w:ind w:firstLine="480" w:firstLineChars="200"/>
              <w:rPr>
                <w:sz w:val="24"/>
              </w:rPr>
            </w:pPr>
            <w:r>
              <w:rPr>
                <w:rFonts w:hint="eastAsia"/>
                <w:bCs/>
                <w:sz w:val="24"/>
              </w:rPr>
              <w:t>拟建项目位于</w:t>
            </w:r>
            <w:r>
              <w:rPr>
                <w:rFonts w:hint="eastAsia"/>
                <w:sz w:val="24"/>
              </w:rPr>
              <w:t>重庆市大足区邮亭镇工业园区A7-01/01地块</w:t>
            </w:r>
            <w:r>
              <w:rPr>
                <w:rFonts w:hint="eastAsia"/>
                <w:bCs/>
                <w:sz w:val="24"/>
              </w:rPr>
              <w:t>，为金属废料和碎屑加工处理类项目，属于废旧汽车拆解回收及加工业，用地性质属于工业用地。因此，项目建设符合区域土地利用及产业布局规划要求。</w:t>
            </w:r>
          </w:p>
          <w:p>
            <w:pPr>
              <w:autoSpaceDE w:val="0"/>
              <w:autoSpaceDN w:val="0"/>
              <w:adjustRightInd w:val="0"/>
              <w:snapToGrid w:val="0"/>
              <w:spacing w:line="480" w:lineRule="exact"/>
              <w:ind w:firstLine="480" w:firstLineChars="200"/>
              <w:rPr>
                <w:bCs/>
                <w:sz w:val="24"/>
              </w:rPr>
            </w:pPr>
            <w:r>
              <w:rPr>
                <w:bCs/>
                <w:sz w:val="24"/>
              </w:rPr>
              <w:t>（</w:t>
            </w:r>
            <w:r>
              <w:rPr>
                <w:rFonts w:hint="eastAsia"/>
                <w:bCs/>
                <w:sz w:val="24"/>
              </w:rPr>
              <w:t>2</w:t>
            </w:r>
            <w:r>
              <w:rPr>
                <w:bCs/>
                <w:sz w:val="24"/>
              </w:rPr>
              <w:t>）与规划环评符合性分析</w:t>
            </w:r>
          </w:p>
          <w:p>
            <w:pPr>
              <w:autoSpaceDE w:val="0"/>
              <w:autoSpaceDN w:val="0"/>
              <w:adjustRightInd w:val="0"/>
              <w:snapToGrid w:val="0"/>
              <w:spacing w:line="480" w:lineRule="exact"/>
              <w:ind w:firstLine="480" w:firstLineChars="200"/>
              <w:rPr>
                <w:bCs/>
                <w:sz w:val="24"/>
              </w:rPr>
            </w:pPr>
            <w:r>
              <w:rPr>
                <w:bCs/>
                <w:sz w:val="24"/>
              </w:rPr>
              <w:t>20</w:t>
            </w:r>
            <w:r>
              <w:rPr>
                <w:rFonts w:hint="eastAsia"/>
                <w:bCs/>
                <w:sz w:val="24"/>
              </w:rPr>
              <w:t>20</w:t>
            </w:r>
            <w:r>
              <w:rPr>
                <w:bCs/>
                <w:sz w:val="24"/>
              </w:rPr>
              <w:t>年，</w:t>
            </w:r>
            <w:r>
              <w:rPr>
                <w:rFonts w:hint="eastAsia"/>
                <w:bCs/>
                <w:sz w:val="24"/>
              </w:rPr>
              <w:t>重庆市久久环境影响评价有限公司</w:t>
            </w:r>
            <w:r>
              <w:rPr>
                <w:bCs/>
                <w:sz w:val="24"/>
              </w:rPr>
              <w:t>组织编制了《</w:t>
            </w:r>
            <w:r>
              <w:rPr>
                <w:rFonts w:hint="eastAsia"/>
                <w:kern w:val="0"/>
                <w:sz w:val="24"/>
              </w:rPr>
              <w:t>重庆市环境保护局关重庆市双桥经济技术开发区邮亭片区A区控制性详细规划环境影响跟踪评价报告书</w:t>
            </w:r>
            <w:r>
              <w:rPr>
                <w:bCs/>
                <w:sz w:val="24"/>
              </w:rPr>
              <w:t>》，并于20</w:t>
            </w:r>
            <w:r>
              <w:rPr>
                <w:rFonts w:hint="eastAsia"/>
                <w:bCs/>
                <w:sz w:val="24"/>
              </w:rPr>
              <w:t>21</w:t>
            </w:r>
            <w:r>
              <w:rPr>
                <w:bCs/>
                <w:sz w:val="24"/>
              </w:rPr>
              <w:t>年</w:t>
            </w:r>
            <w:r>
              <w:rPr>
                <w:rFonts w:hint="eastAsia"/>
                <w:bCs/>
                <w:sz w:val="24"/>
              </w:rPr>
              <w:t>1</w:t>
            </w:r>
            <w:r>
              <w:rPr>
                <w:bCs/>
                <w:sz w:val="24"/>
              </w:rPr>
              <w:t>月取得了重庆市</w:t>
            </w:r>
            <w:r>
              <w:rPr>
                <w:rFonts w:hint="eastAsia"/>
                <w:bCs/>
                <w:sz w:val="24"/>
              </w:rPr>
              <w:t>生态环境局</w:t>
            </w:r>
            <w:r>
              <w:rPr>
                <w:bCs/>
                <w:sz w:val="24"/>
              </w:rPr>
              <w:t>审查意见的函（</w:t>
            </w:r>
            <w:r>
              <w:rPr>
                <w:rFonts w:hint="eastAsia"/>
                <w:kern w:val="0"/>
                <w:sz w:val="24"/>
              </w:rPr>
              <w:t>渝环函</w:t>
            </w:r>
            <w:r>
              <w:rPr>
                <w:rFonts w:ascii="Arial" w:hAnsi="Arial" w:cs="Arial"/>
                <w:sz w:val="20"/>
                <w:szCs w:val="20"/>
                <w:shd w:val="clear" w:color="auto" w:fill="FFFFFF"/>
              </w:rPr>
              <w:t>〔</w:t>
            </w:r>
            <w:r>
              <w:rPr>
                <w:rFonts w:hint="eastAsia"/>
                <w:kern w:val="0"/>
                <w:sz w:val="24"/>
              </w:rPr>
              <w:t>2021</w:t>
            </w:r>
            <w:r>
              <w:rPr>
                <w:rFonts w:ascii="Arial" w:hAnsi="Arial" w:cs="Arial"/>
                <w:sz w:val="20"/>
                <w:szCs w:val="20"/>
                <w:shd w:val="clear" w:color="auto" w:fill="FFFFFF"/>
              </w:rPr>
              <w:t>〕</w:t>
            </w:r>
            <w:r>
              <w:rPr>
                <w:rFonts w:hint="eastAsia"/>
                <w:kern w:val="0"/>
                <w:sz w:val="24"/>
              </w:rPr>
              <w:t>12号</w:t>
            </w:r>
            <w:r>
              <w:rPr>
                <w:bCs/>
                <w:sz w:val="24"/>
              </w:rPr>
              <w:t>）。</w:t>
            </w:r>
          </w:p>
          <w:p>
            <w:pPr>
              <w:autoSpaceDE w:val="0"/>
              <w:autoSpaceDN w:val="0"/>
              <w:adjustRightInd w:val="0"/>
              <w:snapToGrid w:val="0"/>
              <w:spacing w:line="480" w:lineRule="exact"/>
              <w:ind w:firstLine="480" w:firstLineChars="200"/>
              <w:rPr>
                <w:bCs/>
                <w:sz w:val="24"/>
              </w:rPr>
            </w:pPr>
            <w:r>
              <w:rPr>
                <w:rFonts w:hint="eastAsia"/>
                <w:bCs/>
                <w:sz w:val="24"/>
              </w:rPr>
              <w:t>与规划环评环境准入条件符合性见下表：</w:t>
            </w:r>
          </w:p>
          <w:p>
            <w:pPr>
              <w:jc w:val="center"/>
              <w:rPr>
                <w:sz w:val="18"/>
                <w:szCs w:val="18"/>
              </w:rPr>
            </w:pPr>
            <w:r>
              <w:rPr>
                <w:sz w:val="18"/>
                <w:szCs w:val="18"/>
              </w:rPr>
              <w:t>表</w:t>
            </w:r>
            <w:r>
              <w:rPr>
                <w:rFonts w:hint="eastAsia"/>
                <w:sz w:val="18"/>
                <w:szCs w:val="18"/>
              </w:rPr>
              <w:t>1.1</w:t>
            </w:r>
            <w:r>
              <w:rPr>
                <w:sz w:val="18"/>
                <w:szCs w:val="18"/>
              </w:rPr>
              <w:t>-</w:t>
            </w:r>
            <w:r>
              <w:rPr>
                <w:rFonts w:hint="eastAsia"/>
                <w:sz w:val="18"/>
                <w:szCs w:val="18"/>
              </w:rPr>
              <w:t>1邮亭A区生态环境准入清单</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7"/>
              <w:gridCol w:w="567"/>
              <w:gridCol w:w="850"/>
              <w:gridCol w:w="283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30" w:type="pct"/>
                  <w:vAlign w:val="center"/>
                </w:tcPr>
                <w:p>
                  <w:pPr>
                    <w:adjustRightInd w:val="0"/>
                    <w:snapToGrid w:val="0"/>
                    <w:jc w:val="center"/>
                    <w:rPr>
                      <w:bCs/>
                      <w:sz w:val="18"/>
                      <w:szCs w:val="18"/>
                      <w:lang w:bidi="en-US"/>
                    </w:rPr>
                  </w:pPr>
                  <w:r>
                    <w:rPr>
                      <w:bCs/>
                      <w:sz w:val="18"/>
                      <w:szCs w:val="18"/>
                      <w:lang w:bidi="en-US"/>
                    </w:rPr>
                    <w:t>环境管控单元名称</w:t>
                  </w:r>
                </w:p>
              </w:tc>
              <w:tc>
                <w:tcPr>
                  <w:tcW w:w="409" w:type="pct"/>
                  <w:vAlign w:val="center"/>
                </w:tcPr>
                <w:p>
                  <w:pPr>
                    <w:adjustRightInd w:val="0"/>
                    <w:snapToGrid w:val="0"/>
                    <w:jc w:val="center"/>
                    <w:rPr>
                      <w:bCs/>
                      <w:sz w:val="18"/>
                      <w:szCs w:val="18"/>
                      <w:lang w:bidi="en-US"/>
                    </w:rPr>
                  </w:pPr>
                  <w:r>
                    <w:rPr>
                      <w:bCs/>
                      <w:sz w:val="18"/>
                      <w:szCs w:val="18"/>
                      <w:lang w:bidi="en-US"/>
                    </w:rPr>
                    <w:t>环境管控单元分类</w:t>
                  </w:r>
                </w:p>
              </w:tc>
              <w:tc>
                <w:tcPr>
                  <w:tcW w:w="613" w:type="pct"/>
                  <w:vAlign w:val="center"/>
                </w:tcPr>
                <w:p>
                  <w:pPr>
                    <w:adjustRightInd w:val="0"/>
                    <w:snapToGrid w:val="0"/>
                    <w:jc w:val="center"/>
                    <w:rPr>
                      <w:bCs/>
                      <w:sz w:val="18"/>
                      <w:szCs w:val="18"/>
                      <w:lang w:bidi="en-US"/>
                    </w:rPr>
                  </w:pPr>
                  <w:r>
                    <w:rPr>
                      <w:bCs/>
                      <w:sz w:val="18"/>
                      <w:szCs w:val="18"/>
                      <w:lang w:bidi="en-US"/>
                    </w:rPr>
                    <w:t>管控类别</w:t>
                  </w:r>
                </w:p>
              </w:tc>
              <w:tc>
                <w:tcPr>
                  <w:tcW w:w="2046" w:type="pct"/>
                  <w:vAlign w:val="center"/>
                </w:tcPr>
                <w:p>
                  <w:pPr>
                    <w:adjustRightInd w:val="0"/>
                    <w:snapToGrid w:val="0"/>
                    <w:jc w:val="center"/>
                    <w:rPr>
                      <w:bCs/>
                      <w:sz w:val="18"/>
                      <w:szCs w:val="18"/>
                      <w:lang w:bidi="en-US"/>
                    </w:rPr>
                  </w:pPr>
                  <w:r>
                    <w:rPr>
                      <w:bCs/>
                      <w:sz w:val="18"/>
                      <w:szCs w:val="18"/>
                      <w:lang w:bidi="en-US"/>
                    </w:rPr>
                    <w:t>管控要求</w:t>
                  </w:r>
                </w:p>
              </w:tc>
              <w:tc>
                <w:tcPr>
                  <w:tcW w:w="1501" w:type="pct"/>
                  <w:vAlign w:val="center"/>
                </w:tcPr>
                <w:p>
                  <w:pPr>
                    <w:adjustRightInd w:val="0"/>
                    <w:snapToGrid w:val="0"/>
                    <w:jc w:val="center"/>
                    <w:rPr>
                      <w:bCs/>
                      <w:sz w:val="18"/>
                      <w:szCs w:val="18"/>
                      <w:lang w:bidi="en-US"/>
                    </w:rPr>
                  </w:pPr>
                  <w:r>
                    <w:rPr>
                      <w:bCs/>
                      <w:sz w:val="18"/>
                      <w:szCs w:val="18"/>
                      <w:lang w:bidi="en-US"/>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7" w:hRule="atLeast"/>
              </w:trPr>
              <w:tc>
                <w:tcPr>
                  <w:tcW w:w="430" w:type="pct"/>
                  <w:vMerge w:val="restart"/>
                  <w:vAlign w:val="center"/>
                </w:tcPr>
                <w:p>
                  <w:pPr>
                    <w:widowControl/>
                    <w:adjustRightInd w:val="0"/>
                    <w:snapToGrid w:val="0"/>
                    <w:jc w:val="center"/>
                    <w:rPr>
                      <w:bCs/>
                      <w:sz w:val="18"/>
                      <w:szCs w:val="18"/>
                      <w:lang w:bidi="en-US"/>
                    </w:rPr>
                  </w:pPr>
                  <w:r>
                    <w:rPr>
                      <w:bCs/>
                      <w:sz w:val="18"/>
                      <w:szCs w:val="18"/>
                      <w:lang w:bidi="en-US"/>
                    </w:rPr>
                    <w:t>邮亭A区</w:t>
                  </w:r>
                </w:p>
              </w:tc>
              <w:tc>
                <w:tcPr>
                  <w:tcW w:w="409" w:type="pct"/>
                  <w:vMerge w:val="restart"/>
                  <w:vAlign w:val="center"/>
                </w:tcPr>
                <w:p>
                  <w:pPr>
                    <w:widowControl/>
                    <w:adjustRightInd w:val="0"/>
                    <w:snapToGrid w:val="0"/>
                    <w:jc w:val="center"/>
                    <w:rPr>
                      <w:bCs/>
                      <w:sz w:val="18"/>
                      <w:szCs w:val="18"/>
                      <w:lang w:bidi="en-US"/>
                    </w:rPr>
                  </w:pPr>
                  <w:r>
                    <w:rPr>
                      <w:bCs/>
                      <w:sz w:val="18"/>
                      <w:szCs w:val="18"/>
                      <w:lang w:bidi="en-US"/>
                    </w:rPr>
                    <w:t>重点管控单元</w:t>
                  </w:r>
                </w:p>
              </w:tc>
              <w:tc>
                <w:tcPr>
                  <w:tcW w:w="613" w:type="pct"/>
                  <w:vAlign w:val="center"/>
                </w:tcPr>
                <w:p>
                  <w:pPr>
                    <w:adjustRightInd w:val="0"/>
                    <w:snapToGrid w:val="0"/>
                    <w:jc w:val="center"/>
                    <w:rPr>
                      <w:bCs/>
                      <w:sz w:val="18"/>
                      <w:szCs w:val="18"/>
                      <w:lang w:bidi="en-US"/>
                    </w:rPr>
                  </w:pPr>
                  <w:r>
                    <w:rPr>
                      <w:bCs/>
                      <w:sz w:val="18"/>
                      <w:szCs w:val="18"/>
                      <w:lang w:bidi="en-US"/>
                    </w:rPr>
                    <w:t>空间布局约束</w:t>
                  </w:r>
                </w:p>
              </w:tc>
              <w:tc>
                <w:tcPr>
                  <w:tcW w:w="2046" w:type="pct"/>
                  <w:vAlign w:val="center"/>
                </w:tcPr>
                <w:p>
                  <w:pPr>
                    <w:adjustRightInd w:val="0"/>
                    <w:snapToGrid w:val="0"/>
                    <w:jc w:val="center"/>
                    <w:rPr>
                      <w:bCs/>
                      <w:sz w:val="18"/>
                      <w:szCs w:val="18"/>
                    </w:rPr>
                  </w:pPr>
                  <w:r>
                    <w:rPr>
                      <w:bCs/>
                      <w:sz w:val="18"/>
                      <w:szCs w:val="18"/>
                    </w:rPr>
                    <w:t>（1）推进现有企业的转型升级，邻邮亭镇区工业、仓储用地尽量布置低污染类企业，实现与周边居住区的融合发展。</w:t>
                  </w:r>
                </w:p>
                <w:p>
                  <w:pPr>
                    <w:adjustRightInd w:val="0"/>
                    <w:snapToGrid w:val="0"/>
                    <w:jc w:val="center"/>
                    <w:rPr>
                      <w:bCs/>
                      <w:sz w:val="18"/>
                      <w:szCs w:val="18"/>
                    </w:rPr>
                  </w:pPr>
                  <w:r>
                    <w:rPr>
                      <w:bCs/>
                      <w:sz w:val="18"/>
                      <w:szCs w:val="18"/>
                    </w:rPr>
                    <w:t>（2）环境敏感点及对环境质量要求高的企业周边1km内不得新建铝熔炼（含再生铝）企业及生产装备。</w:t>
                  </w:r>
                </w:p>
                <w:p>
                  <w:pPr>
                    <w:adjustRightInd w:val="0"/>
                    <w:snapToGrid w:val="0"/>
                    <w:jc w:val="center"/>
                    <w:rPr>
                      <w:bCs/>
                      <w:sz w:val="18"/>
                      <w:szCs w:val="18"/>
                    </w:rPr>
                  </w:pPr>
                  <w:r>
                    <w:rPr>
                      <w:bCs/>
                      <w:sz w:val="18"/>
                      <w:szCs w:val="18"/>
                    </w:rPr>
                    <w:t>（3）</w:t>
                  </w:r>
                  <w:r>
                    <w:rPr>
                      <w:sz w:val="18"/>
                      <w:szCs w:val="18"/>
                    </w:rPr>
                    <w:t>区域内原则上不再新增铅排放</w:t>
                  </w:r>
                  <w:r>
                    <w:rPr>
                      <w:bCs/>
                      <w:sz w:val="18"/>
                      <w:szCs w:val="18"/>
                    </w:rPr>
                    <w:t>。禁止引入再生铝规模在5万吨/年以下规模的项目。</w:t>
                  </w:r>
                </w:p>
                <w:p>
                  <w:pPr>
                    <w:adjustRightInd w:val="0"/>
                    <w:snapToGrid w:val="0"/>
                    <w:jc w:val="center"/>
                    <w:rPr>
                      <w:bCs/>
                      <w:sz w:val="18"/>
                      <w:szCs w:val="18"/>
                    </w:rPr>
                  </w:pPr>
                  <w:r>
                    <w:rPr>
                      <w:bCs/>
                      <w:sz w:val="18"/>
                      <w:szCs w:val="18"/>
                    </w:rPr>
                    <w:t>（4）国家粮库周边1000m内不得建设有害元素的矿山、炼焦、炼油、煤气、化工、塑料、橡胶制品及加工、人造纤维、油漆、农药、化肥等有毒气体的生产单位；500m不得建设屠宰场、集中垃圾堆场、污水处理站，100m内不得建设砖瓦厂、混凝土及石膏制品厂等粉尘污染源（《粮油仓储管理办法》（2009发改委令第5号））。</w:t>
                  </w:r>
                </w:p>
                <w:p>
                  <w:pPr>
                    <w:adjustRightInd w:val="0"/>
                    <w:snapToGrid w:val="0"/>
                    <w:jc w:val="center"/>
                    <w:rPr>
                      <w:bCs/>
                      <w:sz w:val="18"/>
                      <w:szCs w:val="18"/>
                    </w:rPr>
                  </w:pPr>
                  <w:r>
                    <w:rPr>
                      <w:bCs/>
                      <w:sz w:val="18"/>
                      <w:szCs w:val="18"/>
                    </w:rPr>
                    <w:t>（5）根据《关于全面禁止进口固体废物有关事项的公告》，规划区内禁止以任何方式进口固体废物，以及倾倒、堆放、处置进口固体废物。</w:t>
                  </w:r>
                </w:p>
              </w:tc>
              <w:tc>
                <w:tcPr>
                  <w:tcW w:w="1501" w:type="pct"/>
                  <w:vAlign w:val="center"/>
                </w:tcPr>
                <w:p>
                  <w:pPr>
                    <w:adjustRightInd w:val="0"/>
                    <w:snapToGrid w:val="0"/>
                    <w:jc w:val="left"/>
                    <w:rPr>
                      <w:bCs/>
                      <w:sz w:val="18"/>
                      <w:szCs w:val="18"/>
                    </w:rPr>
                  </w:pPr>
                  <w:r>
                    <w:rPr>
                      <w:rFonts w:hint="eastAsia"/>
                      <w:bCs/>
                      <w:sz w:val="18"/>
                      <w:szCs w:val="18"/>
                    </w:rPr>
                    <w:t>（1）拟建项目位于重庆市大足区邮亭镇工业园区A7-01/01地块，为金属废料和碎屑加工处理类项目，属于工业用地。</w:t>
                  </w:r>
                </w:p>
                <w:p>
                  <w:pPr>
                    <w:adjustRightInd w:val="0"/>
                    <w:snapToGrid w:val="0"/>
                    <w:jc w:val="left"/>
                    <w:rPr>
                      <w:bCs/>
                      <w:sz w:val="18"/>
                      <w:szCs w:val="18"/>
                    </w:rPr>
                  </w:pPr>
                  <w:r>
                    <w:rPr>
                      <w:rFonts w:hint="eastAsia"/>
                      <w:bCs/>
                      <w:sz w:val="18"/>
                      <w:szCs w:val="18"/>
                    </w:rPr>
                    <w:t>（2）拟建项目不涉及</w:t>
                  </w:r>
                  <w:r>
                    <w:rPr>
                      <w:bCs/>
                      <w:sz w:val="18"/>
                      <w:szCs w:val="18"/>
                    </w:rPr>
                    <w:t>新建铝熔炼（含再生铝）企业及生产装备</w:t>
                  </w:r>
                  <w:r>
                    <w:rPr>
                      <w:rFonts w:hint="eastAsia"/>
                      <w:bCs/>
                      <w:sz w:val="18"/>
                      <w:szCs w:val="18"/>
                    </w:rPr>
                    <w:t>。</w:t>
                  </w:r>
                </w:p>
                <w:p>
                  <w:pPr>
                    <w:adjustRightInd w:val="0"/>
                    <w:snapToGrid w:val="0"/>
                    <w:jc w:val="left"/>
                    <w:rPr>
                      <w:sz w:val="18"/>
                      <w:szCs w:val="18"/>
                    </w:rPr>
                  </w:pPr>
                  <w:r>
                    <w:rPr>
                      <w:rFonts w:hint="eastAsia"/>
                      <w:bCs/>
                      <w:sz w:val="18"/>
                      <w:szCs w:val="18"/>
                    </w:rPr>
                    <w:t>（3）拟建项目</w:t>
                  </w:r>
                  <w:r>
                    <w:rPr>
                      <w:sz w:val="18"/>
                      <w:szCs w:val="18"/>
                    </w:rPr>
                    <w:t>不新增铅排放</w:t>
                  </w:r>
                  <w:r>
                    <w:rPr>
                      <w:rFonts w:hint="eastAsia"/>
                      <w:sz w:val="18"/>
                      <w:szCs w:val="18"/>
                    </w:rPr>
                    <w:t>，</w:t>
                  </w:r>
                  <w:r>
                    <w:rPr>
                      <w:sz w:val="18"/>
                      <w:szCs w:val="18"/>
                    </w:rPr>
                    <w:t>不涉及再生铝</w:t>
                  </w:r>
                  <w:r>
                    <w:rPr>
                      <w:rFonts w:hint="eastAsia"/>
                      <w:sz w:val="18"/>
                      <w:szCs w:val="18"/>
                    </w:rPr>
                    <w:t>。</w:t>
                  </w:r>
                </w:p>
                <w:p>
                  <w:pPr>
                    <w:adjustRightInd w:val="0"/>
                    <w:snapToGrid w:val="0"/>
                    <w:jc w:val="left"/>
                    <w:rPr>
                      <w:bCs/>
                      <w:sz w:val="18"/>
                      <w:szCs w:val="18"/>
                    </w:rPr>
                  </w:pPr>
                  <w:r>
                    <w:rPr>
                      <w:rFonts w:hint="eastAsia"/>
                      <w:sz w:val="18"/>
                      <w:szCs w:val="18"/>
                    </w:rPr>
                    <w:t>（4）本单位不属于</w:t>
                  </w:r>
                  <w:r>
                    <w:rPr>
                      <w:bCs/>
                      <w:sz w:val="18"/>
                      <w:szCs w:val="18"/>
                    </w:rPr>
                    <w:t>矿山、炼焦、炼油、煤气、化工、塑料、橡胶制品及加工、人造纤维、油漆、农药、化肥等有毒气体的生产单位以及屠宰场、集中垃圾堆场、污水处理站，砖瓦厂、混凝土及石膏制品厂等</w:t>
                  </w:r>
                  <w:r>
                    <w:rPr>
                      <w:rFonts w:hint="eastAsia"/>
                      <w:bCs/>
                      <w:sz w:val="18"/>
                      <w:szCs w:val="18"/>
                    </w:rPr>
                    <w:t>。</w:t>
                  </w:r>
                </w:p>
                <w:p>
                  <w:pPr>
                    <w:adjustRightInd w:val="0"/>
                    <w:snapToGrid w:val="0"/>
                    <w:jc w:val="left"/>
                    <w:rPr>
                      <w:bCs/>
                      <w:sz w:val="18"/>
                      <w:szCs w:val="18"/>
                    </w:rPr>
                  </w:pPr>
                  <w:r>
                    <w:rPr>
                      <w:rFonts w:hint="eastAsia"/>
                      <w:bCs/>
                      <w:sz w:val="18"/>
                      <w:szCs w:val="18"/>
                    </w:rPr>
                    <w:t>（5）拟建项目危险废物在厂区内暂存后交由持有相应类别危险废物经营许可证的单位处理；一般工业固废在厂区内暂存后</w:t>
                  </w:r>
                  <w:r>
                    <w:rPr>
                      <w:bCs/>
                      <w:sz w:val="18"/>
                      <w:szCs w:val="18"/>
                    </w:rPr>
                    <w:t>定期</w:t>
                  </w:r>
                  <w:r>
                    <w:rPr>
                      <w:rFonts w:hint="eastAsia"/>
                      <w:bCs/>
                      <w:sz w:val="18"/>
                      <w:szCs w:val="18"/>
                    </w:rPr>
                    <w:t>交由具有相应资质的单位利用和处置</w:t>
                  </w:r>
                  <w:r>
                    <w:rPr>
                      <w:bCs/>
                      <w:sz w:val="18"/>
                      <w:szCs w:val="18"/>
                    </w:rPr>
                    <w:t>。</w:t>
                  </w:r>
                </w:p>
                <w:p>
                  <w:pPr>
                    <w:adjustRightInd w:val="0"/>
                    <w:snapToGrid w:val="0"/>
                    <w:jc w:val="left"/>
                    <w:rPr>
                      <w:bCs/>
                      <w:sz w:val="18"/>
                      <w:szCs w:val="18"/>
                    </w:rPr>
                  </w:pPr>
                  <w:r>
                    <w:rPr>
                      <w:rFonts w:hint="eastAsia"/>
                      <w:bCs/>
                      <w:sz w:val="18"/>
                      <w:szCs w:val="18"/>
                    </w:rPr>
                    <w:t>符合上述管控要求。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30" w:type="pct"/>
                  <w:vMerge w:val="continue"/>
                  <w:vAlign w:val="center"/>
                </w:tcPr>
                <w:p>
                  <w:pPr>
                    <w:widowControl/>
                    <w:adjustRightInd w:val="0"/>
                    <w:snapToGrid w:val="0"/>
                    <w:jc w:val="center"/>
                    <w:rPr>
                      <w:bCs/>
                      <w:sz w:val="18"/>
                      <w:szCs w:val="18"/>
                      <w:lang w:bidi="en-US"/>
                    </w:rPr>
                  </w:pPr>
                </w:p>
              </w:tc>
              <w:tc>
                <w:tcPr>
                  <w:tcW w:w="409" w:type="pct"/>
                  <w:vMerge w:val="continue"/>
                  <w:vAlign w:val="center"/>
                </w:tcPr>
                <w:p>
                  <w:pPr>
                    <w:widowControl/>
                    <w:adjustRightInd w:val="0"/>
                    <w:snapToGrid w:val="0"/>
                    <w:jc w:val="center"/>
                    <w:rPr>
                      <w:bCs/>
                      <w:sz w:val="18"/>
                      <w:szCs w:val="18"/>
                      <w:lang w:bidi="en-US"/>
                    </w:rPr>
                  </w:pPr>
                </w:p>
              </w:tc>
              <w:tc>
                <w:tcPr>
                  <w:tcW w:w="613" w:type="pct"/>
                  <w:vAlign w:val="center"/>
                </w:tcPr>
                <w:p>
                  <w:pPr>
                    <w:adjustRightInd w:val="0"/>
                    <w:snapToGrid w:val="0"/>
                    <w:jc w:val="center"/>
                    <w:rPr>
                      <w:bCs/>
                      <w:sz w:val="18"/>
                      <w:szCs w:val="18"/>
                      <w:lang w:bidi="en-US"/>
                    </w:rPr>
                  </w:pPr>
                  <w:r>
                    <w:rPr>
                      <w:bCs/>
                      <w:sz w:val="18"/>
                      <w:szCs w:val="18"/>
                      <w:lang w:bidi="en-US"/>
                    </w:rPr>
                    <w:t>污染物排放管控</w:t>
                  </w:r>
                </w:p>
              </w:tc>
              <w:tc>
                <w:tcPr>
                  <w:tcW w:w="2046" w:type="pct"/>
                  <w:vAlign w:val="center"/>
                </w:tcPr>
                <w:p>
                  <w:pPr>
                    <w:adjustRightInd w:val="0"/>
                    <w:snapToGrid w:val="0"/>
                    <w:jc w:val="center"/>
                    <w:rPr>
                      <w:bCs/>
                      <w:sz w:val="18"/>
                      <w:szCs w:val="18"/>
                    </w:rPr>
                  </w:pPr>
                  <w:r>
                    <w:rPr>
                      <w:bCs/>
                      <w:sz w:val="18"/>
                      <w:szCs w:val="18"/>
                    </w:rPr>
                    <w:t>（1）严格执行施工工地扬尘控制规范，落实十项强制规定。</w:t>
                  </w:r>
                </w:p>
                <w:p>
                  <w:pPr>
                    <w:adjustRightInd w:val="0"/>
                    <w:snapToGrid w:val="0"/>
                    <w:jc w:val="center"/>
                    <w:rPr>
                      <w:bCs/>
                      <w:sz w:val="18"/>
                      <w:szCs w:val="18"/>
                    </w:rPr>
                  </w:pPr>
                  <w:r>
                    <w:rPr>
                      <w:bCs/>
                      <w:sz w:val="18"/>
                      <w:szCs w:val="18"/>
                    </w:rPr>
                    <w:t>（2）现状涉VOCs企业应根据重庆市十三五挥发性有机污染治理方案等要求，强化治理措施，满足区域环境质量改善的目的。</w:t>
                  </w:r>
                </w:p>
                <w:p>
                  <w:pPr>
                    <w:adjustRightInd w:val="0"/>
                    <w:snapToGrid w:val="0"/>
                    <w:jc w:val="center"/>
                    <w:rPr>
                      <w:bCs/>
                      <w:sz w:val="18"/>
                      <w:szCs w:val="18"/>
                    </w:rPr>
                  </w:pPr>
                  <w:r>
                    <w:rPr>
                      <w:bCs/>
                      <w:sz w:val="18"/>
                      <w:szCs w:val="18"/>
                    </w:rPr>
                    <w:t>（3）严格控制重金属（铅、汞、镉、铬、砷）污染物排放增量，坚持重金属新增产能与淘汰产能“等量置换”或“减量置换”原则。</w:t>
                  </w:r>
                </w:p>
                <w:p>
                  <w:pPr>
                    <w:adjustRightInd w:val="0"/>
                    <w:snapToGrid w:val="0"/>
                    <w:jc w:val="center"/>
                    <w:rPr>
                      <w:bCs/>
                      <w:sz w:val="18"/>
                      <w:szCs w:val="18"/>
                    </w:rPr>
                  </w:pPr>
                  <w:r>
                    <w:rPr>
                      <w:bCs/>
                      <w:sz w:val="18"/>
                      <w:szCs w:val="18"/>
                    </w:rPr>
                    <w:t>（4）严格管控园区内废气无组织排放。入驻企业涉及粉料、块料等易产生无组织扬尘的存放场所，原则上应采取密闭、覆盖、洒水抑尘等措施，不得直接露天堆放。涉及有机废气排放的工业企业，应加大有机废气收集效率。表面处理加工园内企业车间废气应进一步提高收集效率。</w:t>
                  </w:r>
                </w:p>
                <w:p>
                  <w:pPr>
                    <w:adjustRightInd w:val="0"/>
                    <w:snapToGrid w:val="0"/>
                    <w:jc w:val="center"/>
                    <w:rPr>
                      <w:bCs/>
                      <w:sz w:val="18"/>
                      <w:szCs w:val="18"/>
                    </w:rPr>
                  </w:pPr>
                  <w:r>
                    <w:rPr>
                      <w:bCs/>
                      <w:sz w:val="18"/>
                      <w:szCs w:val="18"/>
                    </w:rPr>
                    <w:t>（5）其他非重金属污染物总量应根据《重庆市环境保护局关于印发重庆市工业企业排污权有偿使用和交易工作实施细则的通知》（渝环[2017]249号）等相关文件要求落实总量来源。</w:t>
                  </w:r>
                </w:p>
              </w:tc>
              <w:tc>
                <w:tcPr>
                  <w:tcW w:w="1501" w:type="pct"/>
                  <w:vAlign w:val="center"/>
                </w:tcPr>
                <w:p>
                  <w:pPr>
                    <w:adjustRightInd w:val="0"/>
                    <w:snapToGrid w:val="0"/>
                    <w:jc w:val="left"/>
                    <w:rPr>
                      <w:bCs/>
                      <w:sz w:val="18"/>
                      <w:szCs w:val="18"/>
                    </w:rPr>
                  </w:pPr>
                  <w:r>
                    <w:rPr>
                      <w:rFonts w:hint="eastAsia"/>
                      <w:bCs/>
                      <w:sz w:val="18"/>
                      <w:szCs w:val="18"/>
                    </w:rPr>
                    <w:t>（1）拟建项目</w:t>
                  </w:r>
                  <w:r>
                    <w:rPr>
                      <w:bCs/>
                      <w:sz w:val="18"/>
                      <w:szCs w:val="18"/>
                    </w:rPr>
                    <w:t>施工工地扬尘</w:t>
                  </w:r>
                  <w:r>
                    <w:rPr>
                      <w:rFonts w:hint="eastAsia"/>
                      <w:bCs/>
                      <w:sz w:val="18"/>
                      <w:szCs w:val="18"/>
                    </w:rPr>
                    <w:t>采取</w:t>
                  </w:r>
                  <w:r>
                    <w:rPr>
                      <w:bCs/>
                      <w:sz w:val="18"/>
                      <w:szCs w:val="18"/>
                    </w:rPr>
                    <w:t>洒水等措施降低其污染。</w:t>
                  </w:r>
                </w:p>
                <w:p>
                  <w:pPr>
                    <w:adjustRightInd w:val="0"/>
                    <w:snapToGrid w:val="0"/>
                    <w:jc w:val="left"/>
                    <w:rPr>
                      <w:bCs/>
                      <w:sz w:val="18"/>
                      <w:szCs w:val="18"/>
                    </w:rPr>
                  </w:pPr>
                  <w:r>
                    <w:rPr>
                      <w:rFonts w:hint="eastAsia"/>
                      <w:bCs/>
                      <w:sz w:val="18"/>
                      <w:szCs w:val="18"/>
                    </w:rPr>
                    <w:t>（2）拟建项目含VOCs废气经集气罩收集（收集效率80%）后经二级活性炭吸附处理（处理效率55%）后气经高15m、内径0.4m的DA001排气筒排放。</w:t>
                  </w:r>
                </w:p>
                <w:p>
                  <w:pPr>
                    <w:adjustRightInd w:val="0"/>
                    <w:snapToGrid w:val="0"/>
                    <w:jc w:val="left"/>
                    <w:rPr>
                      <w:bCs/>
                      <w:sz w:val="18"/>
                      <w:szCs w:val="18"/>
                    </w:rPr>
                  </w:pPr>
                  <w:r>
                    <w:rPr>
                      <w:rFonts w:hint="eastAsia"/>
                      <w:bCs/>
                      <w:sz w:val="18"/>
                      <w:szCs w:val="18"/>
                    </w:rPr>
                    <w:t>（3）拟建项目不涉及重金属排放。</w:t>
                  </w:r>
                </w:p>
                <w:p>
                  <w:pPr>
                    <w:adjustRightInd w:val="0"/>
                    <w:snapToGrid w:val="0"/>
                    <w:jc w:val="left"/>
                    <w:rPr>
                      <w:bCs/>
                      <w:sz w:val="18"/>
                      <w:szCs w:val="18"/>
                    </w:rPr>
                  </w:pPr>
                  <w:r>
                    <w:rPr>
                      <w:rFonts w:hint="eastAsia"/>
                      <w:bCs/>
                      <w:sz w:val="18"/>
                      <w:szCs w:val="18"/>
                    </w:rPr>
                    <w:t>（4）拟建项目不涉及粉料、块料存放。有机废气经集气罩收集（收集效率80%）后经二级活性炭吸附处理（处理效率55%）后气经高15m、内径0.4m的DA001排气筒排放。</w:t>
                  </w:r>
                </w:p>
                <w:p>
                  <w:pPr>
                    <w:adjustRightInd w:val="0"/>
                    <w:snapToGrid w:val="0"/>
                    <w:jc w:val="left"/>
                    <w:rPr>
                      <w:bCs/>
                      <w:sz w:val="18"/>
                      <w:szCs w:val="18"/>
                    </w:rPr>
                  </w:pPr>
                  <w:r>
                    <w:rPr>
                      <w:rFonts w:hint="eastAsia"/>
                      <w:bCs/>
                      <w:sz w:val="18"/>
                      <w:szCs w:val="18"/>
                    </w:rPr>
                    <w:t>（5）拟建项目总量：按要求取得</w:t>
                  </w:r>
                  <w:r>
                    <w:rPr>
                      <w:rFonts w:hint="eastAsia"/>
                      <w:sz w:val="18"/>
                      <w:szCs w:val="18"/>
                    </w:rPr>
                    <w:t>。</w:t>
                  </w:r>
                </w:p>
                <w:p>
                  <w:pPr>
                    <w:adjustRightInd w:val="0"/>
                    <w:snapToGrid w:val="0"/>
                    <w:jc w:val="left"/>
                    <w:rPr>
                      <w:bCs/>
                      <w:sz w:val="18"/>
                      <w:szCs w:val="18"/>
                    </w:rPr>
                  </w:pPr>
                  <w:r>
                    <w:rPr>
                      <w:rFonts w:hint="eastAsia"/>
                      <w:bCs/>
                      <w:sz w:val="18"/>
                      <w:szCs w:val="18"/>
                    </w:rPr>
                    <w:t>符合上述管控要求。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30" w:type="pct"/>
                  <w:vMerge w:val="continue"/>
                  <w:vAlign w:val="center"/>
                </w:tcPr>
                <w:p>
                  <w:pPr>
                    <w:widowControl/>
                    <w:adjustRightInd w:val="0"/>
                    <w:snapToGrid w:val="0"/>
                    <w:jc w:val="center"/>
                    <w:rPr>
                      <w:bCs/>
                      <w:sz w:val="18"/>
                      <w:szCs w:val="18"/>
                      <w:lang w:bidi="en-US"/>
                    </w:rPr>
                  </w:pPr>
                </w:p>
              </w:tc>
              <w:tc>
                <w:tcPr>
                  <w:tcW w:w="409" w:type="pct"/>
                  <w:vMerge w:val="continue"/>
                  <w:vAlign w:val="center"/>
                </w:tcPr>
                <w:p>
                  <w:pPr>
                    <w:widowControl/>
                    <w:adjustRightInd w:val="0"/>
                    <w:snapToGrid w:val="0"/>
                    <w:jc w:val="center"/>
                    <w:rPr>
                      <w:bCs/>
                      <w:sz w:val="18"/>
                      <w:szCs w:val="18"/>
                      <w:lang w:bidi="en-US"/>
                    </w:rPr>
                  </w:pPr>
                </w:p>
              </w:tc>
              <w:tc>
                <w:tcPr>
                  <w:tcW w:w="613" w:type="pct"/>
                  <w:vAlign w:val="center"/>
                </w:tcPr>
                <w:p>
                  <w:pPr>
                    <w:adjustRightInd w:val="0"/>
                    <w:snapToGrid w:val="0"/>
                    <w:jc w:val="center"/>
                    <w:rPr>
                      <w:bCs/>
                      <w:sz w:val="18"/>
                      <w:szCs w:val="18"/>
                      <w:lang w:bidi="en-US"/>
                    </w:rPr>
                  </w:pPr>
                  <w:r>
                    <w:rPr>
                      <w:bCs/>
                      <w:sz w:val="18"/>
                      <w:szCs w:val="18"/>
                      <w:lang w:bidi="en-US"/>
                    </w:rPr>
                    <w:t>资源开发效率要求</w:t>
                  </w:r>
                </w:p>
              </w:tc>
              <w:tc>
                <w:tcPr>
                  <w:tcW w:w="2046" w:type="pct"/>
                  <w:vAlign w:val="center"/>
                </w:tcPr>
                <w:p>
                  <w:pPr>
                    <w:adjustRightInd w:val="0"/>
                    <w:snapToGrid w:val="0"/>
                    <w:jc w:val="center"/>
                    <w:rPr>
                      <w:bCs/>
                      <w:sz w:val="18"/>
                      <w:szCs w:val="18"/>
                    </w:rPr>
                  </w:pPr>
                  <w:r>
                    <w:rPr>
                      <w:bCs/>
                      <w:sz w:val="18"/>
                      <w:szCs w:val="18"/>
                    </w:rPr>
                    <w:t>（1）严格限制印染、造纸等高耗水的工业项目。</w:t>
                  </w:r>
                </w:p>
              </w:tc>
              <w:tc>
                <w:tcPr>
                  <w:tcW w:w="1501" w:type="pct"/>
                  <w:vAlign w:val="center"/>
                </w:tcPr>
                <w:p>
                  <w:pPr>
                    <w:adjustRightInd w:val="0"/>
                    <w:snapToGrid w:val="0"/>
                    <w:jc w:val="center"/>
                    <w:rPr>
                      <w:bCs/>
                      <w:sz w:val="18"/>
                      <w:szCs w:val="18"/>
                    </w:rPr>
                  </w:pPr>
                  <w:r>
                    <w:rPr>
                      <w:bCs/>
                      <w:sz w:val="18"/>
                      <w:szCs w:val="18"/>
                    </w:rPr>
                    <w:t>拟建项目不属于印染、造纸等高耗水的工业项目</w:t>
                  </w:r>
                  <w:r>
                    <w:rPr>
                      <w:rFonts w:hint="eastAsia"/>
                      <w:bCs/>
                      <w:sz w:val="18"/>
                      <w:szCs w:val="18"/>
                    </w:rPr>
                    <w:t>。</w:t>
                  </w:r>
                </w:p>
                <w:p>
                  <w:pPr>
                    <w:adjustRightInd w:val="0"/>
                    <w:snapToGrid w:val="0"/>
                    <w:jc w:val="center"/>
                    <w:rPr>
                      <w:bCs/>
                      <w:sz w:val="18"/>
                      <w:szCs w:val="18"/>
                    </w:rPr>
                  </w:pPr>
                  <w:r>
                    <w:rPr>
                      <w:rFonts w:hint="eastAsia"/>
                      <w:bCs/>
                      <w:sz w:val="18"/>
                      <w:szCs w:val="18"/>
                    </w:rPr>
                    <w:t>符合上述管控要求。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430" w:type="pct"/>
                  <w:vMerge w:val="continue"/>
                  <w:vAlign w:val="center"/>
                </w:tcPr>
                <w:p>
                  <w:pPr>
                    <w:widowControl/>
                    <w:adjustRightInd w:val="0"/>
                    <w:snapToGrid w:val="0"/>
                    <w:jc w:val="center"/>
                    <w:rPr>
                      <w:bCs/>
                      <w:sz w:val="18"/>
                      <w:szCs w:val="18"/>
                      <w:lang w:bidi="en-US"/>
                    </w:rPr>
                  </w:pPr>
                </w:p>
              </w:tc>
              <w:tc>
                <w:tcPr>
                  <w:tcW w:w="409" w:type="pct"/>
                  <w:vMerge w:val="continue"/>
                  <w:vAlign w:val="center"/>
                </w:tcPr>
                <w:p>
                  <w:pPr>
                    <w:widowControl/>
                    <w:adjustRightInd w:val="0"/>
                    <w:snapToGrid w:val="0"/>
                    <w:jc w:val="center"/>
                    <w:rPr>
                      <w:bCs/>
                      <w:sz w:val="18"/>
                      <w:szCs w:val="18"/>
                      <w:lang w:bidi="en-US"/>
                    </w:rPr>
                  </w:pPr>
                </w:p>
              </w:tc>
              <w:tc>
                <w:tcPr>
                  <w:tcW w:w="613" w:type="pct"/>
                  <w:vAlign w:val="center"/>
                </w:tcPr>
                <w:p>
                  <w:pPr>
                    <w:adjustRightInd w:val="0"/>
                    <w:snapToGrid w:val="0"/>
                    <w:jc w:val="center"/>
                    <w:rPr>
                      <w:bCs/>
                      <w:sz w:val="18"/>
                      <w:szCs w:val="18"/>
                      <w:lang w:bidi="en-US"/>
                    </w:rPr>
                  </w:pPr>
                  <w:r>
                    <w:rPr>
                      <w:bCs/>
                      <w:sz w:val="18"/>
                      <w:szCs w:val="18"/>
                      <w:lang w:bidi="en-US"/>
                    </w:rPr>
                    <w:t>环境风险防控</w:t>
                  </w:r>
                </w:p>
              </w:tc>
              <w:tc>
                <w:tcPr>
                  <w:tcW w:w="2046" w:type="pct"/>
                  <w:vAlign w:val="center"/>
                </w:tcPr>
                <w:p>
                  <w:pPr>
                    <w:adjustRightInd w:val="0"/>
                    <w:snapToGrid w:val="0"/>
                    <w:jc w:val="center"/>
                    <w:rPr>
                      <w:bCs/>
                      <w:sz w:val="18"/>
                      <w:szCs w:val="18"/>
                    </w:rPr>
                  </w:pPr>
                  <w:r>
                    <w:rPr>
                      <w:bCs/>
                      <w:sz w:val="18"/>
                      <w:szCs w:val="18"/>
                    </w:rPr>
                    <w:t>（1）强化水环境风险管控，以区域内电镀集中加工区和涉铅企业为重点，持续完善“装置-企业-园区”三级环境风险管控体系，避免事故废水进入区域内水库及苦水河。</w:t>
                  </w:r>
                </w:p>
                <w:p>
                  <w:pPr>
                    <w:adjustRightInd w:val="0"/>
                    <w:snapToGrid w:val="0"/>
                    <w:jc w:val="center"/>
                    <w:rPr>
                      <w:bCs/>
                      <w:sz w:val="18"/>
                      <w:szCs w:val="18"/>
                    </w:rPr>
                  </w:pPr>
                  <w:r>
                    <w:rPr>
                      <w:bCs/>
                      <w:sz w:val="18"/>
                      <w:szCs w:val="18"/>
                    </w:rPr>
                    <w:t>（2）园区内入驻工业企业应避免有毒有害原料的使用，确需使用应重点论证工艺必要性以及相应的污染物治理以及风险防范措施。</w:t>
                  </w:r>
                </w:p>
              </w:tc>
              <w:tc>
                <w:tcPr>
                  <w:tcW w:w="1501" w:type="pct"/>
                  <w:vAlign w:val="center"/>
                </w:tcPr>
                <w:p>
                  <w:pPr>
                    <w:adjustRightInd w:val="0"/>
                    <w:snapToGrid w:val="0"/>
                    <w:jc w:val="center"/>
                    <w:rPr>
                      <w:sz w:val="18"/>
                      <w:szCs w:val="18"/>
                    </w:rPr>
                  </w:pPr>
                  <w:r>
                    <w:rPr>
                      <w:rFonts w:hint="eastAsia"/>
                      <w:bCs/>
                      <w:sz w:val="18"/>
                      <w:szCs w:val="18"/>
                    </w:rPr>
                    <w:t>（1）</w:t>
                  </w:r>
                  <w:r>
                    <w:rPr>
                      <w:rFonts w:hint="eastAsia"/>
                      <w:sz w:val="18"/>
                      <w:szCs w:val="18"/>
                    </w:rPr>
                    <w:t>拟建项目开展环境影响评价工作，并建立环境风险防控体系，进行分区防渗，危险废物贮存区应设置液体导流和收集装置，地面应无液体积聚。柴油、润滑油、液压油包装桶装存放于原辅料库房，下设托盘。在厂区内设置</w:t>
                  </w:r>
                  <w:r>
                    <w:rPr>
                      <w:sz w:val="18"/>
                      <w:szCs w:val="18"/>
                    </w:rPr>
                    <w:t>55</w:t>
                  </w:r>
                  <w:r>
                    <w:rPr>
                      <w:rFonts w:hint="eastAsia"/>
                      <w:sz w:val="18"/>
                      <w:szCs w:val="18"/>
                    </w:rPr>
                    <w:t>0m</w:t>
                  </w:r>
                  <w:r>
                    <w:rPr>
                      <w:sz w:val="18"/>
                      <w:szCs w:val="18"/>
                      <w:vertAlign w:val="superscript"/>
                    </w:rPr>
                    <w:t>3</w:t>
                  </w:r>
                  <w:r>
                    <w:rPr>
                      <w:rFonts w:hint="eastAsia"/>
                      <w:sz w:val="18"/>
                      <w:szCs w:val="18"/>
                    </w:rPr>
                    <w:t>的事故池。</w:t>
                  </w:r>
                </w:p>
                <w:p>
                  <w:pPr>
                    <w:adjustRightInd w:val="0"/>
                    <w:snapToGrid w:val="0"/>
                    <w:jc w:val="center"/>
                    <w:rPr>
                      <w:sz w:val="18"/>
                      <w:szCs w:val="18"/>
                    </w:rPr>
                  </w:pPr>
                  <w:r>
                    <w:rPr>
                      <w:rFonts w:hint="eastAsia"/>
                      <w:sz w:val="18"/>
                      <w:szCs w:val="18"/>
                    </w:rPr>
                    <w:t>（2）拟建项目不涉及</w:t>
                  </w:r>
                  <w:r>
                    <w:rPr>
                      <w:bCs/>
                      <w:sz w:val="18"/>
                      <w:szCs w:val="18"/>
                    </w:rPr>
                    <w:t>有毒有害原料的使用</w:t>
                  </w:r>
                  <w:r>
                    <w:rPr>
                      <w:rFonts w:hint="eastAsia"/>
                      <w:bCs/>
                      <w:sz w:val="18"/>
                      <w:szCs w:val="18"/>
                    </w:rPr>
                    <w:t>。</w:t>
                  </w:r>
                </w:p>
                <w:p>
                  <w:pPr>
                    <w:adjustRightInd w:val="0"/>
                    <w:snapToGrid w:val="0"/>
                    <w:jc w:val="center"/>
                    <w:rPr>
                      <w:bCs/>
                      <w:sz w:val="18"/>
                      <w:szCs w:val="18"/>
                    </w:rPr>
                  </w:pPr>
                  <w:r>
                    <w:rPr>
                      <w:rFonts w:hint="eastAsia"/>
                      <w:bCs/>
                      <w:sz w:val="18"/>
                      <w:szCs w:val="18"/>
                    </w:rPr>
                    <w:t>符合上述管控要求。</w:t>
                  </w:r>
                </w:p>
              </w:tc>
            </w:tr>
          </w:tbl>
          <w:p>
            <w:pPr>
              <w:autoSpaceDE w:val="0"/>
              <w:autoSpaceDN w:val="0"/>
              <w:adjustRightInd w:val="0"/>
              <w:snapToGrid w:val="0"/>
              <w:spacing w:line="480" w:lineRule="exact"/>
              <w:ind w:firstLine="480" w:firstLineChars="200"/>
              <w:rPr>
                <w:bCs/>
                <w:sz w:val="24"/>
              </w:rPr>
            </w:pPr>
            <w:r>
              <w:rPr>
                <w:bCs/>
                <w:sz w:val="24"/>
              </w:rPr>
              <w:t>拟建项目为</w:t>
            </w:r>
            <w:r>
              <w:rPr>
                <w:rFonts w:hint="eastAsia"/>
                <w:bCs/>
                <w:sz w:val="24"/>
              </w:rPr>
              <w:t>金属废料和碎屑加工处理类项目</w:t>
            </w:r>
            <w:r>
              <w:rPr>
                <w:bCs/>
                <w:sz w:val="24"/>
              </w:rPr>
              <w:t>，</w:t>
            </w:r>
            <w:r>
              <w:rPr>
                <w:rFonts w:hint="eastAsia"/>
                <w:bCs/>
                <w:sz w:val="24"/>
              </w:rPr>
              <w:t>位于重庆市大足区邮亭镇工业园区A7-01/01地块，符合邮亭A区产业定位，为《产业结构调整指导目录（2019年本）》中允许类项目，符合</w:t>
            </w:r>
            <w:r>
              <w:rPr>
                <w:bCs/>
                <w:sz w:val="24"/>
              </w:rPr>
              <w:t>《</w:t>
            </w:r>
            <w:r>
              <w:rPr>
                <w:rFonts w:hint="eastAsia"/>
                <w:kern w:val="0"/>
                <w:sz w:val="24"/>
              </w:rPr>
              <w:t>重庆市环境保护局关重庆市双桥经济技术开发区邮亭片区A区控制性详细规划环境影响跟踪评价报告书</w:t>
            </w:r>
            <w:r>
              <w:rPr>
                <w:bCs/>
                <w:sz w:val="24"/>
              </w:rPr>
              <w:t>》</w:t>
            </w:r>
            <w:r>
              <w:rPr>
                <w:rFonts w:hint="eastAsia"/>
                <w:bCs/>
                <w:sz w:val="24"/>
              </w:rPr>
              <w:t>中对入驻企业的要求。</w:t>
            </w:r>
          </w:p>
          <w:p>
            <w:pPr>
              <w:autoSpaceDE w:val="0"/>
              <w:autoSpaceDN w:val="0"/>
              <w:adjustRightInd w:val="0"/>
              <w:snapToGrid w:val="0"/>
              <w:spacing w:line="480" w:lineRule="exact"/>
              <w:ind w:firstLine="480" w:firstLineChars="200"/>
              <w:rPr>
                <w:bCs/>
                <w:sz w:val="24"/>
              </w:rPr>
            </w:pPr>
            <w:r>
              <w:rPr>
                <w:bCs/>
                <w:sz w:val="24"/>
              </w:rPr>
              <w:t>（3）与规划环评审查意见符合性分析</w:t>
            </w:r>
          </w:p>
          <w:p>
            <w:pPr>
              <w:autoSpaceDE w:val="0"/>
              <w:autoSpaceDN w:val="0"/>
              <w:adjustRightInd w:val="0"/>
              <w:snapToGrid w:val="0"/>
              <w:spacing w:line="480" w:lineRule="exact"/>
              <w:ind w:firstLine="480" w:firstLineChars="200"/>
              <w:rPr>
                <w:bCs/>
                <w:sz w:val="24"/>
              </w:rPr>
            </w:pPr>
            <w:r>
              <w:rPr>
                <w:bCs/>
                <w:sz w:val="24"/>
              </w:rPr>
              <w:t>拟建项目与</w:t>
            </w:r>
            <w:r>
              <w:rPr>
                <w:rFonts w:hint="eastAsia"/>
                <w:bCs/>
                <w:sz w:val="24"/>
              </w:rPr>
              <w:t>规划环评审查意见</w:t>
            </w:r>
            <w:r>
              <w:rPr>
                <w:bCs/>
                <w:sz w:val="24"/>
              </w:rPr>
              <w:t>符合性分析如下表所示：</w:t>
            </w:r>
          </w:p>
          <w:p>
            <w:pPr>
              <w:pStyle w:val="45"/>
              <w:spacing w:before="0" w:afterLines="0" w:line="360" w:lineRule="auto"/>
              <w:rPr>
                <w:rFonts w:ascii="Times New Roman" w:hAnsi="Times New Roman"/>
                <w:szCs w:val="21"/>
              </w:rPr>
            </w:pPr>
            <w:r>
              <w:rPr>
                <w:rFonts w:ascii="Times New Roman" w:hAnsi="Times New Roman"/>
                <w:kern w:val="21"/>
                <w:szCs w:val="21"/>
              </w:rPr>
              <w:t>表1.1-</w:t>
            </w:r>
            <w:r>
              <w:rPr>
                <w:rFonts w:hint="eastAsia" w:ascii="Times New Roman" w:hAnsi="Times New Roman"/>
                <w:kern w:val="21"/>
                <w:szCs w:val="21"/>
              </w:rPr>
              <w:t>2</w:t>
            </w:r>
            <w:r>
              <w:rPr>
                <w:rFonts w:ascii="Times New Roman" w:hAnsi="Times New Roman"/>
                <w:kern w:val="21"/>
                <w:szCs w:val="21"/>
              </w:rPr>
              <w:t xml:space="preserve">  拟建项目与规划环评审查函符合性分析一览表</w:t>
            </w:r>
            <w:r>
              <w:rPr>
                <w:rFonts w:ascii="Times New Roman" w:hAnsi="Times New Roman"/>
                <w:szCs w:val="21"/>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2834"/>
              <w:gridCol w:w="2383"/>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bCs/>
                      <w:sz w:val="18"/>
                      <w:szCs w:val="18"/>
                    </w:rPr>
                    <w:t>类别</w:t>
                  </w:r>
                </w:p>
              </w:tc>
              <w:tc>
                <w:tcPr>
                  <w:tcW w:w="2045" w:type="pct"/>
                  <w:shd w:val="clear" w:color="auto" w:fill="auto"/>
                  <w:vAlign w:val="center"/>
                </w:tcPr>
                <w:p>
                  <w:pPr>
                    <w:pStyle w:val="57"/>
                    <w:spacing w:line="240" w:lineRule="exact"/>
                    <w:rPr>
                      <w:bCs/>
                      <w:sz w:val="18"/>
                      <w:szCs w:val="18"/>
                    </w:rPr>
                  </w:pPr>
                  <w:r>
                    <w:rPr>
                      <w:bCs/>
                      <w:sz w:val="18"/>
                      <w:szCs w:val="18"/>
                    </w:rPr>
                    <w:t>相关要求</w:t>
                  </w:r>
                </w:p>
              </w:tc>
              <w:tc>
                <w:tcPr>
                  <w:tcW w:w="1719" w:type="pct"/>
                  <w:shd w:val="clear" w:color="auto" w:fill="auto"/>
                  <w:vAlign w:val="center"/>
                </w:tcPr>
                <w:p>
                  <w:pPr>
                    <w:pStyle w:val="57"/>
                    <w:spacing w:line="240" w:lineRule="exact"/>
                    <w:rPr>
                      <w:bCs/>
                      <w:sz w:val="18"/>
                      <w:szCs w:val="18"/>
                    </w:rPr>
                  </w:pPr>
                  <w:r>
                    <w:rPr>
                      <w:bCs/>
                      <w:sz w:val="18"/>
                      <w:szCs w:val="18"/>
                    </w:rPr>
                    <w:t>拟建项目情况</w:t>
                  </w:r>
                </w:p>
              </w:tc>
              <w:tc>
                <w:tcPr>
                  <w:tcW w:w="499" w:type="pct"/>
                  <w:shd w:val="clear" w:color="auto" w:fill="auto"/>
                  <w:vAlign w:val="center"/>
                </w:tcPr>
                <w:p>
                  <w:pPr>
                    <w:pStyle w:val="57"/>
                    <w:spacing w:line="240" w:lineRule="exact"/>
                    <w:rPr>
                      <w:bCs/>
                      <w:sz w:val="18"/>
                      <w:szCs w:val="18"/>
                    </w:rPr>
                  </w:pPr>
                  <w:r>
                    <w:rPr>
                      <w:bCs/>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（1）严格执行生态环境准入清单</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严格落实《报告书》制定的环境准入清单要求，优先引进工艺装备先进、资源利用率高、低耗水的项目，清洁生产水平不应低于国内先进水平。涉铬、铅等重金属重点行业的项目，环评文件审批前应获得本市、区行政区域内明确具体的重金属污染物排放总量来源。</w:t>
                  </w:r>
                </w:p>
              </w:tc>
              <w:tc>
                <w:tcPr>
                  <w:tcW w:w="1719"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拟建项目位于重庆市大足区邮亭镇工业园区A7-01/01地块，为金属废料和碎屑加工处理类项目，清洁生产水平不低于国内先进水平。不涉及涉铬、铅等重金属。</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（2）加强大气污染防治。</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优化能源结构，严格落实清洁能源计划，新建项目禁止使用燃煤等高污染燃料;采取先进工艺，改进能源利用技术，提高能源综合利用效率，从源头减少和控制温室气体排放。</w:t>
                  </w:r>
                </w:p>
                <w:p>
                  <w:pPr>
                    <w:pStyle w:val="57"/>
                    <w:spacing w:line="240" w:lineRule="exact"/>
                    <w:ind w:firstLine="360" w:firstLineChars="200"/>
                    <w:jc w:val="both"/>
                    <w:rPr>
                      <w:bCs/>
                      <w:sz w:val="18"/>
                      <w:szCs w:val="18"/>
                    </w:rPr>
                  </w:pPr>
                  <w:r>
                    <w:rPr>
                      <w:rFonts w:hint="eastAsia"/>
                      <w:bCs/>
                      <w:sz w:val="18"/>
                      <w:szCs w:val="18"/>
                    </w:rPr>
                    <w:t>工业企业加强管理，入区企业应采用清洁生产工艺，采取先进的污染治理设施，减少工艺废气排放，处理后废气排放必须达到相应的国家或地方排放标准;严格控制废气的无组织排放，降低工业企业废气污染物无组织排放对周围环境的影响;严格挥发性有机物污染防治，产生挥发性有机物的企业废气收集和处理须满足《“十三五”挥发性有机物污染物防治工作方案》《重点行业挥发性有机物综合治理方案》《挥发性有机物无组织排放控制标准》等相关要求。建设项目环评阶段结合企业的布局、规模、产排污等实际情况确定合理的大气环境防护区域，环境防护距离原则上应优化控制在园区边界或用地红线以内。</w:t>
                  </w:r>
                </w:p>
              </w:tc>
              <w:tc>
                <w:tcPr>
                  <w:tcW w:w="1719"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拟建项目不使用燃煤等高污染燃料;采取先进工艺。采用清洁生产工艺。</w:t>
                  </w:r>
                </w:p>
                <w:p>
                  <w:pPr>
                    <w:adjustRightInd w:val="0"/>
                    <w:snapToGrid w:val="0"/>
                    <w:spacing w:line="240" w:lineRule="exact"/>
                    <w:jc w:val="left"/>
                    <w:rPr>
                      <w:rFonts w:hAnsi="宋体"/>
                      <w:sz w:val="18"/>
                      <w:szCs w:val="18"/>
                    </w:rPr>
                  </w:pPr>
                  <w:r>
                    <w:rPr>
                      <w:rFonts w:hint="eastAsia" w:hAnsi="宋体"/>
                      <w:sz w:val="18"/>
                      <w:szCs w:val="18"/>
                    </w:rPr>
                    <w:t>油液挥发废气经集气罩收集（收集效率80%）后经二级活性炭吸附处理（处理效率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m的DA001排气筒排放。切割废气经集气罩收集（收集效率80%）后经布袋除尘器处理（颗粒物处理效率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5</w:t>
                  </w:r>
                  <w:r>
                    <w:rPr>
                      <w:rFonts w:hint="eastAsia" w:hAnsi="宋体"/>
                      <w:sz w:val="18"/>
                      <w:szCs w:val="18"/>
                    </w:rPr>
                    <w:t>m的DA00</w:t>
                  </w:r>
                  <w:r>
                    <w:rPr>
                      <w:rFonts w:hAnsi="宋体"/>
                      <w:sz w:val="18"/>
                      <w:szCs w:val="18"/>
                    </w:rPr>
                    <w:t>2</w:t>
                  </w:r>
                  <w:r>
                    <w:rPr>
                      <w:rFonts w:hint="eastAsia" w:hAnsi="宋体"/>
                      <w:sz w:val="18"/>
                      <w:szCs w:val="18"/>
                    </w:rPr>
                    <w:t>排气筒排放。破碎废气经集气罩收集（收集效率80%）后经布袋除尘器处理（颗粒物处理效率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4</w:t>
                  </w:r>
                  <w:r>
                    <w:rPr>
                      <w:rFonts w:hint="eastAsia" w:hAnsi="宋体"/>
                      <w:sz w:val="18"/>
                      <w:szCs w:val="18"/>
                    </w:rPr>
                    <w:t>m的DA00</w:t>
                  </w:r>
                  <w:r>
                    <w:rPr>
                      <w:rFonts w:hAnsi="宋体"/>
                      <w:sz w:val="18"/>
                      <w:szCs w:val="18"/>
                    </w:rPr>
                    <w:t>3</w:t>
                  </w:r>
                  <w:r>
                    <w:rPr>
                      <w:rFonts w:hint="eastAsia" w:hAnsi="宋体"/>
                      <w:sz w:val="18"/>
                      <w:szCs w:val="18"/>
                    </w:rPr>
                    <w:t>排气筒排放。污水处理站密闭，产生的臭气经收集后引至业务用房屋顶。</w:t>
                  </w:r>
                </w:p>
                <w:p>
                  <w:pPr>
                    <w:pStyle w:val="57"/>
                    <w:spacing w:line="240" w:lineRule="exact"/>
                    <w:ind w:firstLine="360" w:firstLineChars="200"/>
                    <w:jc w:val="both"/>
                    <w:rPr>
                      <w:bCs/>
                      <w:sz w:val="18"/>
                      <w:szCs w:val="18"/>
                    </w:rPr>
                  </w:pPr>
                  <w:r>
                    <w:rPr>
                      <w:rFonts w:hint="eastAsia"/>
                      <w:sz w:val="18"/>
                      <w:szCs w:val="18"/>
                    </w:rPr>
                    <w:t>生产过程均配套设置了废气收集和处理措施，少量未被收集的废气在厂区内无组织排放。</w:t>
                  </w:r>
                </w:p>
              </w:tc>
              <w:tc>
                <w:tcPr>
                  <w:tcW w:w="499" w:type="pct"/>
                  <w:shd w:val="clear" w:color="auto" w:fill="auto"/>
                  <w:vAlign w:val="center"/>
                </w:tcPr>
                <w:p>
                  <w:pPr>
                    <w:pStyle w:val="57"/>
                    <w:spacing w:line="240" w:lineRule="exact"/>
                    <w:rPr>
                      <w:bCs/>
                      <w:sz w:val="18"/>
                      <w:szCs w:val="18"/>
                    </w:rPr>
                  </w:pPr>
                  <w:r>
                    <w:rPr>
                      <w:bCs/>
                      <w:sz w:val="18"/>
                      <w:szCs w:val="18"/>
                    </w:rPr>
                    <w:t>符合</w:t>
                  </w:r>
                </w:p>
                <w:p>
                  <w:pPr>
                    <w:pStyle w:val="57"/>
                    <w:spacing w:line="240" w:lineRule="exact"/>
                    <w:rPr>
                      <w:bCs/>
                      <w:sz w:val="18"/>
                      <w:szCs w:val="18"/>
                    </w:rPr>
                  </w:pPr>
                  <w:r>
                    <w:rPr>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抓好水污染防治</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按照大足区“三线一单”管控要求，双桥工业园区污水处理厂“十四五”期间应完成提标改造，尾水排放执行《城镇污水处理厂污染物排放标准》( GB18918-2002)一级A标准。规划区再生铅、铅酸蓄电池、电镀集中加工区等涉重金属废水产生的企业,应加大对废水的处理力度，处理达标后尽量回用，减少外排废水量及重金属污染物量。</w:t>
                  </w:r>
                </w:p>
                <w:p>
                  <w:pPr>
                    <w:pStyle w:val="57"/>
                    <w:spacing w:line="240" w:lineRule="exact"/>
                    <w:ind w:firstLine="360" w:firstLineChars="200"/>
                    <w:jc w:val="both"/>
                    <w:rPr>
                      <w:bCs/>
                      <w:sz w:val="18"/>
                      <w:szCs w:val="18"/>
                    </w:rPr>
                  </w:pPr>
                  <w:r>
                    <w:rPr>
                      <w:rFonts w:hint="eastAsia"/>
                      <w:bCs/>
                      <w:sz w:val="18"/>
                      <w:szCs w:val="18"/>
                    </w:rPr>
                    <w:t>落实分区、分级防渗措施，防止规划实施对区域地下水环境的污染。定期开展地下水跟踪监测，根据监测结果完善相应的地下水污染防控措施，确保园区地下水环境质量不恶化。</w:t>
                  </w:r>
                </w:p>
              </w:tc>
              <w:tc>
                <w:tcPr>
                  <w:tcW w:w="1719" w:type="pct"/>
                  <w:shd w:val="clear" w:color="auto" w:fill="auto"/>
                  <w:vAlign w:val="center"/>
                </w:tcPr>
                <w:p>
                  <w:pPr>
                    <w:pStyle w:val="57"/>
                    <w:spacing w:line="240" w:lineRule="exact"/>
                    <w:ind w:firstLine="360" w:firstLineChars="200"/>
                    <w:jc w:val="both"/>
                    <w:rPr>
                      <w:bCs/>
                      <w:sz w:val="18"/>
                      <w:szCs w:val="18"/>
                    </w:rPr>
                  </w:pPr>
                  <w:r>
                    <w:rPr>
                      <w:rFonts w:hint="eastAsia"/>
                      <w:sz w:val="18"/>
                      <w:szCs w:val="18"/>
                    </w:rPr>
                    <w:t>厂区内所有废水一并</w:t>
                  </w:r>
                  <w:r>
                    <w:rPr>
                      <w:sz w:val="18"/>
                      <w:szCs w:val="18"/>
                    </w:rPr>
                    <w:t>进入厂区内新建污水处理站处理达</w:t>
                  </w:r>
                  <w:r>
                    <w:rPr>
                      <w:rFonts w:hint="eastAsia"/>
                      <w:sz w:val="18"/>
                      <w:szCs w:val="18"/>
                    </w:rPr>
                    <w:t>《污水综合排放标准》（GB8978-1996）三级排放标准（其中氨氮、总氮、总磷参照执行《污水排入城镇下水道水质标准》（GB/T31962-2015））后进入双桥园区污水处理厂近期进一步处理达《城镇污水处理厂污染物排放标准》（GB18918-2002）一级B标后排入苦水河，远期待园区污水处理厂提标改造后进一步处理达《城镇污水处理厂污染物排放标准》（GB18918-2002）一级A标后排入苦水河。</w:t>
                  </w:r>
                  <w:r>
                    <w:rPr>
                      <w:rFonts w:hint="eastAsia"/>
                      <w:bCs/>
                      <w:sz w:val="18"/>
                      <w:szCs w:val="18"/>
                    </w:rPr>
                    <w:t>不涉重金属废水产生。</w:t>
                  </w:r>
                </w:p>
                <w:p>
                  <w:pPr>
                    <w:pStyle w:val="57"/>
                    <w:spacing w:line="240" w:lineRule="exact"/>
                    <w:ind w:firstLine="360" w:firstLineChars="200"/>
                    <w:jc w:val="both"/>
                    <w:rPr>
                      <w:bCs/>
                      <w:sz w:val="18"/>
                      <w:szCs w:val="18"/>
                    </w:rPr>
                  </w:pPr>
                  <w:r>
                    <w:rPr>
                      <w:rFonts w:hint="eastAsia"/>
                      <w:bCs/>
                      <w:sz w:val="18"/>
                      <w:szCs w:val="18"/>
                    </w:rPr>
                    <w:t>按照重点和简单进行分区防渗，其中废蓄电池拆解区和储存区地面需做防酸、防腐、防渗、硬化及绝缘处理，废铅蓄电池拆解区和储存区的地面应做防酸、防腐、防渗及硬化处理；并配套导流沟， 分别为总成及其他零部件堆存区防止各种原料危化品、液体类危险废物漫流或泄漏。</w:t>
                  </w:r>
                </w:p>
              </w:tc>
              <w:tc>
                <w:tcPr>
                  <w:tcW w:w="499" w:type="pct"/>
                  <w:shd w:val="clear" w:color="auto" w:fill="auto"/>
                  <w:vAlign w:val="center"/>
                </w:tcPr>
                <w:p>
                  <w:pPr>
                    <w:pStyle w:val="57"/>
                    <w:spacing w:line="240" w:lineRule="exact"/>
                    <w:rPr>
                      <w:bCs/>
                      <w:sz w:val="18"/>
                      <w:szCs w:val="18"/>
                    </w:rPr>
                  </w:pPr>
                  <w:r>
                    <w:rPr>
                      <w:bCs/>
                      <w:sz w:val="18"/>
                      <w:szCs w:val="18"/>
                    </w:rPr>
                    <w:t>符合</w:t>
                  </w:r>
                </w:p>
                <w:p>
                  <w:pPr>
                    <w:pStyle w:val="57"/>
                    <w:spacing w:line="240" w:lineRule="exact"/>
                    <w:rPr>
                      <w:bCs/>
                      <w:sz w:val="18"/>
                      <w:szCs w:val="18"/>
                    </w:rPr>
                  </w:pPr>
                  <w:r>
                    <w:rPr>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强化噪声污染防控。</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合理布局企业噪声源，高噪声源企业选址和布局应满足相应的环境防护距离要求;选择低噪声设备，采取消声、隔声、减震等措施，确保厂界噪声达标。</w:t>
                  </w:r>
                </w:p>
              </w:tc>
              <w:tc>
                <w:tcPr>
                  <w:tcW w:w="1719" w:type="pct"/>
                  <w:shd w:val="clear" w:color="auto" w:fill="auto"/>
                  <w:vAlign w:val="center"/>
                </w:tcPr>
                <w:p>
                  <w:pPr>
                    <w:ind w:firstLine="360" w:firstLineChars="200"/>
                    <w:rPr>
                      <w:rFonts w:hAnsi="宋体"/>
                      <w:sz w:val="18"/>
                      <w:szCs w:val="18"/>
                    </w:rPr>
                  </w:pPr>
                  <w:r>
                    <w:rPr>
                      <w:rFonts w:hint="eastAsia" w:hAnsi="宋体"/>
                      <w:sz w:val="18"/>
                      <w:szCs w:val="18"/>
                    </w:rPr>
                    <w:t>拟建</w:t>
                  </w:r>
                  <w:r>
                    <w:rPr>
                      <w:rFonts w:hAnsi="宋体"/>
                      <w:sz w:val="18"/>
                      <w:szCs w:val="18"/>
                    </w:rPr>
                    <w:t>项目</w:t>
                  </w:r>
                  <w:r>
                    <w:rPr>
                      <w:rFonts w:hint="eastAsia"/>
                      <w:bCs/>
                      <w:sz w:val="18"/>
                      <w:szCs w:val="18"/>
                    </w:rPr>
                    <w:t>合理布局企业噪声源，选择低噪声设备，采取消声、隔声、减震等措施，确保厂界噪声达《工业企业厂界环境噪声排放标准》（GB12348-2008）3类标准。</w:t>
                  </w:r>
                </w:p>
              </w:tc>
              <w:tc>
                <w:tcPr>
                  <w:tcW w:w="499" w:type="pct"/>
                  <w:shd w:val="clear" w:color="auto" w:fill="auto"/>
                  <w:vAlign w:val="center"/>
                </w:tcPr>
                <w:p>
                  <w:pPr>
                    <w:pStyle w:val="57"/>
                    <w:spacing w:line="240" w:lineRule="exact"/>
                    <w:rPr>
                      <w:bCs/>
                      <w:sz w:val="18"/>
                      <w:szCs w:val="18"/>
                    </w:rPr>
                  </w:pPr>
                  <w:r>
                    <w:rPr>
                      <w:bCs/>
                      <w:sz w:val="18"/>
                      <w:szCs w:val="18"/>
                    </w:rPr>
                    <w:t>符合</w:t>
                  </w:r>
                </w:p>
                <w:p>
                  <w:pPr>
                    <w:pStyle w:val="57"/>
                    <w:spacing w:line="240" w:lineRule="exact"/>
                    <w:rPr>
                      <w:bCs/>
                      <w:sz w:val="18"/>
                      <w:szCs w:val="18"/>
                    </w:rPr>
                  </w:pPr>
                  <w:r>
                    <w:rPr>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加强固体废弃物污染防控</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加强一般工业固体废物综合利用和处置;严格落实危险废物环境管理制度，对危险废物收集、贮存、运输、利用、处置各环节进行全过程环境监管;生活垃圾经收集后由环卫部门统一清运处置。</w:t>
                  </w:r>
                </w:p>
              </w:tc>
              <w:tc>
                <w:tcPr>
                  <w:tcW w:w="1719" w:type="pct"/>
                  <w:shd w:val="clear" w:color="auto" w:fill="auto"/>
                  <w:vAlign w:val="center"/>
                </w:tcPr>
                <w:p>
                  <w:pPr>
                    <w:pStyle w:val="57"/>
                    <w:spacing w:line="240" w:lineRule="exact"/>
                    <w:ind w:firstLine="360" w:firstLineChars="200"/>
                    <w:jc w:val="both"/>
                    <w:rPr>
                      <w:sz w:val="18"/>
                      <w:szCs w:val="18"/>
                    </w:rPr>
                  </w:pPr>
                  <w:r>
                    <w:rPr>
                      <w:rFonts w:hint="eastAsia"/>
                      <w:bCs/>
                      <w:sz w:val="18"/>
                      <w:szCs w:val="18"/>
                    </w:rPr>
                    <w:t>一般工业固废：废液化气罐、引爆后的安全气囊、废制冷剂、布袋除尘器截留粉尘、其他废物（破碎的玻璃、轮胎、轮毂、塑料等）</w:t>
                  </w:r>
                  <w:r>
                    <w:rPr>
                      <w:rFonts w:hint="eastAsia"/>
                      <w:sz w:val="18"/>
                      <w:szCs w:val="18"/>
                    </w:rPr>
                    <w:t>集中收集后交由具有相应资质的单位利用和处置。废旧动力蓄电池（不包含铅蓄电池）收集后存放于动力蓄电池贮存区。</w:t>
                  </w:r>
                </w:p>
                <w:p>
                  <w:pPr>
                    <w:pStyle w:val="57"/>
                    <w:spacing w:line="240" w:lineRule="exact"/>
                    <w:ind w:firstLine="360" w:firstLineChars="200"/>
                    <w:jc w:val="both"/>
                    <w:rPr>
                      <w:sz w:val="18"/>
                      <w:szCs w:val="18"/>
                    </w:rPr>
                  </w:pPr>
                  <w:r>
                    <w:rPr>
                      <w:rFonts w:hint="eastAsia"/>
                      <w:bCs/>
                      <w:sz w:val="18"/>
                      <w:szCs w:val="18"/>
                    </w:rPr>
                    <w:t>危险废物：废铅蓄电池、含多氯联苯的废电容器、废尾气催化剂、废矿物油与含矿物油废物、废电路板及其元件、废机油滤清器、废油箱、石棉废物、含汞废物、污水处理站污泥、废含油抹布及劳保用品、废活性炭、沾染危化品的废包装材料交有资质的单位处理</w:t>
                  </w:r>
                  <w:r>
                    <w:rPr>
                      <w:rFonts w:hint="eastAsia"/>
                      <w:sz w:val="18"/>
                      <w:szCs w:val="18"/>
                    </w:rPr>
                    <w:t>。</w:t>
                  </w:r>
                </w:p>
                <w:p>
                  <w:pPr>
                    <w:pStyle w:val="57"/>
                    <w:spacing w:line="240" w:lineRule="exact"/>
                    <w:ind w:firstLine="360" w:firstLineChars="200"/>
                    <w:jc w:val="both"/>
                    <w:rPr>
                      <w:bCs/>
                      <w:sz w:val="18"/>
                      <w:szCs w:val="18"/>
                    </w:rPr>
                  </w:pPr>
                  <w:r>
                    <w:rPr>
                      <w:rFonts w:hint="eastAsia"/>
                      <w:sz w:val="18"/>
                      <w:szCs w:val="18"/>
                    </w:rPr>
                    <w:t>生活垃圾：生活垃圾收集后由当地环卫部门统一清运处理。</w:t>
                  </w:r>
                </w:p>
              </w:tc>
              <w:tc>
                <w:tcPr>
                  <w:tcW w:w="499" w:type="pct"/>
                  <w:shd w:val="clear" w:color="auto" w:fill="auto"/>
                  <w:vAlign w:val="center"/>
                </w:tcPr>
                <w:p>
                  <w:pPr>
                    <w:pStyle w:val="57"/>
                    <w:spacing w:line="240" w:lineRule="exact"/>
                    <w:rPr>
                      <w:bCs/>
                      <w:sz w:val="18"/>
                      <w:szCs w:val="18"/>
                    </w:rPr>
                  </w:pPr>
                  <w:r>
                    <w:rPr>
                      <w:bCs/>
                      <w:sz w:val="18"/>
                      <w:szCs w:val="18"/>
                    </w:rPr>
                    <w:t>符合</w:t>
                  </w:r>
                </w:p>
                <w:p>
                  <w:pPr>
                    <w:pStyle w:val="57"/>
                    <w:spacing w:line="240" w:lineRule="exact"/>
                    <w:rPr>
                      <w:bCs/>
                      <w:sz w:val="18"/>
                      <w:szCs w:val="18"/>
                    </w:rPr>
                  </w:pPr>
                  <w:r>
                    <w:rPr>
                      <w:bCs/>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加强土壤污染防控</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加强对污水集中处理设施、危险化学品储存设施、固体废物贮存设备等周边土壤监测，并根据监测结果提出相应改进措施;入区企业根据监测计划要求，定期自行开展土壤环境质量跟踪监测，掌握周围土壤环境质量状况，结果向社会公开。</w:t>
                  </w:r>
                </w:p>
              </w:tc>
              <w:tc>
                <w:tcPr>
                  <w:tcW w:w="1719" w:type="pct"/>
                  <w:shd w:val="clear" w:color="auto" w:fill="auto"/>
                  <w:vAlign w:val="center"/>
                </w:tcPr>
                <w:p>
                  <w:pPr>
                    <w:adjustRightInd w:val="0"/>
                    <w:snapToGrid w:val="0"/>
                    <w:spacing w:line="240" w:lineRule="exact"/>
                    <w:ind w:firstLine="360" w:firstLineChars="200"/>
                    <w:rPr>
                      <w:sz w:val="18"/>
                      <w:szCs w:val="18"/>
                    </w:rPr>
                  </w:pPr>
                  <w:r>
                    <w:rPr>
                      <w:rFonts w:hint="eastAsia"/>
                      <w:sz w:val="18"/>
                      <w:szCs w:val="18"/>
                    </w:rPr>
                    <w:t>柴油、润滑油、液压油包装桶装存放于原辅料库房，下设托盘，存放区域地面需进行重点防渗，可有效防止柴油、润滑油、液压油泄漏对土壤、地下水的影响。危险废物存放于危废暂存间，使用专用盛具盛放，地面进行重点防渗。污水处理站、事故池等需要防腐防渗。</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强化环境风险防范</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规划区建立健全环境风险防范体系，完善环境风险防范措施，规范并强化事故池、雨污切换阀等风险防范措施的建设，健全环境风险应急机制和环境风险应急预案;加强对企业环境风险源的监督管理，切实提高环境风险防范意识，定期开展教育培训和应急演练，全面提升环境风险防范和事故应急处置能力，防范突发性环境风险事故。</w:t>
                  </w:r>
                </w:p>
              </w:tc>
              <w:tc>
                <w:tcPr>
                  <w:tcW w:w="1719" w:type="pct"/>
                  <w:shd w:val="clear" w:color="auto" w:fill="auto"/>
                  <w:vAlign w:val="center"/>
                </w:tcPr>
                <w:p>
                  <w:pPr>
                    <w:pStyle w:val="57"/>
                    <w:spacing w:line="240" w:lineRule="exact"/>
                    <w:ind w:firstLine="360" w:firstLineChars="200"/>
                    <w:jc w:val="both"/>
                    <w:rPr>
                      <w:bCs/>
                      <w:sz w:val="18"/>
                      <w:szCs w:val="18"/>
                    </w:rPr>
                  </w:pPr>
                  <w:r>
                    <w:rPr>
                      <w:rFonts w:hint="eastAsia"/>
                      <w:sz w:val="18"/>
                      <w:szCs w:val="18"/>
                    </w:rPr>
                    <w:t>拟建项目开展环境影响评价工作，并建立环境风险防控体系，进行分区防渗，在厂区内设置</w:t>
                  </w:r>
                  <w:r>
                    <w:rPr>
                      <w:sz w:val="18"/>
                      <w:szCs w:val="18"/>
                    </w:rPr>
                    <w:t>55</w:t>
                  </w:r>
                  <w:r>
                    <w:rPr>
                      <w:rFonts w:hint="eastAsia"/>
                      <w:sz w:val="18"/>
                      <w:szCs w:val="18"/>
                    </w:rPr>
                    <w:t>0m</w:t>
                  </w:r>
                  <w:r>
                    <w:rPr>
                      <w:sz w:val="18"/>
                      <w:szCs w:val="18"/>
                      <w:vertAlign w:val="superscript"/>
                    </w:rPr>
                    <w:t>3</w:t>
                  </w:r>
                  <w:r>
                    <w:rPr>
                      <w:rFonts w:hint="eastAsia"/>
                      <w:sz w:val="18"/>
                      <w:szCs w:val="18"/>
                    </w:rPr>
                    <w:t>的事故池。</w:t>
                  </w:r>
                  <w:r>
                    <w:rPr>
                      <w:rFonts w:eastAsiaTheme="minorEastAsia"/>
                      <w:sz w:val="18"/>
                      <w:szCs w:val="18"/>
                    </w:rPr>
                    <w:t>拟建项目在建成运行后、完成竣工环境保护验收之前，应及时制定企业突发环境事件应急预案，并严格按照《企业事业单位突发环境事件应急预案评审工作指南（试行）》要求，组织开始应急预案。最终，将应急预案报生态环境局备案并定期进行演练。</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加强环境管理</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建立健全“三线一单”对规划环评、项目环评的指导和约束机制，不断强化“三线一单”在优布局、控规模、调结构、促转型中的作用，以及对项目环境准入的强制约束作用。严格执行规划环评、跟踪评价和生态环境准入清单管控等有关规定。规划区应建立包括环境空气、声环境、地表水、地下水、土壤等环境要素的监控体系，严格落实跟踪监测计划，制定环境保护规章制度,落实环境管理、污染治理和环境风险防范主体责任，做好日常环境保护工作。</w:t>
                  </w:r>
                </w:p>
              </w:tc>
              <w:tc>
                <w:tcPr>
                  <w:tcW w:w="1719" w:type="pct"/>
                  <w:shd w:val="clear" w:color="auto" w:fill="auto"/>
                  <w:vAlign w:val="center"/>
                </w:tcPr>
                <w:p>
                  <w:pPr>
                    <w:pStyle w:val="57"/>
                    <w:spacing w:line="240" w:lineRule="exact"/>
                    <w:ind w:firstLine="360" w:firstLineChars="200"/>
                    <w:jc w:val="both"/>
                    <w:rPr>
                      <w:bCs/>
                      <w:sz w:val="18"/>
                      <w:szCs w:val="18"/>
                    </w:rPr>
                  </w:pPr>
                  <w:r>
                    <w:rPr>
                      <w:bCs/>
                      <w:sz w:val="18"/>
                      <w:szCs w:val="18"/>
                    </w:rPr>
                    <w:t>拟建项目</w:t>
                  </w:r>
                  <w:r>
                    <w:rPr>
                      <w:rFonts w:hint="eastAsia"/>
                      <w:bCs/>
                      <w:sz w:val="18"/>
                      <w:szCs w:val="18"/>
                    </w:rPr>
                    <w:t>为金属废料和碎屑加工处理类项目，属于废旧汽车拆解回收及加工业，符合邮亭片区A区产业定位，</w:t>
                  </w:r>
                  <w:r>
                    <w:rPr>
                      <w:bCs/>
                      <w:sz w:val="18"/>
                      <w:szCs w:val="18"/>
                    </w:rPr>
                    <w:t>严格遵守规划区环境准入</w:t>
                  </w:r>
                  <w:r>
                    <w:rPr>
                      <w:rFonts w:hint="eastAsia"/>
                      <w:bCs/>
                      <w:sz w:val="18"/>
                      <w:szCs w:val="18"/>
                    </w:rPr>
                    <w:t>的强制约束作用。</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积极推进建设项目与规划环境影响跟踪评价的联动</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规划区涉及的建设项目在开展环境影响评价时，应结合生态空间保护与管控要求，在落实环境质量底线的基础上深入论证项目建设可能产生的生态环境影响，严格环境准入，采取切实可行的污染防治和环境风险防控措施，预防或者减轻建设项目实施可能产生的不良环境影响。对与规划主导产业定位相符的建设项目，环境政策符合性、环境现状调查等内容可适当简化。</w:t>
                  </w:r>
                </w:p>
              </w:tc>
              <w:tc>
                <w:tcPr>
                  <w:tcW w:w="1719" w:type="pct"/>
                  <w:shd w:val="clear" w:color="auto" w:fill="auto"/>
                  <w:vAlign w:val="center"/>
                </w:tcPr>
                <w:p>
                  <w:pPr>
                    <w:pStyle w:val="57"/>
                    <w:spacing w:line="240" w:lineRule="exact"/>
                    <w:ind w:firstLine="360" w:firstLineChars="200"/>
                    <w:jc w:val="both"/>
                    <w:rPr>
                      <w:bCs/>
                      <w:sz w:val="18"/>
                      <w:szCs w:val="18"/>
                    </w:rPr>
                  </w:pPr>
                  <w:r>
                    <w:rPr>
                      <w:sz w:val="18"/>
                      <w:szCs w:val="18"/>
                    </w:rPr>
                    <w:t>拟建项目属于</w:t>
                  </w:r>
                  <w:r>
                    <w:rPr>
                      <w:rFonts w:hint="eastAsia"/>
                      <w:sz w:val="18"/>
                      <w:szCs w:val="18"/>
                    </w:rPr>
                    <w:t>新建</w:t>
                  </w:r>
                  <w:r>
                    <w:rPr>
                      <w:sz w:val="18"/>
                      <w:szCs w:val="18"/>
                    </w:rPr>
                    <w:t>项目，严格执行环境影响评价制度</w:t>
                  </w:r>
                  <w:r>
                    <w:rPr>
                      <w:rFonts w:hint="eastAsia"/>
                      <w:sz w:val="18"/>
                      <w:szCs w:val="18"/>
                    </w:rPr>
                    <w:t>。</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后续管理要求</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规划实施3-5年后，应当组织开展环境影响跟踪评价，重点关注规划实施对水、大气、土壤等的影响，并根据评价结果采取必要的改进措施。入驻规划区的建设项目必须严格执行环境影响评价、环保“三同时”和排污许可制度，应当满足本规划环评结论及其审查小组意见要求。</w:t>
                  </w:r>
                </w:p>
              </w:tc>
              <w:tc>
                <w:tcPr>
                  <w:tcW w:w="1719" w:type="pct"/>
                  <w:shd w:val="clear" w:color="auto" w:fill="auto"/>
                  <w:vAlign w:val="center"/>
                </w:tcPr>
                <w:p>
                  <w:pPr>
                    <w:pStyle w:val="57"/>
                    <w:spacing w:line="240" w:lineRule="exact"/>
                    <w:ind w:firstLine="360" w:firstLineChars="200"/>
                    <w:jc w:val="both"/>
                    <w:rPr>
                      <w:bCs/>
                      <w:sz w:val="18"/>
                      <w:szCs w:val="18"/>
                    </w:rPr>
                  </w:pPr>
                  <w:r>
                    <w:rPr>
                      <w:sz w:val="18"/>
                      <w:szCs w:val="18"/>
                    </w:rPr>
                    <w:t>拟建项目属于</w:t>
                  </w:r>
                  <w:r>
                    <w:rPr>
                      <w:rFonts w:hint="eastAsia"/>
                      <w:sz w:val="18"/>
                      <w:szCs w:val="18"/>
                    </w:rPr>
                    <w:t>新建</w:t>
                  </w:r>
                  <w:r>
                    <w:rPr>
                      <w:sz w:val="18"/>
                      <w:szCs w:val="18"/>
                    </w:rPr>
                    <w:t>项目，严格执行环境影响评价制度</w:t>
                  </w:r>
                  <w:r>
                    <w:rPr>
                      <w:rFonts w:hint="eastAsia"/>
                      <w:sz w:val="18"/>
                      <w:szCs w:val="18"/>
                    </w:rPr>
                    <w:t>、</w:t>
                  </w:r>
                  <w:r>
                    <w:rPr>
                      <w:rFonts w:hint="eastAsia"/>
                      <w:bCs/>
                      <w:sz w:val="18"/>
                      <w:szCs w:val="18"/>
                    </w:rPr>
                    <w:t>环保“三同时”和排污许可制度。</w:t>
                  </w:r>
                </w:p>
              </w:tc>
              <w:tc>
                <w:tcPr>
                  <w:tcW w:w="499" w:type="pct"/>
                  <w:shd w:val="clear" w:color="auto" w:fill="auto"/>
                  <w:vAlign w:val="center"/>
                </w:tcPr>
                <w:p>
                  <w:pPr>
                    <w:pStyle w:val="57"/>
                    <w:spacing w:line="240" w:lineRule="exact"/>
                    <w:rPr>
                      <w:bCs/>
                      <w:sz w:val="18"/>
                      <w:szCs w:val="18"/>
                    </w:rPr>
                  </w:pPr>
                  <w:r>
                    <w:rPr>
                      <w:bCs/>
                      <w:sz w:val="18"/>
                      <w:szCs w:val="18"/>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pct"/>
                  <w:shd w:val="clear" w:color="auto" w:fill="auto"/>
                  <w:vAlign w:val="center"/>
                </w:tcPr>
                <w:p>
                  <w:pPr>
                    <w:pStyle w:val="57"/>
                    <w:spacing w:line="240" w:lineRule="exact"/>
                    <w:rPr>
                      <w:bCs/>
                      <w:sz w:val="18"/>
                      <w:szCs w:val="18"/>
                    </w:rPr>
                  </w:pPr>
                  <w:r>
                    <w:rPr>
                      <w:rFonts w:hint="eastAsia"/>
                      <w:bCs/>
                      <w:sz w:val="18"/>
                      <w:szCs w:val="18"/>
                    </w:rPr>
                    <w:t>其他</w:t>
                  </w:r>
                </w:p>
              </w:tc>
              <w:tc>
                <w:tcPr>
                  <w:tcW w:w="2045" w:type="pct"/>
                  <w:shd w:val="clear" w:color="auto" w:fill="auto"/>
                  <w:vAlign w:val="center"/>
                </w:tcPr>
                <w:p>
                  <w:pPr>
                    <w:pStyle w:val="57"/>
                    <w:spacing w:line="240" w:lineRule="exact"/>
                    <w:ind w:firstLine="360" w:firstLineChars="200"/>
                    <w:jc w:val="both"/>
                    <w:rPr>
                      <w:bCs/>
                      <w:sz w:val="18"/>
                      <w:szCs w:val="18"/>
                    </w:rPr>
                  </w:pPr>
                  <w:r>
                    <w:rPr>
                      <w:rFonts w:hint="eastAsia"/>
                      <w:bCs/>
                      <w:sz w:val="18"/>
                      <w:szCs w:val="18"/>
                    </w:rPr>
                    <w:t>国家和我市法律、行政法规等对电镀园区、涉铅企业另有规定的，从其规定。如国家和我市对园区、电镀项目及涉铅企业有更严的产业政策、环保政策、准入要求的，规划区及其相应项目应予严格执行。</w:t>
                  </w:r>
                </w:p>
              </w:tc>
              <w:tc>
                <w:tcPr>
                  <w:tcW w:w="1719" w:type="pct"/>
                  <w:shd w:val="clear" w:color="auto" w:fill="auto"/>
                  <w:vAlign w:val="center"/>
                </w:tcPr>
                <w:p>
                  <w:pPr>
                    <w:pStyle w:val="57"/>
                    <w:spacing w:line="240" w:lineRule="exact"/>
                    <w:ind w:firstLine="360" w:firstLineChars="200"/>
                    <w:jc w:val="both"/>
                    <w:rPr>
                      <w:bCs/>
                      <w:sz w:val="18"/>
                      <w:szCs w:val="18"/>
                    </w:rPr>
                  </w:pPr>
                  <w:r>
                    <w:rPr>
                      <w:sz w:val="18"/>
                      <w:szCs w:val="18"/>
                    </w:rPr>
                    <w:t>拟建项目不</w:t>
                  </w:r>
                  <w:r>
                    <w:rPr>
                      <w:rFonts w:hint="eastAsia"/>
                      <w:sz w:val="18"/>
                      <w:szCs w:val="18"/>
                    </w:rPr>
                    <w:t>属于</w:t>
                  </w:r>
                  <w:r>
                    <w:rPr>
                      <w:rFonts w:hint="eastAsia"/>
                      <w:bCs/>
                      <w:sz w:val="18"/>
                      <w:szCs w:val="18"/>
                    </w:rPr>
                    <w:t>电镀项目及涉铅企业。</w:t>
                  </w:r>
                </w:p>
              </w:tc>
              <w:tc>
                <w:tcPr>
                  <w:tcW w:w="499" w:type="pct"/>
                  <w:shd w:val="clear" w:color="auto" w:fill="auto"/>
                  <w:vAlign w:val="center"/>
                </w:tcPr>
                <w:p>
                  <w:pPr>
                    <w:pStyle w:val="57"/>
                    <w:spacing w:line="240" w:lineRule="exact"/>
                    <w:rPr>
                      <w:bCs/>
                      <w:sz w:val="18"/>
                      <w:szCs w:val="18"/>
                    </w:rPr>
                  </w:pPr>
                  <w:r>
                    <w:rPr>
                      <w:bCs/>
                      <w:sz w:val="18"/>
                      <w:szCs w:val="18"/>
                    </w:rPr>
                    <w:t>符合要求</w:t>
                  </w:r>
                </w:p>
              </w:tc>
            </w:tr>
          </w:tbl>
          <w:p>
            <w:pPr>
              <w:spacing w:line="480" w:lineRule="exact"/>
              <w:ind w:firstLine="480" w:firstLineChars="200"/>
              <w:rPr>
                <w:sz w:val="24"/>
              </w:rPr>
            </w:pPr>
            <w:r>
              <w:rPr>
                <w:rFonts w:hint="eastAsia"/>
                <w:sz w:val="24"/>
              </w:rPr>
              <w:t>根据上述分析，拟建项目符合</w:t>
            </w:r>
            <w:r>
              <w:rPr>
                <w:bCs/>
                <w:sz w:val="24"/>
              </w:rPr>
              <w:t>《</w:t>
            </w:r>
            <w:r>
              <w:rPr>
                <w:rFonts w:hint="eastAsia"/>
                <w:bCs/>
                <w:sz w:val="24"/>
              </w:rPr>
              <w:t>重庆市双桥经济技术开发区邮亭片区A区控制性详细规划环境影响跟踪评价报告书</w:t>
            </w:r>
            <w:r>
              <w:rPr>
                <w:bCs/>
                <w:sz w:val="24"/>
              </w:rPr>
              <w:t>》</w:t>
            </w:r>
            <w:r>
              <w:rPr>
                <w:rFonts w:hint="eastAsia"/>
                <w:sz w:val="24"/>
              </w:rPr>
              <w:t>及其审查意见的函。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714" w:type="dxa"/>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其他符合性分析</w:t>
            </w:r>
          </w:p>
        </w:tc>
        <w:tc>
          <w:tcPr>
            <w:tcW w:w="7156" w:type="dxa"/>
            <w:gridSpan w:val="3"/>
            <w:vAlign w:val="center"/>
          </w:tcPr>
          <w:p>
            <w:pPr>
              <w:autoSpaceDE w:val="0"/>
              <w:autoSpaceDN w:val="0"/>
              <w:adjustRightInd w:val="0"/>
              <w:snapToGrid w:val="0"/>
              <w:spacing w:line="480" w:lineRule="exact"/>
              <w:rPr>
                <w:b/>
                <w:kern w:val="21"/>
                <w:sz w:val="24"/>
              </w:rPr>
            </w:pPr>
            <w:r>
              <w:rPr>
                <w:b/>
                <w:kern w:val="21"/>
                <w:sz w:val="24"/>
              </w:rPr>
              <w:t>1.2其他符合性分析</w:t>
            </w:r>
          </w:p>
          <w:p>
            <w:pPr>
              <w:autoSpaceDE w:val="0"/>
              <w:autoSpaceDN w:val="0"/>
              <w:adjustRightInd w:val="0"/>
              <w:snapToGrid w:val="0"/>
              <w:spacing w:line="480" w:lineRule="exact"/>
              <w:rPr>
                <w:b/>
                <w:kern w:val="21"/>
                <w:sz w:val="24"/>
              </w:rPr>
            </w:pPr>
            <w:r>
              <w:rPr>
                <w:b/>
                <w:kern w:val="21"/>
                <w:sz w:val="24"/>
              </w:rPr>
              <w:t>1.2.1“三线一单”符合性分析</w:t>
            </w:r>
          </w:p>
          <w:p>
            <w:pPr>
              <w:autoSpaceDE w:val="0"/>
              <w:autoSpaceDN w:val="0"/>
              <w:adjustRightInd w:val="0"/>
              <w:snapToGrid w:val="0"/>
              <w:spacing w:line="480" w:lineRule="exact"/>
              <w:ind w:firstLine="482" w:firstLineChars="200"/>
              <w:rPr>
                <w:b/>
                <w:kern w:val="21"/>
                <w:sz w:val="24"/>
              </w:rPr>
            </w:pPr>
            <w:r>
              <w:rPr>
                <w:rFonts w:hint="eastAsia"/>
                <w:b/>
                <w:kern w:val="21"/>
                <w:sz w:val="24"/>
              </w:rPr>
              <w:t>（1）与《重庆市人民政府关于落实生态保护红线、环境质量底线、资源利用上线制定生态环境准入清单实施生态环境分区管控的实施意见》（渝府发</w:t>
            </w:r>
            <w:r>
              <w:rPr>
                <w:rFonts w:hint="eastAsia" w:ascii="宋体" w:hAnsi="宋体"/>
                <w:b/>
                <w:kern w:val="21"/>
                <w:sz w:val="24"/>
              </w:rPr>
              <w:t>〔</w:t>
            </w:r>
            <w:r>
              <w:rPr>
                <w:rFonts w:hint="eastAsia"/>
                <w:b/>
                <w:kern w:val="21"/>
                <w:sz w:val="24"/>
              </w:rPr>
              <w:t>2020</w:t>
            </w:r>
            <w:r>
              <w:rPr>
                <w:rFonts w:hint="eastAsia" w:ascii="宋体" w:hAnsi="宋体"/>
                <w:b/>
                <w:kern w:val="21"/>
                <w:sz w:val="24"/>
              </w:rPr>
              <w:t>〕</w:t>
            </w:r>
            <w:r>
              <w:rPr>
                <w:rFonts w:hint="eastAsia"/>
                <w:b/>
                <w:kern w:val="21"/>
                <w:sz w:val="24"/>
              </w:rPr>
              <w:t>11号）的符合性分析</w:t>
            </w:r>
          </w:p>
          <w:p>
            <w:pPr>
              <w:spacing w:line="480" w:lineRule="exact"/>
              <w:ind w:firstLine="480" w:firstLineChars="200"/>
              <w:rPr>
                <w:bCs/>
                <w:sz w:val="24"/>
              </w:rPr>
            </w:pPr>
            <w:r>
              <w:rPr>
                <w:rFonts w:hint="eastAsia"/>
                <w:bCs/>
                <w:sz w:val="24"/>
              </w:rPr>
              <w:t>根据《重庆市人民政府关于印发重庆市生态文明建设“十三五”规划的通知》和《重庆市人民政府办公厅关于印发重庆市生态保护红线划定方案的通知》，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重庆市管控要求见下表1.2.1-1。</w:t>
            </w:r>
          </w:p>
          <w:p>
            <w:pPr>
              <w:spacing w:line="480" w:lineRule="exact"/>
              <w:ind w:firstLine="482" w:firstLineChars="200"/>
              <w:rPr>
                <w:b/>
                <w:sz w:val="24"/>
              </w:rPr>
            </w:pPr>
            <w:r>
              <w:rPr>
                <w:rFonts w:hint="eastAsia"/>
                <w:b/>
                <w:sz w:val="24"/>
              </w:rPr>
              <w:t>（2）与《重庆市大足区人民政府关于落实生态保护红线、环境质量底线、资源利用上线制定生态环境准入清单实施生态环境分区管控的实施意见》（大足府发〔2020〕39号）符合性分析</w:t>
            </w:r>
          </w:p>
          <w:p>
            <w:pPr>
              <w:spacing w:line="480" w:lineRule="exact"/>
              <w:ind w:firstLine="480" w:firstLineChars="200"/>
              <w:rPr>
                <w:bCs/>
                <w:sz w:val="24"/>
              </w:rPr>
            </w:pPr>
            <w:r>
              <w:rPr>
                <w:rFonts w:hint="eastAsia"/>
                <w:bCs/>
                <w:sz w:val="24"/>
              </w:rPr>
              <w:t>拟建项目位于</w:t>
            </w:r>
            <w:r>
              <w:rPr>
                <w:rFonts w:hint="eastAsia"/>
                <w:sz w:val="24"/>
              </w:rPr>
              <w:t>重庆市大足区邮亭镇工业园区A7-01/01地块</w:t>
            </w:r>
            <w:r>
              <w:rPr>
                <w:rFonts w:hint="eastAsia"/>
                <w:bCs/>
                <w:sz w:val="24"/>
              </w:rPr>
              <w:t>，根据《重庆市大足区人民政府关于落实生态保护红线、环境质量底线、资源利用上线制定生态环境准入清单实施生态环境分区管控的实施意见》（大足府发〔2020〕39号），大足区环境管控单元包括优先保护单元、重点管控单元、一般管控单元三类。优先保护单元指以生态环境保护为主的区域，主要包括生态保护红线、集中式饮用水源保护区、自然保护地等生态功能重要区和生态环境敏感区。重点管控单元指涉及水、大气、土壤、自然资源等资源环境要素重点管控的区域，主要包括人口密集的城镇规划区和产业集聚的工业园区（工业集聚区）。一般管控单元指除优先保护单元和重点管控单元之外的其他区域，主要从产业调整或转移、生活和农业面源治理等方面落实生态环境保护基础性要求。大足区总体管控要求见下表1.2.1-</w:t>
            </w:r>
            <w:r>
              <w:rPr>
                <w:bCs/>
                <w:sz w:val="24"/>
              </w:rPr>
              <w:t>2</w:t>
            </w:r>
            <w:r>
              <w:rPr>
                <w:rFonts w:hint="eastAsia"/>
                <w:bCs/>
                <w:sz w:val="24"/>
              </w:rPr>
              <w:t>，具体管控单元要求符合性分析见下表1.2.1-</w:t>
            </w:r>
            <w:r>
              <w:rPr>
                <w:bCs/>
                <w:sz w:val="24"/>
              </w:rPr>
              <w:t>3</w:t>
            </w:r>
            <w:r>
              <w:rPr>
                <w:rFonts w:hint="eastAsia"/>
                <w:bCs/>
                <w:sz w:val="24"/>
              </w:rPr>
              <w:t>。</w:t>
            </w:r>
          </w:p>
          <w:p>
            <w:pPr>
              <w:autoSpaceDE w:val="0"/>
              <w:autoSpaceDN w:val="0"/>
              <w:adjustRightInd w:val="0"/>
              <w:snapToGrid w:val="0"/>
              <w:spacing w:line="360" w:lineRule="auto"/>
              <w:ind w:firstLine="420" w:firstLineChars="200"/>
              <w:jc w:val="center"/>
              <w:rPr>
                <w:kern w:val="21"/>
                <w:szCs w:val="21"/>
              </w:rPr>
            </w:pPr>
            <w:r>
              <w:rPr>
                <w:rFonts w:hint="eastAsia"/>
                <w:kern w:val="21"/>
                <w:szCs w:val="21"/>
              </w:rPr>
              <w:t>表1.2.1-1 重庆市大足区总体管控要求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3774"/>
              <w:gridCol w:w="2377"/>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管控类别</w:t>
                  </w: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全市重点管控单元总体管控要求</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本项目情况</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restart"/>
                  <w:vAlign w:val="center"/>
                </w:tcPr>
                <w:p>
                  <w:pPr>
                    <w:autoSpaceDE w:val="0"/>
                    <w:spacing w:line="240" w:lineRule="exact"/>
                    <w:rPr>
                      <w:rFonts w:eastAsiaTheme="minorEastAsia"/>
                      <w:kern w:val="0"/>
                      <w:sz w:val="18"/>
                      <w:szCs w:val="18"/>
                    </w:rPr>
                  </w:pPr>
                  <w:r>
                    <w:rPr>
                      <w:rFonts w:hint="eastAsia" w:eastAsiaTheme="minorEastAsia"/>
                      <w:kern w:val="0"/>
                      <w:sz w:val="18"/>
                      <w:szCs w:val="18"/>
                    </w:rPr>
                    <w:t>空间布局约束</w:t>
                  </w: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 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属于金属废料和碎屑加工处理类项目，符合《产业结构调整指导目录》、《重庆市产业投资准入工作手册》、《重庆市工业项目环境准入规定》、《重庆市长江经济带发展负面清单指南实施细则（试行）》等文件要求。</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2. 禁止在长江干流及主要支流岸线1公里范围内新建重化工、纺织、造纸等存在污染风险的工业项目，禁止在长江干支流1公里范围内新建、扩建化工园区和化工项目。5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拟建项目位于重庆市大足区邮亭镇工业园区A7-01/01地块，属于金属废料和碎屑加工处理类项目，不属于重化工、纺织、造纸等存在污染风险的工业项目。</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3. 在长江鱼嘴以上江段及其一级支流汇入口上游20 公里、嘉陵江及其一级支流汇入口上游20 公里、集中式饮用水水源取水口上游20 公里范围内的沿岸地区（江河50 年一遇洪水位向陆域一侧1公里范围内），禁止新建、扩建排放重点重金属（铬、镉、汞、砷、铅等五类重金属）、剧毒物质和持久性有机污染物的工业项目。</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拟建项目位于重庆市大足区邮亭镇工业园区A7-01/01地块，项目不排放重金属、剧毒物质和持久性有机污染物。</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4.严格执行相关行业企业布局选址要求，优化环境防护距离设置，按要求设置生态隔离带，防范工业园区（工业集聚区）涉生态环境“邻避”问题，将环境防护距离优化控制在园区边界或用地红线以内。</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拟建项目位于重庆市大足区邮亭镇工业园区A7-01/01地块，不设置环境防护距离，且项目控制在用地红线范围内，未位于园区边界。</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5. 加快布局分散的企业向园区集中，鼓励现有工业项目、化工项目分别搬入工业集聚区、化工产业集聚区。</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拟建项目位于重庆市大足区邮亭镇工业园区A7-01/01地块。</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6. 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拟建项目位于重庆市大足区邮亭镇工业园区A7-01/01地块，周边不涉及集中居住区。</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restart"/>
                  <w:vAlign w:val="center"/>
                </w:tcPr>
                <w:p>
                  <w:pPr>
                    <w:autoSpaceDE w:val="0"/>
                    <w:spacing w:line="240" w:lineRule="exact"/>
                    <w:rPr>
                      <w:rFonts w:eastAsiaTheme="minorEastAsia"/>
                      <w:kern w:val="0"/>
                      <w:sz w:val="18"/>
                      <w:szCs w:val="18"/>
                    </w:rPr>
                  </w:pPr>
                  <w:r>
                    <w:rPr>
                      <w:rFonts w:hint="eastAsia" w:eastAsiaTheme="minorEastAsia"/>
                      <w:kern w:val="0"/>
                      <w:sz w:val="18"/>
                      <w:szCs w:val="18"/>
                    </w:rPr>
                    <w:t>污染物排放管控</w:t>
                  </w: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7. 未达到国家环境质量标准的重点区域、流域的有关地方人民政府，应当制定限期达标规划，并采取措施按期达标。</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根据《2021重庆市环境状况公报》，大足区属于达标区。</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8. 巩固（不符合国家产业政策的小型造纸、制革、印染、染料、炼焦、炼硫、炼砷、炼油、电镀、农药、涉磷生产和使用等企业）取缔成果，防止死灰复燃。巩固“十一大”（造纸、焦化、氮肥、有色金属、印染、农副产品及食品加工、原料药制造(生化制药)、制革、农药、电镀以及涉磷产品等）企业污染整治成果。</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拟建项目属于金属废料和碎屑加工处理类项目，不属于小型造纸、制革、印染、染料、炼焦、炼硫、炼砷、炼油、电镀、农药、涉磷生产和使用等企业。</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9. 主城区及江津区、合川区、璧山区、铜梁区二氧化硫、氮氧化物、颗粒物、挥发性有机物严格执行大气污染物特别排放限值，并逐步将执行范围扩大到重点控制区重点行业。</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拟建项目位于大足区，不执行特别排放限值。</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10. 新建、改建、扩建涉VOCs排放的项目，加强源头控制，使用低（无）VOCs含量的原辅料，加强废气收集，安装高效治理设施。有条件的工业集聚区建设集中喷涂中心，配备高效治污设施，替代企业独立喷涂工序。</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拟建项目涉及VOCs的原料主要为油类，挥发量较小。</w:t>
                  </w:r>
                  <w:r>
                    <w:rPr>
                      <w:rFonts w:hint="eastAsia" w:hAnsi="宋体"/>
                      <w:sz w:val="18"/>
                      <w:szCs w:val="18"/>
                    </w:rPr>
                    <w:t>油液挥发废气经集气罩收集（收集效率80%）后经二级活性炭吸附处理（处理效率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m的DA001排气筒排放，对环境影响较小。</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11. 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1715" w:type="pct"/>
                  <w:vAlign w:val="center"/>
                </w:tcPr>
                <w:p>
                  <w:pPr>
                    <w:autoSpaceDE w:val="0"/>
                    <w:spacing w:line="240" w:lineRule="exact"/>
                    <w:rPr>
                      <w:rFonts w:eastAsiaTheme="minorEastAsia"/>
                      <w:kern w:val="0"/>
                      <w:sz w:val="18"/>
                      <w:szCs w:val="18"/>
                    </w:rPr>
                  </w:pPr>
                  <w:r>
                    <w:rPr>
                      <w:rFonts w:hint="eastAsia"/>
                      <w:kern w:val="0"/>
                      <w:sz w:val="18"/>
                      <w:szCs w:val="18"/>
                    </w:rPr>
                    <w:t>厂区内所有废水一并</w:t>
                  </w:r>
                  <w:r>
                    <w:rPr>
                      <w:kern w:val="0"/>
                      <w:sz w:val="18"/>
                      <w:szCs w:val="18"/>
                    </w:rPr>
                    <w:t>进入厂区内新建污水处理站处理达</w:t>
                  </w:r>
                  <w:r>
                    <w:rPr>
                      <w:rFonts w:hint="eastAsia"/>
                      <w:kern w:val="0"/>
                      <w:sz w:val="18"/>
                      <w:szCs w:val="18"/>
                    </w:rPr>
                    <w:t>《污水综合排放标准》（GB8978-1996）三级排放标准（其中氨氮、总氮、总磷参照执行《污水排入城镇下水道水质标准》（GB/T31962-2015））后进入双桥园区污水处理厂进一步处理。</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restart"/>
                  <w:vAlign w:val="center"/>
                </w:tcPr>
                <w:p>
                  <w:pPr>
                    <w:autoSpaceDE w:val="0"/>
                    <w:spacing w:line="240" w:lineRule="exact"/>
                    <w:rPr>
                      <w:rFonts w:eastAsiaTheme="minorEastAsia"/>
                      <w:kern w:val="0"/>
                      <w:sz w:val="18"/>
                      <w:szCs w:val="18"/>
                    </w:rPr>
                  </w:pPr>
                  <w:r>
                    <w:rPr>
                      <w:rFonts w:hint="eastAsia" w:eastAsiaTheme="minorEastAsia"/>
                      <w:kern w:val="0"/>
                      <w:sz w:val="18"/>
                      <w:szCs w:val="18"/>
                    </w:rPr>
                    <w:t>环境风险防控</w:t>
                  </w: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12. 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13. 禁止建设存在重大环境安全隐患的工业项目。严禁工艺技术落后、环境风险高的化工企业向我市转移。</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拟建项目属于金属废料和碎屑加工处理类项目，采取一系列风险方法措施后，不存在重大环境安全隐患，且项目设置了健全的环境风险防范措施后环境风险可控，项目采用国内先进生产工艺。</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restart"/>
                  <w:vAlign w:val="center"/>
                </w:tcPr>
                <w:p>
                  <w:pPr>
                    <w:autoSpaceDE w:val="0"/>
                    <w:spacing w:line="240" w:lineRule="exact"/>
                    <w:rPr>
                      <w:rFonts w:eastAsiaTheme="minorEastAsia"/>
                      <w:kern w:val="0"/>
                      <w:sz w:val="18"/>
                      <w:szCs w:val="18"/>
                    </w:rPr>
                  </w:pPr>
                  <w:r>
                    <w:rPr>
                      <w:rFonts w:hint="eastAsia" w:eastAsiaTheme="minorEastAsia"/>
                      <w:kern w:val="0"/>
                      <w:sz w:val="18"/>
                      <w:szCs w:val="18"/>
                    </w:rPr>
                    <w:t>资源利用效率</w:t>
                  </w: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14. 加强资源节约集约利用。实行能源、水资源、建设用地总量和强度双控行动，推进节能、节水、节地、节材等节约自然资源行动，从源头减少污染物排放。</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拟建项目属于金属废料和碎屑加工处理类项目，用水量少，采用节能设备，进一步节约能源。</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15. 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拟建项目不使用高污染燃料。</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16. 电力、钢铁、纺织、造纸、石油石化、化工、食品发酵等高耗水行业达到先进定额标准。</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拟建项目属于金属废料和碎屑加工处理类项目，不属于电力、钢铁、纺织、造纸、石油石化、化工、食品发酵等高耗水行业。</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17. 重点控制区域新建高耗能项目单位产品（产值）能耗要达到国际先进水平。</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拟建项目单位产品（产值）能耗达到国际先进水平。</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281" w:type="pct"/>
                  <w:vMerge w:val="continue"/>
                  <w:vAlign w:val="center"/>
                </w:tcPr>
                <w:p>
                  <w:pPr>
                    <w:autoSpaceDE w:val="0"/>
                    <w:spacing w:line="240" w:lineRule="exact"/>
                    <w:rPr>
                      <w:rFonts w:eastAsiaTheme="minorEastAsia"/>
                      <w:kern w:val="0"/>
                      <w:sz w:val="18"/>
                      <w:szCs w:val="18"/>
                    </w:rPr>
                  </w:pPr>
                </w:p>
              </w:tc>
              <w:tc>
                <w:tcPr>
                  <w:tcW w:w="2723"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18. 水利水电工程应保证合理的生态流量，具备条件的都应实施生态流量监测监控。</w:t>
                  </w:r>
                </w:p>
              </w:tc>
              <w:tc>
                <w:tcPr>
                  <w:tcW w:w="1715"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w:t>
                  </w:r>
                </w:p>
              </w:tc>
              <w:tc>
                <w:tcPr>
                  <w:tcW w:w="281" w:type="pct"/>
                  <w:vAlign w:val="center"/>
                </w:tcPr>
                <w:p>
                  <w:pPr>
                    <w:autoSpaceDE w:val="0"/>
                    <w:spacing w:line="240" w:lineRule="exact"/>
                    <w:rPr>
                      <w:rFonts w:eastAsiaTheme="minorEastAsia"/>
                      <w:kern w:val="0"/>
                      <w:sz w:val="18"/>
                      <w:szCs w:val="18"/>
                    </w:rPr>
                  </w:pPr>
                  <w:r>
                    <w:rPr>
                      <w:rFonts w:hint="eastAsia" w:eastAsiaTheme="minorEastAsia"/>
                      <w:kern w:val="0"/>
                      <w:sz w:val="18"/>
                      <w:szCs w:val="18"/>
                    </w:rPr>
                    <w:t>/</w:t>
                  </w:r>
                </w:p>
              </w:tc>
            </w:tr>
          </w:tbl>
          <w:p>
            <w:pPr>
              <w:autoSpaceDE w:val="0"/>
              <w:autoSpaceDN w:val="0"/>
              <w:adjustRightInd w:val="0"/>
              <w:snapToGrid w:val="0"/>
              <w:spacing w:line="360" w:lineRule="auto"/>
              <w:ind w:firstLine="420" w:firstLineChars="200"/>
              <w:jc w:val="center"/>
              <w:rPr>
                <w:kern w:val="21"/>
                <w:szCs w:val="21"/>
              </w:rPr>
            </w:pPr>
          </w:p>
          <w:p>
            <w:pPr>
              <w:autoSpaceDE w:val="0"/>
              <w:autoSpaceDN w:val="0"/>
              <w:adjustRightInd w:val="0"/>
              <w:snapToGrid w:val="0"/>
              <w:jc w:val="center"/>
              <w:rPr>
                <w:kern w:val="21"/>
                <w:sz w:val="18"/>
                <w:szCs w:val="18"/>
              </w:rPr>
            </w:pPr>
            <w:r>
              <w:rPr>
                <w:rFonts w:hint="eastAsia"/>
                <w:kern w:val="21"/>
                <w:sz w:val="18"/>
                <w:szCs w:val="18"/>
              </w:rPr>
              <w:t>表</w:t>
            </w:r>
            <w:r>
              <w:rPr>
                <w:kern w:val="21"/>
                <w:sz w:val="18"/>
                <w:szCs w:val="18"/>
              </w:rPr>
              <w:t>1.2.1</w:t>
            </w:r>
            <w:r>
              <w:rPr>
                <w:rFonts w:hint="eastAsia"/>
                <w:kern w:val="21"/>
                <w:sz w:val="18"/>
                <w:szCs w:val="18"/>
              </w:rPr>
              <w:t>-</w:t>
            </w:r>
            <w:r>
              <w:rPr>
                <w:kern w:val="21"/>
                <w:sz w:val="18"/>
                <w:szCs w:val="18"/>
              </w:rPr>
              <w:t xml:space="preserve">2  </w:t>
            </w:r>
            <w:r>
              <w:rPr>
                <w:rFonts w:hint="eastAsia"/>
                <w:kern w:val="21"/>
                <w:sz w:val="18"/>
                <w:szCs w:val="18"/>
              </w:rPr>
              <w:t>大足区总体管控要求一览表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3721"/>
              <w:gridCol w:w="1821"/>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管控类别</w:t>
                  </w:r>
                </w:p>
              </w:tc>
              <w:tc>
                <w:tcPr>
                  <w:tcW w:w="3721"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具体要求</w:t>
                  </w:r>
                </w:p>
              </w:tc>
              <w:tc>
                <w:tcPr>
                  <w:tcW w:w="1821"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拟建项目情况</w:t>
                  </w:r>
                </w:p>
              </w:tc>
              <w:tc>
                <w:tcPr>
                  <w:tcW w:w="745"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空间布局约束</w:t>
                  </w: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针对玉龙山森林公园内矿山开采现状，对已开采矿区提出生态环境修复要求，并由政府引导矿业开采公司逐步退出玉龙山森林公园。</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拟建项目位于重庆市大足区邮亭镇工业园区A7-01/01地块，不在</w:t>
                  </w:r>
                  <w:r>
                    <w:rPr>
                      <w:rFonts w:hint="eastAsia"/>
                      <w:szCs w:val="18"/>
                    </w:rPr>
                    <w:t>玉龙山森林公园区域。</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针对部分区域存在工业、居住、商业三区混杂的局面，严格产业准入，除确需单独布局的项目外，新建工业企业必须进入园区或工业集聚区，涉及</w:t>
                  </w:r>
                  <w:r>
                    <w:rPr>
                      <w:sz w:val="18"/>
                      <w:szCs w:val="18"/>
                    </w:rPr>
                    <w:t>VOCs</w:t>
                  </w:r>
                  <w:r>
                    <w:rPr>
                      <w:rFonts w:hint="eastAsia"/>
                      <w:sz w:val="18"/>
                      <w:szCs w:val="18"/>
                    </w:rPr>
                    <w:t>、恶臭气体等产生项目应由环评确定合理的环境防护距离；园区外的锶盐精细化工企业应逐步实施搬迁进入园区。</w:t>
                  </w:r>
                </w:p>
              </w:tc>
              <w:tc>
                <w:tcPr>
                  <w:tcW w:w="18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hAnsi="宋体"/>
                      <w:sz w:val="18"/>
                      <w:szCs w:val="18"/>
                    </w:rPr>
                  </w:pPr>
                  <w:r>
                    <w:rPr>
                      <w:rFonts w:hint="eastAsia"/>
                      <w:bCs/>
                      <w:sz w:val="18"/>
                      <w:szCs w:val="18"/>
                    </w:rPr>
                    <w:t>拟建项目位于重庆市大足区邮亭镇工业园区A7-01/01地块，VOCs废气产生量较小，</w:t>
                  </w:r>
                  <w:r>
                    <w:rPr>
                      <w:rFonts w:hint="eastAsia" w:hAnsi="宋体"/>
                      <w:sz w:val="18"/>
                      <w:szCs w:val="18"/>
                    </w:rPr>
                    <w:t>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m的DA001排气筒排放。污水处理站密闭，产生的臭气经收集后引至业务用房屋顶。</w:t>
                  </w:r>
                </w:p>
                <w:p>
                  <w:pPr>
                    <w:pStyle w:val="10"/>
                    <w:spacing w:before="0" w:after="0" w:line="240" w:lineRule="exact"/>
                    <w:ind w:right="0"/>
                    <w:jc w:val="center"/>
                    <w:rPr>
                      <w:szCs w:val="18"/>
                    </w:rPr>
                  </w:pPr>
                  <w:r>
                    <w:rPr>
                      <w:rFonts w:hint="eastAsia"/>
                      <w:szCs w:val="18"/>
                    </w:rPr>
                    <w:t>生产过程均配套设置了废气收集和处理措施，少量未被收集的废气在厂区内无组织排放。</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在国家法律、法规、行政规章及规划确定或县级以上人民政府批准的饮用水水源保护区、基本农田保护区、自然保护区、风景名胜区、生态功能保护区等需要特殊保护的地区，大中城市及其近郊，居民集中区、疗养地、医院周边</w:t>
                  </w:r>
                  <w:r>
                    <w:rPr>
                      <w:sz w:val="18"/>
                      <w:szCs w:val="18"/>
                    </w:rPr>
                    <w:t>1km</w:t>
                  </w:r>
                  <w:r>
                    <w:rPr>
                      <w:rFonts w:hint="eastAsia"/>
                      <w:sz w:val="18"/>
                      <w:szCs w:val="18"/>
                    </w:rPr>
                    <w:t>内不得新建再生铅企业。</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拟建项目为金属废料和碎屑加工处理类项目，属于废旧汽车拆解回收及加工业，不涉及</w:t>
                  </w:r>
                  <w:r>
                    <w:rPr>
                      <w:rFonts w:hint="eastAsia"/>
                      <w:szCs w:val="18"/>
                    </w:rPr>
                    <w:t>再生铅。</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第一条对工业用地上</w:t>
                  </w:r>
                  <w:r>
                    <w:rPr>
                      <w:sz w:val="18"/>
                      <w:szCs w:val="18"/>
                    </w:rPr>
                    <w:t>“</w:t>
                  </w:r>
                  <w:r>
                    <w:rPr>
                      <w:rFonts w:hint="eastAsia"/>
                      <w:sz w:val="18"/>
                      <w:szCs w:val="18"/>
                    </w:rPr>
                    <w:t>零土地</w:t>
                  </w:r>
                  <w:r>
                    <w:rPr>
                      <w:sz w:val="18"/>
                      <w:szCs w:val="18"/>
                    </w:rPr>
                    <w:t>”</w:t>
                  </w:r>
                  <w:r>
                    <w:rPr>
                      <w:rFonts w:hint="eastAsia"/>
                      <w:sz w:val="18"/>
                      <w:szCs w:val="18"/>
                    </w:rPr>
                    <w:t>（不涉及新征建设用地）技术改造升级且</w:t>
                  </w:r>
                  <w:r>
                    <w:rPr>
                      <w:sz w:val="18"/>
                      <w:szCs w:val="18"/>
                    </w:rPr>
                    <w:t>“</w:t>
                  </w:r>
                  <w:r>
                    <w:rPr>
                      <w:rFonts w:hint="eastAsia"/>
                      <w:sz w:val="18"/>
                      <w:szCs w:val="18"/>
                    </w:rPr>
                    <w:t>两不增</w:t>
                  </w:r>
                  <w:r>
                    <w:rPr>
                      <w:sz w:val="18"/>
                      <w:szCs w:val="18"/>
                    </w:rPr>
                    <w:t>”</w:t>
                  </w:r>
                  <w:r>
                    <w:rPr>
                      <w:rFonts w:hint="eastAsia"/>
                      <w:sz w:val="18"/>
                      <w:szCs w:val="18"/>
                    </w:rPr>
                    <w:t>（不增加污染物排放总量、不增大环境风险）的建设项目，对原老工业企业集聚区（地）在城乡规划未改变其工业用地性质的前提和期限内，且列入所在区县工业发展等规划并依法开展了规划环评的项目，依法依规加快推进环评文件审批。</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szCs w:val="18"/>
                    </w:rPr>
                    <w:t>拟建项目</w:t>
                  </w:r>
                  <w:r>
                    <w:rPr>
                      <w:rFonts w:hint="eastAsia"/>
                      <w:szCs w:val="18"/>
                    </w:rPr>
                    <w:t>按照相关要求进行环境影响评价。</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第二条大足高新区（万古组团）可布局发展锶盐深加工及新材料特色产业。</w:t>
                  </w:r>
                  <w:r>
                    <w:rPr>
                      <w:sz w:val="18"/>
                      <w:szCs w:val="18"/>
                    </w:rPr>
                    <w:t xml:space="preserve"> </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拟建项目位于重庆市大足区邮亭镇工业园区A7-01/01地块，不在</w:t>
                  </w:r>
                  <w:r>
                    <w:rPr>
                      <w:rFonts w:hint="eastAsia"/>
                      <w:szCs w:val="18"/>
                    </w:rPr>
                    <w:t>大足高新区（万古组团）。</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污染物排放管控</w:t>
                  </w: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三条太平河漫水桥管控单元对新建工业项目增加的总磷污染物排放量，须在该区域内实行等量削减；瀚溪河玉滩水库管控单元在玉滩水库水质未达标前，严格控制引入新增相应超标因子水污染物排放的工业项目。</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拟建项目位于重庆市大足区邮亭镇工业园区A7-01/01地块，</w:t>
                  </w:r>
                  <w:r>
                    <w:rPr>
                      <w:rFonts w:hint="eastAsia"/>
                      <w:szCs w:val="18"/>
                    </w:rPr>
                    <w:t>根据《关于解除太平河漫水桥断面水质不达标问题挂牌督办的函》（渝环函〔</w:t>
                  </w:r>
                  <w:r>
                    <w:rPr>
                      <w:szCs w:val="18"/>
                    </w:rPr>
                    <w:t>2020</w:t>
                  </w:r>
                  <w:r>
                    <w:rPr>
                      <w:rFonts w:hint="eastAsia"/>
                      <w:szCs w:val="18"/>
                    </w:rPr>
                    <w:t>〕</w:t>
                  </w:r>
                  <w:r>
                    <w:rPr>
                      <w:szCs w:val="18"/>
                    </w:rPr>
                    <w:t>667</w:t>
                  </w:r>
                  <w:r>
                    <w:rPr>
                      <w:rFonts w:hint="eastAsia"/>
                      <w:szCs w:val="18"/>
                    </w:rPr>
                    <w:t>号）文件可知，太平河已恢复</w:t>
                  </w:r>
                  <w:r>
                    <w:rPr>
                      <w:szCs w:val="18"/>
                    </w:rPr>
                    <w:t>Ⅳ</w:t>
                  </w:r>
                  <w:r>
                    <w:rPr>
                      <w:rFonts w:hint="eastAsia"/>
                      <w:szCs w:val="18"/>
                    </w:rPr>
                    <w:t>类水域功能。</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第四条新建、改建、扩建涉</w:t>
                  </w:r>
                  <w:r>
                    <w:rPr>
                      <w:sz w:val="18"/>
                      <w:szCs w:val="18"/>
                    </w:rPr>
                    <w:t>VOCs</w:t>
                  </w:r>
                  <w:r>
                    <w:rPr>
                      <w:rFonts w:hint="eastAsia"/>
                      <w:sz w:val="18"/>
                      <w:szCs w:val="18"/>
                    </w:rPr>
                    <w:t>排放的项目，要加强源头控制，使用低（无）</w:t>
                  </w:r>
                  <w:r>
                    <w:rPr>
                      <w:sz w:val="18"/>
                      <w:szCs w:val="18"/>
                    </w:rPr>
                    <w:t>VOCs</w:t>
                  </w:r>
                  <w:r>
                    <w:rPr>
                      <w:rFonts w:hint="eastAsia"/>
                      <w:sz w:val="18"/>
                      <w:szCs w:val="18"/>
                    </w:rPr>
                    <w:t>含量的原辅料，加强废气收集，安装高效治理设施。鼓励推广使用符合环保要求的高固体分、水性涂料、粉末涂料、紫外光固化涂料。</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拟建项目VOCs废气产生量较小，</w:t>
                  </w:r>
                  <w:r>
                    <w:rPr>
                      <w:rFonts w:hint="eastAsia" w:hAnsi="宋体"/>
                      <w:szCs w:val="18"/>
                    </w:rPr>
                    <w:t>经集气罩收集（收集效率80%）后经二级活性炭吸附处理（处理效率</w:t>
                  </w:r>
                  <w:r>
                    <w:rPr>
                      <w:rFonts w:hAnsi="宋体"/>
                      <w:szCs w:val="18"/>
                    </w:rPr>
                    <w:t>55</w:t>
                  </w:r>
                  <w:r>
                    <w:rPr>
                      <w:rFonts w:hint="eastAsia" w:hAnsi="宋体"/>
                      <w:szCs w:val="18"/>
                    </w:rPr>
                    <w:t>%）后气经高15m、内径0.</w:t>
                  </w:r>
                  <w:r>
                    <w:rPr>
                      <w:rFonts w:hAnsi="宋体"/>
                      <w:szCs w:val="18"/>
                    </w:rPr>
                    <w:t>4</w:t>
                  </w:r>
                  <w:r>
                    <w:rPr>
                      <w:rFonts w:hint="eastAsia" w:hAnsi="宋体"/>
                      <w:szCs w:val="18"/>
                    </w:rPr>
                    <w:t>m的DA001排气筒排放。</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dxa"/>
                  <w:vMerge w:val="restart"/>
                  <w:tcBorders>
                    <w:top w:val="single" w:color="auto" w:sz="4" w:space="0"/>
                    <w:left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环境风险防控</w:t>
                  </w:r>
                </w:p>
              </w:tc>
              <w:tc>
                <w:tcPr>
                  <w:tcW w:w="368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第五条大足工业园（龙水园区）、龙水镇小微企业园应严禁引入排放含重金属（汞、铬、镉、铅和类金属砷）、剧毒物质的工业项目。</w:t>
                  </w:r>
                </w:p>
              </w:tc>
              <w:tc>
                <w:tcPr>
                  <w:tcW w:w="1802"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bCs/>
                      <w:szCs w:val="18"/>
                    </w:rPr>
                    <w:t>拟建项目不在</w:t>
                  </w:r>
                  <w:r>
                    <w:rPr>
                      <w:rFonts w:hint="eastAsia"/>
                      <w:szCs w:val="18"/>
                    </w:rPr>
                    <w:t>大足工业园（龙水园区）、龙水镇小微企业园。</w:t>
                  </w:r>
                </w:p>
              </w:tc>
              <w:tc>
                <w:tcPr>
                  <w:tcW w:w="737"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3" w:type="dxa"/>
                  <w:vMerge w:val="continue"/>
                  <w:tcBorders>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p>
              </w:tc>
              <w:tc>
                <w:tcPr>
                  <w:tcW w:w="3721"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第六条进一步推进污染地块场地评估及修复。持续推进龙水电镀园区、重庆大足红蝶锶业有限公司（龙水工厂）等企业搬迁后遗留污染地块的修复与治理工作，并在修复过程中，应防止二次污染。</w:t>
                  </w:r>
                </w:p>
              </w:tc>
              <w:tc>
                <w:tcPr>
                  <w:tcW w:w="1821"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szCs w:val="18"/>
                    </w:rPr>
                    <w:t>拟建项目不涉及</w:t>
                  </w:r>
                  <w:r>
                    <w:rPr>
                      <w:rFonts w:hint="eastAsia"/>
                      <w:szCs w:val="18"/>
                    </w:rPr>
                    <w:t>污染地块场地评估及修复。</w:t>
                  </w:r>
                </w:p>
              </w:tc>
              <w:tc>
                <w:tcPr>
                  <w:tcW w:w="745"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3"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资源开发效率要求</w:t>
                  </w:r>
                </w:p>
              </w:tc>
              <w:tc>
                <w:tcPr>
                  <w:tcW w:w="3721"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第七条新、改建工业项目的水资源消耗水平应优于《重庆市工业项目环境准入规定》中的准入值及行业平均值，企业水耗应达到先进定额标准。城区污水处理厂推广中水回用。</w:t>
                  </w:r>
                </w:p>
              </w:tc>
              <w:tc>
                <w:tcPr>
                  <w:tcW w:w="1821"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szCs w:val="18"/>
                    </w:rPr>
                    <w:t>拟建项目</w:t>
                  </w:r>
                  <w:r>
                    <w:rPr>
                      <w:rFonts w:hint="eastAsia"/>
                      <w:szCs w:val="18"/>
                    </w:rPr>
                    <w:t>企业水耗达到先进定额标准。</w:t>
                  </w:r>
                </w:p>
              </w:tc>
              <w:tc>
                <w:tcPr>
                  <w:tcW w:w="745"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3721"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第八条高污染燃料禁燃区禁止燃煤，其他区域燃煤应严格限制用煤，禁止新建</w:t>
                  </w:r>
                  <w:r>
                    <w:rPr>
                      <w:sz w:val="18"/>
                      <w:szCs w:val="18"/>
                    </w:rPr>
                    <w:t>20</w:t>
                  </w:r>
                  <w:r>
                    <w:rPr>
                      <w:rFonts w:hint="eastAsia"/>
                      <w:sz w:val="18"/>
                      <w:szCs w:val="18"/>
                    </w:rPr>
                    <w:t>蒸吨</w:t>
                  </w:r>
                  <w:r>
                    <w:rPr>
                      <w:sz w:val="18"/>
                      <w:szCs w:val="18"/>
                    </w:rPr>
                    <w:t>/</w:t>
                  </w:r>
                  <w:r>
                    <w:rPr>
                      <w:rFonts w:hint="eastAsia"/>
                      <w:sz w:val="18"/>
                      <w:szCs w:val="18"/>
                    </w:rPr>
                    <w:t>小时及以下的燃煤锅炉，要求使用低硫、低灰分及洁净煤燃烧技术。</w:t>
                  </w:r>
                </w:p>
              </w:tc>
              <w:tc>
                <w:tcPr>
                  <w:tcW w:w="1821"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szCs w:val="18"/>
                    </w:rPr>
                    <w:t>拟建项目不使用</w:t>
                  </w:r>
                  <w:r>
                    <w:rPr>
                      <w:rFonts w:hint="eastAsia"/>
                      <w:szCs w:val="18"/>
                    </w:rPr>
                    <w:t>燃煤锅炉。</w:t>
                  </w:r>
                </w:p>
              </w:tc>
              <w:tc>
                <w:tcPr>
                  <w:tcW w:w="745"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bl>
          <w:p>
            <w:pPr>
              <w:autoSpaceDE w:val="0"/>
              <w:autoSpaceDN w:val="0"/>
              <w:adjustRightInd w:val="0"/>
              <w:snapToGrid w:val="0"/>
              <w:spacing w:line="360" w:lineRule="auto"/>
              <w:ind w:firstLine="420" w:firstLineChars="200"/>
              <w:jc w:val="center"/>
              <w:rPr>
                <w:kern w:val="21"/>
                <w:szCs w:val="21"/>
              </w:rPr>
            </w:pPr>
          </w:p>
          <w:p>
            <w:pPr>
              <w:autoSpaceDE w:val="0"/>
              <w:autoSpaceDN w:val="0"/>
              <w:adjustRightInd w:val="0"/>
              <w:snapToGrid w:val="0"/>
              <w:spacing w:line="360" w:lineRule="auto"/>
              <w:ind w:firstLine="420" w:firstLineChars="200"/>
              <w:jc w:val="center"/>
              <w:rPr>
                <w:kern w:val="21"/>
                <w:szCs w:val="21"/>
              </w:rPr>
            </w:pPr>
            <w:r>
              <w:rPr>
                <w:rFonts w:hint="eastAsia"/>
                <w:kern w:val="21"/>
                <w:szCs w:val="21"/>
              </w:rPr>
              <w:t>表1.2.2-</w:t>
            </w:r>
            <w:r>
              <w:rPr>
                <w:kern w:val="21"/>
                <w:szCs w:val="21"/>
              </w:rPr>
              <w:t xml:space="preserve">3 </w:t>
            </w:r>
            <w:r>
              <w:rPr>
                <w:rFonts w:hint="eastAsia"/>
                <w:kern w:val="21"/>
                <w:szCs w:val="21"/>
              </w:rPr>
              <w:t>环境管控单元管控要求符合性分析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853"/>
              <w:gridCol w:w="2961"/>
              <w:gridCol w:w="1487"/>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3"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环境管控单元名称及编码</w:t>
                  </w:r>
                </w:p>
              </w:tc>
              <w:tc>
                <w:tcPr>
                  <w:tcW w:w="890"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管控类别</w:t>
                  </w:r>
                </w:p>
              </w:tc>
              <w:tc>
                <w:tcPr>
                  <w:tcW w:w="3125"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执行的市级总体管控要求</w:t>
                  </w:r>
                </w:p>
              </w:tc>
              <w:tc>
                <w:tcPr>
                  <w:tcW w:w="1563"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项目情况</w:t>
                  </w:r>
                </w:p>
              </w:tc>
              <w:tc>
                <w:tcPr>
                  <w:tcW w:w="556"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3" w:type="dxa"/>
                  <w:vMerge w:val="restart"/>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大足区重点管控单元</w:t>
                  </w:r>
                  <w:r>
                    <w:rPr>
                      <w:szCs w:val="18"/>
                    </w:rPr>
                    <w:t>—</w:t>
                  </w:r>
                  <w:r>
                    <w:rPr>
                      <w:rFonts w:hint="eastAsia"/>
                      <w:szCs w:val="18"/>
                    </w:rPr>
                    <w:t>太平河漫水桥，编码：</w:t>
                  </w:r>
                  <w:r>
                    <w:rPr>
                      <w:szCs w:val="18"/>
                    </w:rPr>
                    <w:t>ZH50011120002</w:t>
                  </w:r>
                  <w:r>
                    <w:rPr>
                      <w:rFonts w:hint="eastAsia"/>
                      <w:szCs w:val="18"/>
                    </w:rPr>
                    <w:t>，重点管控单元</w:t>
                  </w:r>
                </w:p>
              </w:tc>
              <w:tc>
                <w:tcPr>
                  <w:tcW w:w="890"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空间布局约束</w:t>
                  </w:r>
                </w:p>
              </w:tc>
              <w:tc>
                <w:tcPr>
                  <w:tcW w:w="3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rPr>
                  </w:pPr>
                  <w:r>
                    <w:rPr>
                      <w:rFonts w:hint="eastAsia"/>
                      <w:sz w:val="18"/>
                      <w:szCs w:val="18"/>
                    </w:rPr>
                    <w:t>双桥工业园区工业用地与居住用地之间设置绿化隔离带；艾诺斯电池等现有企业应严格管控环境防护距离。邮亭工业园</w:t>
                  </w:r>
                  <w:r>
                    <w:rPr>
                      <w:sz w:val="18"/>
                      <w:szCs w:val="18"/>
                    </w:rPr>
                    <w:t>A</w:t>
                  </w:r>
                  <w:r>
                    <w:rPr>
                      <w:rFonts w:hint="eastAsia"/>
                      <w:sz w:val="18"/>
                      <w:szCs w:val="18"/>
                    </w:rPr>
                    <w:t>区再生铅企业与环境敏感点应设置不小于</w:t>
                  </w:r>
                  <w:r>
                    <w:rPr>
                      <w:sz w:val="18"/>
                      <w:szCs w:val="18"/>
                    </w:rPr>
                    <w:t>1</w:t>
                  </w:r>
                  <w:r>
                    <w:rPr>
                      <w:rFonts w:hint="eastAsia"/>
                      <w:sz w:val="18"/>
                      <w:szCs w:val="18"/>
                    </w:rPr>
                    <w:t>公里的环境防护距离；智伦电镀园区等企业严格管控环境防护距离</w:t>
                  </w:r>
                </w:p>
              </w:tc>
              <w:tc>
                <w:tcPr>
                  <w:tcW w:w="156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bCs/>
                      <w:sz w:val="18"/>
                      <w:szCs w:val="18"/>
                    </w:rPr>
                    <w:t>拟建项目位于重庆市大足区邮亭镇工业园区A7-01/01地块，不设置卫生防护距离。</w:t>
                  </w:r>
                </w:p>
              </w:tc>
              <w:tc>
                <w:tcPr>
                  <w:tcW w:w="556"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污染物排放管控</w:t>
                  </w:r>
                </w:p>
              </w:tc>
              <w:tc>
                <w:tcPr>
                  <w:tcW w:w="3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kern w:val="0"/>
                      <w:sz w:val="18"/>
                      <w:szCs w:val="18"/>
                    </w:rPr>
                  </w:pPr>
                  <w:r>
                    <w:rPr>
                      <w:rFonts w:hint="eastAsia"/>
                      <w:sz w:val="18"/>
                      <w:szCs w:val="18"/>
                    </w:rPr>
                    <w:t>在太平河流域水质达标前，新增总磷污染物的工业项目，须在区域内实行等量削减。太平河流域内新建城镇污水处理设施要执行一级</w:t>
                  </w:r>
                  <w:r>
                    <w:rPr>
                      <w:sz w:val="18"/>
                      <w:szCs w:val="18"/>
                    </w:rPr>
                    <w:t>B</w:t>
                  </w:r>
                  <w:r>
                    <w:rPr>
                      <w:rFonts w:hint="eastAsia"/>
                      <w:sz w:val="18"/>
                      <w:szCs w:val="18"/>
                    </w:rPr>
                    <w:t>排放标准。包括邮亭镇污水处理厂在内的现有集中式污水处理设施应逐步进行提标改造，排水执行一级</w:t>
                  </w:r>
                  <w:r>
                    <w:rPr>
                      <w:sz w:val="18"/>
                      <w:szCs w:val="18"/>
                    </w:rPr>
                    <w:t>B</w:t>
                  </w:r>
                  <w:r>
                    <w:rPr>
                      <w:rFonts w:hint="eastAsia"/>
                      <w:sz w:val="18"/>
                      <w:szCs w:val="18"/>
                    </w:rPr>
                    <w:t>排放标准。加强对废气尤其是有毒及恶臭气体的收集和处理率。新建、改建、扩建涉</w:t>
                  </w:r>
                  <w:r>
                    <w:rPr>
                      <w:sz w:val="18"/>
                      <w:szCs w:val="18"/>
                    </w:rPr>
                    <w:t>VOCs</w:t>
                  </w:r>
                  <w:r>
                    <w:rPr>
                      <w:rFonts w:hint="eastAsia"/>
                      <w:sz w:val="18"/>
                      <w:szCs w:val="18"/>
                    </w:rPr>
                    <w:t>排放的项目，要加强源头控制，使用低（无）</w:t>
                  </w:r>
                  <w:r>
                    <w:rPr>
                      <w:sz w:val="18"/>
                      <w:szCs w:val="18"/>
                    </w:rPr>
                    <w:t>VOCs</w:t>
                  </w:r>
                  <w:r>
                    <w:rPr>
                      <w:rFonts w:hint="eastAsia"/>
                      <w:sz w:val="18"/>
                      <w:szCs w:val="18"/>
                    </w:rPr>
                    <w:t>含量的原辅料，加强废气收集，安装高效治理设施。鼓励推广使用符合环保要求的高固体分、水性涂料、粉末涂料、紫外光固化涂料</w:t>
                  </w:r>
                </w:p>
              </w:tc>
              <w:tc>
                <w:tcPr>
                  <w:tcW w:w="1563" w:type="dxa"/>
                  <w:tcBorders>
                    <w:top w:val="single" w:color="auto" w:sz="4" w:space="0"/>
                    <w:left w:val="single" w:color="auto" w:sz="4" w:space="0"/>
                    <w:bottom w:val="single" w:color="auto" w:sz="4" w:space="0"/>
                    <w:right w:val="single" w:color="auto" w:sz="4" w:space="0"/>
                  </w:tcBorders>
                  <w:vAlign w:val="center"/>
                </w:tcPr>
                <w:p>
                  <w:pPr>
                    <w:pStyle w:val="11"/>
                    <w:spacing w:after="0" w:line="240" w:lineRule="exact"/>
                    <w:ind w:left="0" w:leftChars="0"/>
                    <w:jc w:val="center"/>
                    <w:rPr>
                      <w:sz w:val="18"/>
                      <w:szCs w:val="18"/>
                    </w:rPr>
                  </w:pPr>
                  <w:r>
                    <w:rPr>
                      <w:rFonts w:hint="eastAsia"/>
                      <w:sz w:val="18"/>
                      <w:szCs w:val="18"/>
                    </w:rPr>
                    <w:t>根据《关于解除太平河漫水桥断面水质不达标问题挂牌督办的函》（渝环函〔</w:t>
                  </w:r>
                  <w:r>
                    <w:rPr>
                      <w:sz w:val="18"/>
                      <w:szCs w:val="18"/>
                    </w:rPr>
                    <w:t>2020</w:t>
                  </w:r>
                  <w:r>
                    <w:rPr>
                      <w:rFonts w:hint="eastAsia"/>
                      <w:sz w:val="18"/>
                      <w:szCs w:val="18"/>
                    </w:rPr>
                    <w:t>〕</w:t>
                  </w:r>
                  <w:r>
                    <w:rPr>
                      <w:sz w:val="18"/>
                      <w:szCs w:val="18"/>
                    </w:rPr>
                    <w:t>667</w:t>
                  </w:r>
                  <w:r>
                    <w:rPr>
                      <w:rFonts w:hint="eastAsia"/>
                      <w:sz w:val="18"/>
                      <w:szCs w:val="18"/>
                    </w:rPr>
                    <w:t>号）文件可知，太平河已恢复</w:t>
                  </w:r>
                  <w:r>
                    <w:rPr>
                      <w:sz w:val="18"/>
                      <w:szCs w:val="18"/>
                    </w:rPr>
                    <w:t>Ⅳ</w:t>
                  </w:r>
                  <w:r>
                    <w:rPr>
                      <w:rFonts w:hint="eastAsia"/>
                      <w:sz w:val="18"/>
                      <w:szCs w:val="18"/>
                    </w:rPr>
                    <w:t>类水域功能。</w:t>
                  </w:r>
                </w:p>
                <w:p>
                  <w:pPr>
                    <w:pStyle w:val="11"/>
                    <w:spacing w:after="0" w:line="240" w:lineRule="exact"/>
                    <w:ind w:left="0" w:leftChars="0"/>
                    <w:jc w:val="center"/>
                    <w:rPr>
                      <w:sz w:val="18"/>
                      <w:szCs w:val="18"/>
                    </w:rPr>
                  </w:pPr>
                  <w:r>
                    <w:rPr>
                      <w:rFonts w:hint="eastAsia"/>
                      <w:sz w:val="18"/>
                      <w:szCs w:val="18"/>
                    </w:rPr>
                    <w:t>VOCs废气经集气罩收集（收集效率80%）后经二级活性炭吸附处理（处理效率55%）后气经高15m、内径0.4m的DA001排气筒排放。</w:t>
                  </w:r>
                </w:p>
              </w:tc>
              <w:tc>
                <w:tcPr>
                  <w:tcW w:w="556"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环境风险防控</w:t>
                  </w:r>
                </w:p>
              </w:tc>
              <w:tc>
                <w:tcPr>
                  <w:tcW w:w="3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rPr>
                  </w:pPr>
                  <w:r>
                    <w:rPr>
                      <w:rFonts w:hint="eastAsia"/>
                      <w:sz w:val="18"/>
                      <w:szCs w:val="18"/>
                    </w:rPr>
                    <w:t>域内重金属污染防控地块</w:t>
                  </w:r>
                  <w:r>
                    <w:rPr>
                      <w:sz w:val="18"/>
                      <w:szCs w:val="18"/>
                    </w:rPr>
                    <w:t>3</w:t>
                  </w:r>
                  <w:r>
                    <w:rPr>
                      <w:rFonts w:hint="eastAsia"/>
                      <w:sz w:val="18"/>
                      <w:szCs w:val="18"/>
                    </w:rPr>
                    <w:t>块：艾诺斯（重庆）华达电源系统有限公司、重庆德能再生资源股份有限公司、重庆智伦电镀有限公司，企业应严控重金属污染物排放，严格按排污自行监测规范要求，开展土壤环境现状监测，严格管控土壤环境风险</w:t>
                  </w:r>
                </w:p>
              </w:tc>
              <w:tc>
                <w:tcPr>
                  <w:tcW w:w="1563"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项目位置不属于重金属污染防控地块。</w:t>
                  </w:r>
                </w:p>
              </w:tc>
              <w:tc>
                <w:tcPr>
                  <w:tcW w:w="556"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kern w:val="0"/>
                      <w:sz w:val="18"/>
                      <w:szCs w:val="18"/>
                    </w:rPr>
                  </w:pPr>
                </w:p>
              </w:tc>
              <w:tc>
                <w:tcPr>
                  <w:tcW w:w="890"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资源开发效率要求</w:t>
                  </w:r>
                </w:p>
              </w:tc>
              <w:tc>
                <w:tcPr>
                  <w:tcW w:w="31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rPr>
                  </w:pPr>
                  <w:r>
                    <w:rPr>
                      <w:rFonts w:hint="eastAsia"/>
                      <w:sz w:val="18"/>
                      <w:szCs w:val="18"/>
                    </w:rPr>
                    <w:t>龙滩子、双路、通桥街道辖区禁止新建使用煤、重油等为高污染燃料的工业项目</w:t>
                  </w:r>
                </w:p>
              </w:tc>
              <w:tc>
                <w:tcPr>
                  <w:tcW w:w="1563"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项目不使用煤、重油等高污染燃料。</w:t>
                  </w:r>
                </w:p>
              </w:tc>
              <w:tc>
                <w:tcPr>
                  <w:tcW w:w="556" w:type="dxa"/>
                  <w:tcBorders>
                    <w:top w:val="single" w:color="auto" w:sz="4" w:space="0"/>
                    <w:left w:val="single" w:color="auto" w:sz="4" w:space="0"/>
                    <w:bottom w:val="single" w:color="auto" w:sz="4" w:space="0"/>
                    <w:right w:val="single" w:color="auto" w:sz="4" w:space="0"/>
                  </w:tcBorders>
                  <w:vAlign w:val="center"/>
                </w:tcPr>
                <w:p>
                  <w:pPr>
                    <w:pStyle w:val="10"/>
                    <w:spacing w:before="0" w:after="0" w:line="240" w:lineRule="exact"/>
                    <w:ind w:right="0"/>
                    <w:jc w:val="center"/>
                    <w:rPr>
                      <w:szCs w:val="18"/>
                    </w:rPr>
                  </w:pPr>
                  <w:r>
                    <w:rPr>
                      <w:rFonts w:hint="eastAsia"/>
                      <w:szCs w:val="18"/>
                    </w:rPr>
                    <w:t>符合</w:t>
                  </w:r>
                </w:p>
              </w:tc>
            </w:tr>
          </w:tbl>
          <w:p>
            <w:pPr>
              <w:spacing w:line="480" w:lineRule="exact"/>
              <w:ind w:firstLine="480" w:firstLineChars="200"/>
              <w:rPr>
                <w:bCs/>
                <w:sz w:val="24"/>
              </w:rPr>
            </w:pPr>
            <w:r>
              <w:rPr>
                <w:rFonts w:hint="eastAsia"/>
                <w:bCs/>
                <w:sz w:val="24"/>
              </w:rPr>
              <w:t>拟建项目属于金属废料和碎屑加工处理类项目，位于</w:t>
            </w:r>
            <w:r>
              <w:rPr>
                <w:rFonts w:hint="eastAsia"/>
                <w:sz w:val="24"/>
              </w:rPr>
              <w:t>重庆市大足区邮亭镇工业园区A7-01/01地块</w:t>
            </w:r>
            <w:r>
              <w:rPr>
                <w:rFonts w:hint="eastAsia"/>
                <w:bCs/>
                <w:sz w:val="24"/>
              </w:rPr>
              <w:t>，属于《产业结构调整指导目录（2019年本）》中的允许类项目，符合国家产业政策，符合产业定位，满足空间布局要求。拟建项目采用的工艺技术和设备符合清洁生产要求，所采用的污染防治措施技术经济可行，项目严格落实了各项污染防治措施和环境风险防范措施后，排放的污染物对周围环境影响较小，环境风险可控。</w:t>
            </w:r>
            <w:r>
              <w:rPr>
                <w:bCs/>
                <w:sz w:val="24"/>
              </w:rPr>
              <w:t>因此，拟建项目符合</w:t>
            </w:r>
            <w:r>
              <w:rPr>
                <w:rFonts w:hint="eastAsia"/>
                <w:bCs/>
                <w:sz w:val="24"/>
              </w:rPr>
              <w:t>《重庆市大足区人民政府关于落实生态保护红线、环境质量底线、资源利用上线制定生态环境准入清单实施生态环境分区管控的实施意见》（大足府发〔2020〕39号）等要求。</w:t>
            </w:r>
          </w:p>
          <w:p>
            <w:pPr>
              <w:pStyle w:val="123"/>
              <w:spacing w:before="120" w:after="120"/>
              <w:rPr>
                <w:kern w:val="21"/>
                <w:sz w:val="24"/>
              </w:rPr>
            </w:pPr>
            <w:r>
              <w:rPr>
                <w:kern w:val="21"/>
                <w:sz w:val="24"/>
              </w:rPr>
              <w:t>1.</w:t>
            </w:r>
            <w:r>
              <w:rPr>
                <w:rFonts w:hint="eastAsia"/>
                <w:kern w:val="21"/>
                <w:sz w:val="24"/>
              </w:rPr>
              <w:t>2.2</w:t>
            </w:r>
            <w:r>
              <w:rPr>
                <w:kern w:val="21"/>
                <w:sz w:val="24"/>
              </w:rPr>
              <w:t>与《重庆市工业项目环境准入规定》（渝办发[2012]142）（修订）符合性分析</w:t>
            </w:r>
          </w:p>
          <w:p>
            <w:pPr>
              <w:pStyle w:val="121"/>
              <w:spacing w:line="480" w:lineRule="exact"/>
              <w:ind w:firstLine="480"/>
              <w:rPr>
                <w:sz w:val="24"/>
                <w:szCs w:val="24"/>
              </w:rPr>
            </w:pPr>
            <w:r>
              <w:rPr>
                <w:sz w:val="24"/>
                <w:szCs w:val="24"/>
              </w:rPr>
              <w:t>重庆市人民政府渝办发</w:t>
            </w:r>
            <w:r>
              <w:rPr>
                <w:rFonts w:hint="eastAsia"/>
                <w:sz w:val="24"/>
                <w:szCs w:val="24"/>
              </w:rPr>
              <w:t>〔</w:t>
            </w:r>
            <w:r>
              <w:rPr>
                <w:sz w:val="24"/>
                <w:szCs w:val="24"/>
              </w:rPr>
              <w:t>2012</w:t>
            </w:r>
            <w:r>
              <w:rPr>
                <w:rFonts w:hint="eastAsia"/>
                <w:sz w:val="24"/>
                <w:szCs w:val="24"/>
              </w:rPr>
              <w:t>〕</w:t>
            </w:r>
            <w:r>
              <w:rPr>
                <w:sz w:val="24"/>
                <w:szCs w:val="24"/>
              </w:rPr>
              <w:t>142号文《重庆市工业项目环境准入规定》（修订）对全市工业项目环境准入实施统一监督管理，对环境准入提出了以下条件，项目与该准入条件的关系详见表1.</w:t>
            </w:r>
            <w:r>
              <w:rPr>
                <w:rFonts w:hint="eastAsia"/>
                <w:sz w:val="24"/>
                <w:szCs w:val="24"/>
              </w:rPr>
              <w:t>2.2</w:t>
            </w:r>
            <w:r>
              <w:rPr>
                <w:sz w:val="24"/>
                <w:szCs w:val="24"/>
              </w:rPr>
              <w:t>-1。</w:t>
            </w:r>
          </w:p>
          <w:p>
            <w:pPr>
              <w:pStyle w:val="36"/>
              <w:spacing w:before="24" w:after="24"/>
              <w:rPr>
                <w:rFonts w:ascii="Times New Roman"/>
                <w:sz w:val="18"/>
                <w:szCs w:val="18"/>
              </w:rPr>
            </w:pPr>
            <w:r>
              <w:rPr>
                <w:rFonts w:ascii="Times New Roman"/>
                <w:sz w:val="18"/>
                <w:szCs w:val="18"/>
              </w:rPr>
              <w:t>表1.2.2-1  项目与《重庆市工业项目环境准入规定（修订）》（渝办发[2012]142）符合性</w:t>
            </w:r>
          </w:p>
          <w:tbl>
            <w:tblPr>
              <w:tblStyle w:val="2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76"/>
              <w:gridCol w:w="3341"/>
              <w:gridCol w:w="2546"/>
              <w:gridCol w:w="6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1" w:hRule="atLeast"/>
                <w:tblHeader/>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项</w:t>
                  </w:r>
                </w:p>
                <w:p>
                  <w:pPr>
                    <w:pStyle w:val="36"/>
                    <w:spacing w:before="24" w:after="24" w:line="240" w:lineRule="exact"/>
                    <w:rPr>
                      <w:rFonts w:ascii="Times New Roman"/>
                      <w:sz w:val="18"/>
                      <w:szCs w:val="18"/>
                    </w:rPr>
                  </w:pPr>
                  <w:r>
                    <w:rPr>
                      <w:rFonts w:ascii="Times New Roman"/>
                      <w:sz w:val="18"/>
                      <w:szCs w:val="18"/>
                    </w:rPr>
                    <w:t>目</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环境的准入条件</w:t>
                  </w:r>
                </w:p>
              </w:tc>
              <w:tc>
                <w:tcPr>
                  <w:tcW w:w="1836" w:type="pct"/>
                  <w:vAlign w:val="center"/>
                </w:tcPr>
                <w:p>
                  <w:pPr>
                    <w:pStyle w:val="36"/>
                    <w:spacing w:before="24" w:after="24" w:line="240" w:lineRule="exact"/>
                    <w:rPr>
                      <w:rFonts w:ascii="Times New Roman"/>
                      <w:sz w:val="18"/>
                      <w:szCs w:val="18"/>
                    </w:rPr>
                  </w:pPr>
                  <w:r>
                    <w:rPr>
                      <w:rFonts w:ascii="Times New Roman"/>
                      <w:sz w:val="18"/>
                      <w:szCs w:val="18"/>
                    </w:rPr>
                    <w:t>项目情况</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1</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工业项目应符合产业政策，不得采用国家和本市淘汰的或禁止使用的工艺、技术和设备，不得建设生产工艺或污染防治技术不成熟的项目</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w:t>
                  </w:r>
                  <w:r>
                    <w:rPr>
                      <w:rFonts w:hint="eastAsia" w:ascii="Times New Roman"/>
                      <w:sz w:val="18"/>
                      <w:szCs w:val="18"/>
                    </w:rPr>
                    <w:t>使用</w:t>
                  </w:r>
                  <w:r>
                    <w:rPr>
                      <w:rFonts w:ascii="Times New Roman"/>
                      <w:sz w:val="18"/>
                      <w:szCs w:val="18"/>
                    </w:rPr>
                    <w:t>国家和我市淘汰的</w:t>
                  </w:r>
                  <w:r>
                    <w:rPr>
                      <w:rFonts w:hint="eastAsia" w:ascii="Times New Roman"/>
                      <w:sz w:val="18"/>
                      <w:szCs w:val="18"/>
                    </w:rPr>
                    <w:t>或</w:t>
                  </w:r>
                  <w:r>
                    <w:rPr>
                      <w:rFonts w:ascii="Times New Roman"/>
                      <w:sz w:val="18"/>
                      <w:szCs w:val="18"/>
                    </w:rPr>
                    <w:t>禁止使用的工艺、技术和设备</w:t>
                  </w:r>
                  <w:r>
                    <w:rPr>
                      <w:rFonts w:hint="eastAsia" w:ascii="Times New Roman"/>
                      <w:sz w:val="18"/>
                      <w:szCs w:val="18"/>
                    </w:rPr>
                    <w:t>；不属于生产工艺或污染防治技术不成熟的项目</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2</w:t>
                  </w:r>
                </w:p>
              </w:tc>
              <w:tc>
                <w:tcPr>
                  <w:tcW w:w="2409" w:type="pct"/>
                  <w:vAlign w:val="center"/>
                </w:tcPr>
                <w:p>
                  <w:pPr>
                    <w:pStyle w:val="36"/>
                    <w:spacing w:before="24" w:after="24" w:line="240" w:lineRule="exact"/>
                    <w:rPr>
                      <w:rFonts w:ascii="Times New Roman"/>
                      <w:sz w:val="18"/>
                      <w:szCs w:val="18"/>
                    </w:rPr>
                  </w:pPr>
                  <w:r>
                    <w:rPr>
                      <w:rFonts w:hint="eastAsia" w:ascii="Times New Roman"/>
                      <w:sz w:val="18"/>
                      <w:szCs w:val="18"/>
                    </w:rPr>
                    <w:t>本市新建和改造的工业项目清洁生产水平不得低于国家清洁生产标准的国内基本水平。其中，“一小时经济圈”和国家级开发区内的，应达到国内先进水平。</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清洁生产水平不低于国内基本水平</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3</w:t>
                  </w:r>
                </w:p>
              </w:tc>
              <w:tc>
                <w:tcPr>
                  <w:tcW w:w="2409" w:type="pct"/>
                  <w:vAlign w:val="center"/>
                </w:tcPr>
                <w:p>
                  <w:pPr>
                    <w:pStyle w:val="36"/>
                    <w:spacing w:before="24" w:after="24" w:line="240" w:lineRule="exact"/>
                    <w:rPr>
                      <w:rFonts w:ascii="Times New Roman"/>
                      <w:sz w:val="18"/>
                      <w:szCs w:val="18"/>
                    </w:rPr>
                  </w:pPr>
                  <w:r>
                    <w:rPr>
                      <w:rFonts w:hint="eastAsia" w:ascii="Times New Roman"/>
                      <w:sz w:val="18"/>
                      <w:szCs w:val="18"/>
                    </w:rPr>
                    <w:t>工业项目选址应符合产业发展规划、城乡总体规划、土地利用规划等规划。新建有污染物排放的工业项目应进入工业园区或工业集中区。</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w:t>
                  </w:r>
                  <w:r>
                    <w:rPr>
                      <w:rFonts w:hint="eastAsia" w:cs="仿宋" w:asciiTheme="minorEastAsia" w:hAnsiTheme="minorEastAsia" w:eastAsiaTheme="minorEastAsia"/>
                      <w:sz w:val="18"/>
                      <w:szCs w:val="18"/>
                    </w:rPr>
                    <w:t>位于重庆市大足区邮亭镇工业园区A7-01/01地块，</w:t>
                  </w:r>
                  <w:r>
                    <w:rPr>
                      <w:rFonts w:ascii="Times New Roman"/>
                      <w:sz w:val="18"/>
                      <w:szCs w:val="18"/>
                    </w:rPr>
                    <w:t>符合相关规划</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4</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在长江、嘉陵江主城区江段及其上游沿江河地区严格限制建设可能对饮用水源带来安全隐患的化工、造纸、印染及排放有毒有害物质和重金属的工业项目</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不属于化工、造纸、印染及排放有毒有害物质和重金属的工业项目</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5</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在主城区禁止新建、改建、扩建以煤、重油为燃料的工业项目；在合川</w:t>
                  </w:r>
                  <w:r>
                    <w:rPr>
                      <w:rFonts w:ascii="Times New Roman"/>
                      <w:sz w:val="18"/>
                      <w:szCs w:val="18"/>
                    </w:rPr>
                    <w:cr/>
                  </w:r>
                  <w:r>
                    <w:rPr>
                      <w:rFonts w:ascii="Times New Roman"/>
                      <w:sz w:val="18"/>
                      <w:szCs w:val="18"/>
                    </w:rPr>
                    <w:t>、渝北区、长寿区、璧山县等地区严格限制新建、扩建可能对主城区大气产生影响的燃用煤、重油等高污染燃料的工业项目</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不使用煤、重油等高污染燃料</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6</w:t>
                  </w:r>
                </w:p>
              </w:tc>
              <w:tc>
                <w:tcPr>
                  <w:tcW w:w="2409" w:type="pct"/>
                  <w:vAlign w:val="center"/>
                </w:tcPr>
                <w:p>
                  <w:pPr>
                    <w:pStyle w:val="36"/>
                    <w:spacing w:before="24" w:after="24" w:line="240" w:lineRule="exact"/>
                    <w:rPr>
                      <w:rFonts w:ascii="Times New Roman"/>
                      <w:sz w:val="18"/>
                      <w:szCs w:val="18"/>
                    </w:rPr>
                  </w:pPr>
                  <w:r>
                    <w:rPr>
                      <w:rFonts w:hint="eastAsia" w:ascii="Times New Roman"/>
                      <w:sz w:val="18"/>
                      <w:szCs w:val="18"/>
                    </w:rPr>
                    <w:t>工业项目选址区域应有相应的环境容量，新增主要污染物排放量的工业项目必须取得排污指标，不得影响污染物总量减排计划的完成。未按要求完成污染物总量削减任务的企业、流域和区域，不得建设新增相应污染物排放量的工业项目。</w:t>
                  </w:r>
                </w:p>
              </w:tc>
              <w:tc>
                <w:tcPr>
                  <w:tcW w:w="1836" w:type="pct"/>
                  <w:vAlign w:val="center"/>
                </w:tcPr>
                <w:p>
                  <w:pPr>
                    <w:pStyle w:val="36"/>
                    <w:spacing w:before="24" w:after="24" w:line="240" w:lineRule="exact"/>
                    <w:rPr>
                      <w:rFonts w:ascii="Times New Roman"/>
                      <w:sz w:val="18"/>
                      <w:szCs w:val="18"/>
                    </w:rPr>
                  </w:pPr>
                  <w:r>
                    <w:rPr>
                      <w:rFonts w:ascii="Times New Roman"/>
                      <w:sz w:val="18"/>
                      <w:szCs w:val="18"/>
                    </w:rPr>
                    <w:t>项目无重大环境风险源</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7</w:t>
                  </w:r>
                </w:p>
              </w:tc>
              <w:tc>
                <w:tcPr>
                  <w:tcW w:w="2409" w:type="pct"/>
                  <w:vAlign w:val="center"/>
                </w:tcPr>
                <w:p>
                  <w:pPr>
                    <w:pStyle w:val="36"/>
                    <w:spacing w:before="24" w:after="24" w:line="240" w:lineRule="exact"/>
                    <w:rPr>
                      <w:rFonts w:ascii="Times New Roman"/>
                      <w:sz w:val="18"/>
                      <w:szCs w:val="18"/>
                    </w:rPr>
                  </w:pPr>
                  <w:r>
                    <w:rPr>
                      <w:rFonts w:hint="eastAsia" w:ascii="Times New Roman"/>
                      <w:sz w:val="18"/>
                      <w:szCs w:val="18"/>
                    </w:rPr>
                    <w:t>新建、改建、扩建工业项目所在地大气、水环境主要污染物现状浓度占标准值90%~100%的，项目所在地应按该项目新增污染物排放量的1.5倍削减现有污染物排放量。</w:t>
                  </w:r>
                </w:p>
              </w:tc>
              <w:tc>
                <w:tcPr>
                  <w:tcW w:w="1836" w:type="pct"/>
                  <w:vAlign w:val="center"/>
                </w:tcPr>
                <w:p>
                  <w:pPr>
                    <w:pStyle w:val="36"/>
                    <w:spacing w:before="24" w:after="24" w:line="240" w:lineRule="exact"/>
                    <w:rPr>
                      <w:rFonts w:ascii="Times New Roman"/>
                      <w:sz w:val="18"/>
                      <w:szCs w:val="18"/>
                    </w:rPr>
                  </w:pPr>
                  <w:r>
                    <w:rPr>
                      <w:rFonts w:ascii="Times New Roman"/>
                      <w:sz w:val="18"/>
                      <w:szCs w:val="18"/>
                    </w:rPr>
                    <w:t>拟建项目</w:t>
                  </w:r>
                  <w:r>
                    <w:rPr>
                      <w:rFonts w:hint="eastAsia" w:ascii="Times New Roman"/>
                      <w:sz w:val="18"/>
                      <w:szCs w:val="18"/>
                    </w:rPr>
                    <w:t>所在地大气主要污染物PM</w:t>
                  </w:r>
                  <w:r>
                    <w:rPr>
                      <w:rFonts w:hint="eastAsia" w:ascii="Times New Roman"/>
                      <w:sz w:val="18"/>
                      <w:szCs w:val="18"/>
                      <w:vertAlign w:val="subscript"/>
                    </w:rPr>
                    <w:t>2.5</w:t>
                  </w:r>
                  <w:r>
                    <w:rPr>
                      <w:rFonts w:hint="eastAsia" w:ascii="Times New Roman"/>
                      <w:sz w:val="18"/>
                      <w:szCs w:val="18"/>
                    </w:rPr>
                    <w:t>现状浓度占标准值94%、水环境主要污染物现状浓度</w:t>
                  </w:r>
                  <w:r>
                    <w:rPr>
                      <w:rFonts w:ascii="Times New Roman"/>
                      <w:sz w:val="18"/>
                      <w:szCs w:val="18"/>
                    </w:rPr>
                    <w:t>。</w:t>
                  </w:r>
                  <w:r>
                    <w:rPr>
                      <w:rFonts w:hint="eastAsia" w:ascii="Times New Roman"/>
                      <w:sz w:val="18"/>
                      <w:szCs w:val="18"/>
                    </w:rPr>
                    <w:t>按要求申取得总量。</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8</w:t>
                  </w:r>
                </w:p>
              </w:tc>
              <w:tc>
                <w:tcPr>
                  <w:tcW w:w="2409" w:type="pct"/>
                  <w:vAlign w:val="center"/>
                </w:tcPr>
                <w:p>
                  <w:pPr>
                    <w:pStyle w:val="36"/>
                    <w:spacing w:before="24" w:after="24" w:line="240" w:lineRule="exact"/>
                    <w:rPr>
                      <w:rFonts w:ascii="Times New Roman"/>
                      <w:sz w:val="18"/>
                      <w:szCs w:val="18"/>
                    </w:rPr>
                  </w:pPr>
                  <w:r>
                    <w:rPr>
                      <w:rFonts w:hint="eastAsia" w:ascii="Times New Roman"/>
                      <w:sz w:val="18"/>
                      <w:szCs w:val="18"/>
                    </w:rPr>
                    <w:t>新增重金属排放量的工业项目应落实污染物排放指标来源，确保国家重金属重点防控区域重金属排放总量按计划削减，其余区域的重金属排放总量不增加。优先保障市级重点项目的重金属污染物排放指标。</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不涉及重金属污染</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9</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禁止建设存在重大环境安全隐患的工业项目</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无重大环境安全隐患</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9" w:hRule="atLeast"/>
                <w:jc w:val="center"/>
              </w:trPr>
              <w:tc>
                <w:tcPr>
                  <w:tcW w:w="271" w:type="pct"/>
                  <w:vAlign w:val="center"/>
                </w:tcPr>
                <w:p>
                  <w:pPr>
                    <w:pStyle w:val="36"/>
                    <w:spacing w:before="24" w:after="24" w:line="240" w:lineRule="exact"/>
                    <w:rPr>
                      <w:rFonts w:ascii="Times New Roman"/>
                      <w:sz w:val="18"/>
                      <w:szCs w:val="18"/>
                    </w:rPr>
                  </w:pPr>
                  <w:r>
                    <w:rPr>
                      <w:rFonts w:ascii="Times New Roman"/>
                      <w:sz w:val="18"/>
                      <w:szCs w:val="18"/>
                    </w:rPr>
                    <w:t>10</w:t>
                  </w:r>
                </w:p>
              </w:tc>
              <w:tc>
                <w:tcPr>
                  <w:tcW w:w="2409" w:type="pct"/>
                  <w:vAlign w:val="center"/>
                </w:tcPr>
                <w:p>
                  <w:pPr>
                    <w:pStyle w:val="36"/>
                    <w:spacing w:before="24" w:after="24" w:line="240" w:lineRule="exact"/>
                    <w:rPr>
                      <w:rFonts w:ascii="Times New Roman"/>
                      <w:sz w:val="18"/>
                      <w:szCs w:val="18"/>
                    </w:rPr>
                  </w:pPr>
                  <w:r>
                    <w:rPr>
                      <w:rFonts w:ascii="Times New Roman"/>
                      <w:sz w:val="18"/>
                      <w:szCs w:val="18"/>
                    </w:rPr>
                    <w:t>工业项目排放污染物必须达到国家和地方规定的污染物排放标准，资源环境绩效水平应达到本规定要求</w:t>
                  </w:r>
                </w:p>
              </w:tc>
              <w:tc>
                <w:tcPr>
                  <w:tcW w:w="1836" w:type="pct"/>
                  <w:vAlign w:val="center"/>
                </w:tcPr>
                <w:p>
                  <w:pPr>
                    <w:pStyle w:val="36"/>
                    <w:spacing w:before="24" w:after="24"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项目污染物能够达标排放</w:t>
                  </w:r>
                </w:p>
              </w:tc>
              <w:tc>
                <w:tcPr>
                  <w:tcW w:w="484" w:type="pct"/>
                  <w:vAlign w:val="center"/>
                </w:tcPr>
                <w:p>
                  <w:pPr>
                    <w:pStyle w:val="36"/>
                    <w:spacing w:before="24" w:after="24" w:line="240" w:lineRule="exact"/>
                    <w:rPr>
                      <w:rFonts w:ascii="Times New Roman"/>
                      <w:sz w:val="18"/>
                      <w:szCs w:val="18"/>
                    </w:rPr>
                  </w:pPr>
                  <w:r>
                    <w:rPr>
                      <w:rFonts w:ascii="Times New Roman"/>
                      <w:sz w:val="18"/>
                      <w:szCs w:val="18"/>
                    </w:rPr>
                    <w:t>满足</w:t>
                  </w:r>
                </w:p>
                <w:p>
                  <w:pPr>
                    <w:pStyle w:val="36"/>
                    <w:spacing w:before="24" w:after="24" w:line="240" w:lineRule="exact"/>
                    <w:rPr>
                      <w:rFonts w:ascii="Times New Roman"/>
                      <w:sz w:val="18"/>
                      <w:szCs w:val="18"/>
                    </w:rPr>
                  </w:pPr>
                  <w:r>
                    <w:rPr>
                      <w:rFonts w:ascii="Times New Roman"/>
                      <w:sz w:val="18"/>
                      <w:szCs w:val="18"/>
                    </w:rPr>
                    <w:t>要求</w:t>
                  </w:r>
                </w:p>
              </w:tc>
            </w:tr>
          </w:tbl>
          <w:p>
            <w:pPr>
              <w:pStyle w:val="121"/>
              <w:spacing w:line="480" w:lineRule="exact"/>
              <w:ind w:firstLine="480"/>
              <w:rPr>
                <w:sz w:val="24"/>
                <w:szCs w:val="24"/>
              </w:rPr>
            </w:pPr>
            <w:r>
              <w:rPr>
                <w:sz w:val="24"/>
                <w:szCs w:val="24"/>
              </w:rPr>
              <w:t>由上表可知，项目的建设符合《重庆市工业项目环境准入规定》（修订）（渝办发[2012]142）中相关要求。</w:t>
            </w:r>
          </w:p>
          <w:p>
            <w:pPr>
              <w:pStyle w:val="123"/>
              <w:spacing w:before="120" w:after="120" w:line="480" w:lineRule="exact"/>
              <w:rPr>
                <w:sz w:val="24"/>
              </w:rPr>
            </w:pPr>
            <w:r>
              <w:rPr>
                <w:sz w:val="24"/>
              </w:rPr>
              <w:t>1.</w:t>
            </w:r>
            <w:r>
              <w:rPr>
                <w:rFonts w:hint="eastAsia"/>
                <w:sz w:val="24"/>
              </w:rPr>
              <w:t>2.3</w:t>
            </w:r>
            <w:r>
              <w:rPr>
                <w:sz w:val="24"/>
              </w:rPr>
              <w:t>与《重庆市产业投资准入工作手册》（渝发改投〔2018〕541号）符合性分析</w:t>
            </w:r>
          </w:p>
          <w:p>
            <w:pPr>
              <w:pStyle w:val="121"/>
              <w:spacing w:line="480" w:lineRule="exact"/>
              <w:ind w:firstLine="480"/>
              <w:rPr>
                <w:sz w:val="24"/>
                <w:szCs w:val="24"/>
              </w:rPr>
            </w:pPr>
            <w:r>
              <w:rPr>
                <w:sz w:val="24"/>
                <w:szCs w:val="24"/>
              </w:rPr>
              <w:t>本项目与《重庆市产业投资准入工作手册》(渝发改投〔2018〕541号)的符合性分析详见表1.</w:t>
            </w:r>
            <w:r>
              <w:rPr>
                <w:rFonts w:hint="eastAsia"/>
                <w:sz w:val="24"/>
                <w:szCs w:val="24"/>
              </w:rPr>
              <w:t>2.3</w:t>
            </w:r>
            <w:r>
              <w:rPr>
                <w:sz w:val="24"/>
                <w:szCs w:val="24"/>
              </w:rPr>
              <w:t>-1。</w:t>
            </w:r>
          </w:p>
          <w:p>
            <w:pPr>
              <w:pStyle w:val="36"/>
              <w:spacing w:before="24" w:after="24"/>
              <w:rPr>
                <w:sz w:val="18"/>
                <w:szCs w:val="18"/>
              </w:rPr>
            </w:pPr>
            <w:r>
              <w:rPr>
                <w:rFonts w:ascii="Times New Roman"/>
                <w:sz w:val="18"/>
                <w:szCs w:val="18"/>
              </w:rPr>
              <w:t>表1.2.</w:t>
            </w:r>
            <w:r>
              <w:rPr>
                <w:rFonts w:hint="eastAsia" w:ascii="Times New Roman"/>
                <w:sz w:val="18"/>
                <w:szCs w:val="18"/>
              </w:rPr>
              <w:t>3</w:t>
            </w:r>
            <w:r>
              <w:rPr>
                <w:rFonts w:ascii="Times New Roman"/>
                <w:sz w:val="18"/>
                <w:szCs w:val="18"/>
              </w:rPr>
              <w:t>-1  重庆市产</w:t>
            </w:r>
            <w:r>
              <w:rPr>
                <w:sz w:val="18"/>
                <w:szCs w:val="18"/>
              </w:rPr>
              <w:t>业投资准入工作手册符合性分析</w:t>
            </w:r>
          </w:p>
          <w:tbl>
            <w:tblPr>
              <w:tblStyle w:val="21"/>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540"/>
              <w:gridCol w:w="3739"/>
              <w:gridCol w:w="26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序号</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渝发改投〔2018〕541号要求</w:t>
                  </w:r>
                </w:p>
              </w:tc>
              <w:tc>
                <w:tcPr>
                  <w:tcW w:w="1910" w:type="pct"/>
                  <w:vAlign w:val="center"/>
                </w:tcPr>
                <w:p>
                  <w:pPr>
                    <w:pStyle w:val="36"/>
                    <w:spacing w:beforeLines="0" w:afterLines="0" w:line="240" w:lineRule="exact"/>
                    <w:rPr>
                      <w:rFonts w:ascii="Times New Roman"/>
                      <w:sz w:val="18"/>
                      <w:szCs w:val="18"/>
                    </w:rPr>
                  </w:pPr>
                  <w:r>
                    <w:rPr>
                      <w:rFonts w:ascii="Times New Roman"/>
                      <w:sz w:val="18"/>
                      <w:szCs w:val="18"/>
                    </w:rPr>
                    <w:t>项目符合性分析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一</w:t>
                  </w:r>
                </w:p>
              </w:tc>
              <w:tc>
                <w:tcPr>
                  <w:tcW w:w="4610" w:type="pct"/>
                  <w:gridSpan w:val="2"/>
                  <w:vAlign w:val="center"/>
                </w:tcPr>
                <w:p>
                  <w:pPr>
                    <w:pStyle w:val="36"/>
                    <w:spacing w:beforeLines="0" w:afterLines="0" w:line="240" w:lineRule="exact"/>
                    <w:rPr>
                      <w:rFonts w:ascii="Times New Roman"/>
                      <w:sz w:val="18"/>
                      <w:szCs w:val="18"/>
                    </w:rPr>
                  </w:pPr>
                  <w:r>
                    <w:rPr>
                      <w:rFonts w:ascii="Times New Roman"/>
                      <w:sz w:val="18"/>
                      <w:szCs w:val="18"/>
                    </w:rPr>
                    <w:t>全市范围内不予准入的产业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国家产业结构调整指导目录中的淘汰类项目。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拟建项目为金属废料和碎屑加工处理类项目，不属于</w:t>
                  </w:r>
                  <w:r>
                    <w:rPr>
                      <w:rFonts w:ascii="Times New Roman"/>
                      <w:sz w:val="18"/>
                      <w:szCs w:val="18"/>
                    </w:rPr>
                    <w:t>国家产业结构调整指导目录中的淘汰类项目。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2</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烟花爆竹生产。</w:t>
                  </w:r>
                </w:p>
              </w:tc>
              <w:tc>
                <w:tcPr>
                  <w:tcW w:w="1910" w:type="pct"/>
                  <w:vMerge w:val="restart"/>
                  <w:vAlign w:val="center"/>
                </w:tcPr>
                <w:p>
                  <w:pPr>
                    <w:pStyle w:val="36"/>
                    <w:spacing w:beforeLines="0" w:afterLines="0" w:line="240" w:lineRule="exact"/>
                    <w:rPr>
                      <w:rFonts w:ascii="Times New Roman"/>
                      <w:sz w:val="18"/>
                      <w:szCs w:val="18"/>
                    </w:rPr>
                  </w:pPr>
                  <w:r>
                    <w:rPr>
                      <w:rFonts w:ascii="Times New Roman"/>
                      <w:sz w:val="18"/>
                      <w:szCs w:val="18"/>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3</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400KA以下电解铝生产线</w:t>
                  </w:r>
                </w:p>
              </w:tc>
              <w:tc>
                <w:tcPr>
                  <w:tcW w:w="1910" w:type="pct"/>
                  <w:vMerge w:val="continue"/>
                  <w:vAlign w:val="center"/>
                </w:tcPr>
                <w:p>
                  <w:pPr>
                    <w:pStyle w:val="36"/>
                    <w:spacing w:beforeLines="0" w:afterLines="0" w:line="240" w:lineRule="exact"/>
                    <w:rPr>
                      <w:rFonts w:asci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4</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单机10万千瓦以下和设计寿命期满的单机20万千瓦以下常规燃煤火电机</w:t>
                  </w:r>
                </w:p>
              </w:tc>
              <w:tc>
                <w:tcPr>
                  <w:tcW w:w="1910" w:type="pct"/>
                  <w:vMerge w:val="continue"/>
                  <w:vAlign w:val="center"/>
                </w:tcPr>
                <w:p>
                  <w:pPr>
                    <w:pStyle w:val="36"/>
                    <w:spacing w:beforeLines="0" w:afterLines="0" w:line="240" w:lineRule="exact"/>
                    <w:rPr>
                      <w:rFonts w:asci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5</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天然林商业性采伐。</w:t>
                  </w:r>
                </w:p>
              </w:tc>
              <w:tc>
                <w:tcPr>
                  <w:tcW w:w="1910" w:type="pct"/>
                  <w:vMerge w:val="continue"/>
                  <w:vAlign w:val="center"/>
                </w:tcPr>
                <w:p>
                  <w:pPr>
                    <w:pStyle w:val="36"/>
                    <w:spacing w:beforeLines="0" w:afterLines="0" w:line="240" w:lineRule="exact"/>
                    <w:rPr>
                      <w:rFonts w:asci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781"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6</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资源环境绩效水平超过《重庆市工业项目环境准入规定》(渝办发〔2012〕142号)限值以及不符合生态建设和环境保护规划区域布局规定的工业项目。在环境容量超载的区域(流域)增加污染物排放的项目。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满足渝办发〔2012〕142号要求，区域环境容量良好。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7</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不符合《重庆市人民政府办公厅关于印发重庆市供给侧结构性改革去产能专项方案的通知》（渝府办发〔2016〕128号）要求的环保、能耗、工艺与装备标准的煤炭、钢铁、水泥、电解铝、平板玻璃和船舶制造等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拟建项目为金属废料和碎屑加工处理类项目，不属于</w:t>
                  </w:r>
                  <w:r>
                    <w:rPr>
                      <w:rFonts w:hint="eastAsia" w:ascii="Times New Roman"/>
                      <w:sz w:val="18"/>
                      <w:szCs w:val="18"/>
                    </w:rPr>
                    <w:t>煤炭、钢铁、水泥、电解铝、平板玻璃和船舶制造等项目。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二</w:t>
                  </w:r>
                </w:p>
              </w:tc>
              <w:tc>
                <w:tcPr>
                  <w:tcW w:w="4610" w:type="pct"/>
                  <w:gridSpan w:val="2"/>
                  <w:vAlign w:val="center"/>
                </w:tcPr>
                <w:p>
                  <w:pPr>
                    <w:pStyle w:val="36"/>
                    <w:spacing w:beforeLines="0" w:afterLines="0" w:line="240" w:lineRule="exact"/>
                    <w:rPr>
                      <w:rFonts w:ascii="Times New Roman"/>
                      <w:sz w:val="18"/>
                      <w:szCs w:val="18"/>
                    </w:rPr>
                  </w:pPr>
                  <w:r>
                    <w:rPr>
                      <w:rFonts w:ascii="Times New Roman"/>
                      <w:sz w:val="18"/>
                      <w:szCs w:val="18"/>
                    </w:rPr>
                    <w:t>重点区域范围内不予准入的产业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12"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四山保护区域内的工业项目。</w:t>
                  </w:r>
                </w:p>
              </w:tc>
              <w:tc>
                <w:tcPr>
                  <w:tcW w:w="1910" w:type="pct"/>
                  <w:vAlign w:val="center"/>
                </w:tcPr>
                <w:p>
                  <w:pPr>
                    <w:pStyle w:val="36"/>
                    <w:spacing w:beforeLines="0" w:afterLines="0" w:line="240" w:lineRule="exact"/>
                    <w:rPr>
                      <w:rFonts w:ascii="Times New Roman"/>
                      <w:sz w:val="18"/>
                      <w:szCs w:val="18"/>
                    </w:rPr>
                  </w:pPr>
                  <w:r>
                    <w:rPr>
                      <w:rFonts w:ascii="Times New Roman"/>
                      <w:sz w:val="18"/>
                      <w:szCs w:val="18"/>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2</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长江鱼嘴以上江段及其一级支流汇入口上游20公里、嘉陵江及其一级支流汇入口上游20公里、集中式饮用水源取水口上游20公里范围内的沿岸地区（沿岸地区指江河50年一遇洪水位向陆域一侧1公里范围内）的重金属（铬、镉、汞、砷、铅等五类重金属，下同）、剧毒物质和持久性有机污染物的工业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拟建项目为金属废料和碎屑加工处理类项目，不属于排放</w:t>
                  </w:r>
                  <w:r>
                    <w:rPr>
                      <w:rFonts w:ascii="Times New Roman"/>
                      <w:sz w:val="18"/>
                      <w:szCs w:val="18"/>
                    </w:rPr>
                    <w:t>重金属（铬、镉、汞、砷、铅等五类重金属，下同）、剧毒物质和持久性有机污染物的工业项目。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3</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未进入国家和市政府批准的化工园区或化工集中区的化工项目。</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w:t>
                  </w:r>
                  <w:r>
                    <w:rPr>
                      <w:rFonts w:hint="eastAsia" w:ascii="Times New Roman" w:eastAsiaTheme="minorEastAsia"/>
                      <w:sz w:val="18"/>
                      <w:szCs w:val="18"/>
                    </w:rPr>
                    <w:t>，</w:t>
                  </w:r>
                  <w:r>
                    <w:rPr>
                      <w:rFonts w:hint="eastAsia" w:ascii="Times New Roman"/>
                      <w:sz w:val="18"/>
                      <w:szCs w:val="18"/>
                    </w:rPr>
                    <w:t>且</w:t>
                  </w:r>
                  <w:r>
                    <w:rPr>
                      <w:rFonts w:ascii="Times New Roman"/>
                      <w:sz w:val="18"/>
                      <w:szCs w:val="18"/>
                    </w:rPr>
                    <w:t>不属于化工项目</w:t>
                  </w:r>
                  <w:r>
                    <w:rPr>
                      <w:rFonts w:hint="eastAsia"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4</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大气污染防治重点控制区域内，燃煤火电、化工、水泥、采(碎)石场、烧结砖瓦窑以及燃煤锅炉等项目。</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拟建项目位于重庆市大足区邮亭镇工业园区A7-01/01地块，为金属废料和碎屑加工处理类项目，</w:t>
                  </w:r>
                  <w:r>
                    <w:rPr>
                      <w:rFonts w:ascii="Times New Roman"/>
                      <w:sz w:val="18"/>
                      <w:szCs w:val="18"/>
                    </w:rPr>
                    <w:t>不属于燃煤火电、化工、水泥、采(碎)石场、烧结砖瓦窑以及燃煤锅炉等项目</w:t>
                  </w:r>
                  <w:r>
                    <w:rPr>
                      <w:rFonts w:hint="eastAsia" w:ascii="Times New Roman"/>
                      <w:sz w:val="18"/>
                      <w:szCs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5</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主城区以外的各区县城区及其主导上风向5公里范围内，燃煤电厂、水泥、冶炼等大气污染严重的项目。</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拟建项目位于重庆市大足区邮亭镇工业园区A7-01/01地块，为金属废料和碎屑加工处理类项目，</w:t>
                  </w:r>
                  <w:r>
                    <w:rPr>
                      <w:rFonts w:ascii="Times New Roman"/>
                      <w:sz w:val="18"/>
                      <w:szCs w:val="18"/>
                    </w:rPr>
                    <w:t>不属于燃煤电厂、水泥、冶炼等大气污染严重的项目。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6</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二十五度以上陡坡地开垦种植农作物。</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7</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饮用水水源保护区、自然保护区、自然文化遗产地、湿地公园、森林公园、风景名胜区、地质公园等区域进行工业化城镇化开发。其中，饮用水水源保护区包括一级保护区和二级保护区；自然保护区包括县级及以上自然保护区的核心区、缓冲区、实验区；自然文化遗产地、湿地公园、森林公园、风景名胜区、地质公园包括规划范围以内全部区域。</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w:t>
                  </w:r>
                  <w:r>
                    <w:rPr>
                      <w:rFonts w:ascii="Times New Roman"/>
                      <w:sz w:val="18"/>
                      <w:szCs w:val="18"/>
                    </w:rPr>
                    <w:t>不涉及相关保护区域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sz w:val="18"/>
                      <w:szCs w:val="18"/>
                    </w:rPr>
                    <w:t>8</w:t>
                  </w:r>
                </w:p>
              </w:tc>
              <w:tc>
                <w:tcPr>
                  <w:tcW w:w="270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生态红线控制区、生态环境敏感区、人口聚集区涉重金属排放项目。</w:t>
                  </w:r>
                </w:p>
              </w:tc>
              <w:tc>
                <w:tcPr>
                  <w:tcW w:w="1910" w:type="pct"/>
                  <w:tcBorders>
                    <w:top w:val="single" w:color="auto" w:sz="6" w:space="0"/>
                    <w:left w:val="single" w:color="auto" w:sz="6" w:space="0"/>
                    <w:bottom w:val="single" w:color="auto" w:sz="6" w:space="0"/>
                    <w:right w:val="single" w:color="auto" w:sz="6" w:space="0"/>
                  </w:tcBorders>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拟建项目位于重庆市大足区邮亭镇工业园区A7-01/01地块，为金属废料和碎屑加工处理类项目，</w:t>
                  </w:r>
                  <w:r>
                    <w:rPr>
                      <w:rFonts w:ascii="Times New Roman"/>
                      <w:sz w:val="18"/>
                      <w:szCs w:val="18"/>
                    </w:rPr>
                    <w:t>不</w:t>
                  </w:r>
                  <w:r>
                    <w:rPr>
                      <w:rFonts w:hint="eastAsia" w:ascii="Times New Roman"/>
                      <w:sz w:val="18"/>
                      <w:szCs w:val="18"/>
                    </w:rPr>
                    <w:t>属于重金属排放项目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9</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长江干流及主要支流岸线1公里范围内重化工项目（除在建项目外）。</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不属于重化工项目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10</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修改为长江干流及主要支流(指乌江、嘉陵江、大宁河、阿蓬江、涪江、渠江)175米库</w:t>
                  </w:r>
                  <w:r>
                    <w:rPr>
                      <w:rFonts w:ascii="Times New Roman"/>
                      <w:sz w:val="18"/>
                      <w:szCs w:val="18"/>
                    </w:rPr>
                    <w:cr/>
                  </w:r>
                  <w:r>
                    <w:rPr>
                      <w:rFonts w:ascii="Times New Roman"/>
                      <w:sz w:val="18"/>
                      <w:szCs w:val="18"/>
                    </w:rPr>
                    <w:t>沿线至第一山脊线范围内</w:t>
                  </w:r>
                  <w:r>
                    <w:rPr>
                      <w:rFonts w:hint="eastAsia" w:ascii="Times New Roman"/>
                      <w:sz w:val="18"/>
                      <w:szCs w:val="18"/>
                    </w:rPr>
                    <w:t>采矿</w:t>
                  </w:r>
                  <w:r>
                    <w:rPr>
                      <w:rFonts w:ascii="Times New Roman"/>
                      <w:sz w:val="18"/>
                      <w:szCs w:val="18"/>
                    </w:rPr>
                    <w:t>。</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w:t>
                  </w:r>
                  <w:r>
                    <w:rPr>
                      <w:rFonts w:ascii="Times New Roman"/>
                      <w:sz w:val="18"/>
                      <w:szCs w:val="18"/>
                    </w:rPr>
                    <w:t>不在</w:t>
                  </w:r>
                  <w:r>
                    <w:rPr>
                      <w:rFonts w:hint="eastAsia" w:ascii="Times New Roman"/>
                      <w:sz w:val="18"/>
                      <w:szCs w:val="18"/>
                    </w:rPr>
                    <w:t>修改为长江干流及主要支流（指乌江、嘉陵江、大宁河、阿蓬江、涪江、渠江）175米库岸沿线至第一山脊线范围内。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11</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外环绕城高速公路以内长江、嘉陵江水域采砂。</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不属于采砂项目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12</w:t>
                  </w:r>
                </w:p>
              </w:tc>
              <w:tc>
                <w:tcPr>
                  <w:tcW w:w="2700" w:type="pct"/>
                  <w:vAlign w:val="center"/>
                </w:tcPr>
                <w:p>
                  <w:pPr>
                    <w:pStyle w:val="36"/>
                    <w:spacing w:beforeLines="0" w:afterLines="0" w:line="240" w:lineRule="exact"/>
                    <w:rPr>
                      <w:rFonts w:ascii="Times New Roman"/>
                      <w:sz w:val="18"/>
                      <w:szCs w:val="18"/>
                    </w:rPr>
                  </w:pPr>
                  <w:r>
                    <w:rPr>
                      <w:rFonts w:ascii="Times New Roman"/>
                      <w:sz w:val="18"/>
                      <w:szCs w:val="18"/>
                    </w:rPr>
                    <w:t>主城区不符合“两江四岸”规划设计景观要求的项目以及造纸、印染、危险废物处置项目。</w:t>
                  </w:r>
                </w:p>
              </w:tc>
              <w:tc>
                <w:tcPr>
                  <w:tcW w:w="1910" w:type="pct"/>
                  <w:vMerge w:val="restar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拟建项目位于重庆市大足区邮亭镇工业园区A7-01/01地块，不在上述区域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13</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主城区内环以内工业项目；内环以外燃煤电厂（含热电）、重化工以及使用煤和重油为燃料的工业项目。</w:t>
                  </w:r>
                </w:p>
              </w:tc>
              <w:tc>
                <w:tcPr>
                  <w:tcW w:w="1910" w:type="pct"/>
                  <w:vMerge w:val="continue"/>
                  <w:vAlign w:val="center"/>
                </w:tcPr>
                <w:p>
                  <w:pPr>
                    <w:pStyle w:val="36"/>
                    <w:spacing w:beforeLines="0" w:afterLines="0" w:line="240" w:lineRule="exact"/>
                    <w:rPr>
                      <w:rFonts w:asci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14</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主城区及其主导上风向20公里范围内大气污染严重的燃煤电厂（含热电）、冶炼、水泥项目。</w:t>
                  </w:r>
                </w:p>
              </w:tc>
              <w:tc>
                <w:tcPr>
                  <w:tcW w:w="1910" w:type="pct"/>
                  <w:vMerge w:val="continue"/>
                  <w:vAlign w:val="center"/>
                </w:tcPr>
                <w:p>
                  <w:pPr>
                    <w:pStyle w:val="36"/>
                    <w:spacing w:beforeLines="0" w:afterLines="0" w:line="240" w:lineRule="exact"/>
                    <w:rPr>
                      <w:rFonts w:ascii="Times New Roman"/>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15</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长江、嘉陵江主城区江段及其上游沿江河地区排放有毒有害物质、重金属以及存在严重环境安全风险的产业项目。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w:t>
                  </w:r>
                  <w:r>
                    <w:rPr>
                      <w:rFonts w:hint="eastAsia" w:ascii="Times New Roman"/>
                      <w:sz w:val="18"/>
                      <w:szCs w:val="18"/>
                    </w:rPr>
                    <w:t>排放有毒有害物质、重金属以及存在严重环境安全风险的产业项目。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16</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东北部地区和东南部地区的化工项目（万州区仅限于对现有主体化工产业链进行完善和升级改造）。</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不属于化工项目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8"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三</w:t>
                  </w:r>
                </w:p>
              </w:tc>
              <w:tc>
                <w:tcPr>
                  <w:tcW w:w="4610" w:type="pct"/>
                  <w:gridSpan w:val="2"/>
                  <w:vAlign w:val="center"/>
                </w:tcPr>
                <w:p>
                  <w:pPr>
                    <w:pStyle w:val="36"/>
                    <w:spacing w:beforeLines="0" w:afterLines="0" w:line="240" w:lineRule="exact"/>
                    <w:rPr>
                      <w:rFonts w:ascii="Times New Roman"/>
                      <w:sz w:val="18"/>
                      <w:szCs w:val="18"/>
                    </w:rPr>
                  </w:pPr>
                  <w:r>
                    <w:rPr>
                      <w:rFonts w:ascii="Times New Roman"/>
                      <w:sz w:val="18"/>
                      <w:szCs w:val="18"/>
                    </w:rPr>
                    <w:t>限制准入类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1</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长江干流及主要支流岸线5公里范围内，除经国家和市政府批准设立、仍在建设的工业园区外，不再新布局工业园区（不包括现有工业园区拓展）。</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拟建项目位于重庆市大足区邮亭镇工业园区A7-01/01地块，</w:t>
                  </w:r>
                  <w:r>
                    <w:rPr>
                      <w:rFonts w:ascii="Times New Roman"/>
                      <w:sz w:val="18"/>
                      <w:szCs w:val="18"/>
                    </w:rPr>
                    <w:t>属于现有工业园区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2</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大气污染防治一般控制区域内，限制建设大气污染严重项目</w:t>
                  </w:r>
                  <w:r>
                    <w:rPr>
                      <w:rFonts w:hint="eastAsia" w:ascii="Times New Roman"/>
                      <w:sz w:val="18"/>
                      <w:szCs w:val="18"/>
                      <w:lang w:eastAsia="zh-CN"/>
                    </w:rPr>
                    <w:t>。</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不属于大气</w:t>
                  </w:r>
                  <w:r>
                    <w:rPr>
                      <w:rFonts w:hint="eastAsia" w:ascii="Times New Roman"/>
                      <w:sz w:val="18"/>
                      <w:szCs w:val="18"/>
                    </w:rPr>
                    <w:t>污染</w:t>
                  </w:r>
                  <w:r>
                    <w:rPr>
                      <w:rFonts w:ascii="Times New Roman"/>
                      <w:sz w:val="18"/>
                      <w:szCs w:val="18"/>
                    </w:rPr>
                    <w:t>严重项目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3</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其他区县的缺水区域严格限制建设高耗水的工业项目。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不属于高耗水的工业项目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ascii="Times New Roman"/>
                      <w:sz w:val="18"/>
                      <w:szCs w:val="18"/>
                    </w:rPr>
                    <w:t>4</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合川区、江津区、长寿区、璧山区等地区，严格限制新建可能对主城区大气产生影响的燃用煤、重油等高污染燃料的工业项目</w:t>
                  </w:r>
                  <w:r>
                    <w:rPr>
                      <w:rFonts w:ascii="Times New Roman"/>
                      <w:sz w:val="18"/>
                      <w:szCs w:val="18"/>
                    </w:rPr>
                    <w:t>。</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w:t>
                  </w:r>
                  <w:r>
                    <w:rPr>
                      <w:rFonts w:ascii="Times New Roman"/>
                      <w:sz w:val="18"/>
                      <w:szCs w:val="18"/>
                    </w:rPr>
                    <w:t>不属于燃用煤、重油的高污染项目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390" w:type="pct"/>
                  <w:vAlign w:val="center"/>
                </w:tcPr>
                <w:p>
                  <w:pPr>
                    <w:pStyle w:val="36"/>
                    <w:spacing w:beforeLines="0" w:afterLines="0" w:line="240" w:lineRule="exact"/>
                    <w:rPr>
                      <w:rFonts w:ascii="Times New Roman"/>
                      <w:sz w:val="18"/>
                      <w:szCs w:val="18"/>
                    </w:rPr>
                  </w:pPr>
                  <w:r>
                    <w:rPr>
                      <w:rFonts w:hint="eastAsia" w:ascii="Times New Roman"/>
                      <w:sz w:val="18"/>
                      <w:szCs w:val="18"/>
                    </w:rPr>
                    <w:t>5</w:t>
                  </w:r>
                </w:p>
              </w:tc>
              <w:tc>
                <w:tcPr>
                  <w:tcW w:w="2700" w:type="pct"/>
                  <w:vAlign w:val="center"/>
                </w:tcPr>
                <w:p>
                  <w:pPr>
                    <w:pStyle w:val="36"/>
                    <w:spacing w:beforeLines="0" w:afterLines="0" w:line="240" w:lineRule="exact"/>
                    <w:rPr>
                      <w:rFonts w:ascii="Times New Roman"/>
                      <w:sz w:val="18"/>
                      <w:szCs w:val="18"/>
                    </w:rPr>
                  </w:pPr>
                  <w:r>
                    <w:rPr>
                      <w:rFonts w:hint="eastAsia" w:ascii="Times New Roman"/>
                      <w:sz w:val="18"/>
                      <w:szCs w:val="18"/>
                    </w:rPr>
                    <w:t>东北部地区、东南部地区限制发展易破坏生态植被的采矿业、建材等工业项目。</w:t>
                  </w:r>
                </w:p>
              </w:tc>
              <w:tc>
                <w:tcPr>
                  <w:tcW w:w="1910" w:type="pct"/>
                  <w:vAlign w:val="center"/>
                </w:tcPr>
                <w:p>
                  <w:pPr>
                    <w:pStyle w:val="36"/>
                    <w:spacing w:beforeLines="0" w:afterLines="0" w:line="240" w:lineRule="exact"/>
                    <w:rPr>
                      <w:rFonts w:ascii="Times New Roman"/>
                      <w:sz w:val="18"/>
                      <w:szCs w:val="18"/>
                    </w:rPr>
                  </w:pPr>
                  <w:r>
                    <w:rPr>
                      <w:rFonts w:ascii="Times New Roman" w:eastAsiaTheme="minorEastAsia"/>
                      <w:sz w:val="18"/>
                      <w:szCs w:val="18"/>
                    </w:rPr>
                    <w:t>拟建项目为金属废料和碎屑加工处理类项目，不属于</w:t>
                  </w:r>
                  <w:r>
                    <w:rPr>
                      <w:rFonts w:hint="eastAsia" w:ascii="Times New Roman"/>
                      <w:sz w:val="18"/>
                      <w:szCs w:val="18"/>
                    </w:rPr>
                    <w:t>采矿业、建材等工业项目。</w:t>
                  </w:r>
                </w:p>
              </w:tc>
            </w:tr>
          </w:tbl>
          <w:p>
            <w:pPr>
              <w:pStyle w:val="121"/>
              <w:spacing w:line="480" w:lineRule="exact"/>
              <w:ind w:firstLine="480"/>
              <w:rPr>
                <w:sz w:val="24"/>
                <w:szCs w:val="24"/>
              </w:rPr>
            </w:pPr>
            <w:r>
              <w:rPr>
                <w:sz w:val="24"/>
                <w:szCs w:val="24"/>
              </w:rPr>
              <w:t>由表1.</w:t>
            </w:r>
            <w:r>
              <w:rPr>
                <w:rFonts w:hint="eastAsia"/>
                <w:sz w:val="24"/>
                <w:szCs w:val="24"/>
              </w:rPr>
              <w:t>2.3</w:t>
            </w:r>
            <w:r>
              <w:rPr>
                <w:sz w:val="24"/>
                <w:szCs w:val="24"/>
              </w:rPr>
              <w:t>-1可知，本项目符合《重庆市产业投资准入工作手册》(渝发改投〔2018〕541号)相关要求。</w:t>
            </w:r>
          </w:p>
          <w:p>
            <w:pPr>
              <w:pStyle w:val="123"/>
              <w:spacing w:before="120" w:after="120" w:line="480" w:lineRule="exact"/>
              <w:rPr>
                <w:sz w:val="24"/>
              </w:rPr>
            </w:pPr>
            <w:r>
              <w:rPr>
                <w:sz w:val="24"/>
              </w:rPr>
              <w:t>1.</w:t>
            </w:r>
            <w:r>
              <w:rPr>
                <w:rFonts w:hint="eastAsia"/>
                <w:sz w:val="24"/>
              </w:rPr>
              <w:t>2.4</w:t>
            </w:r>
            <w:r>
              <w:rPr>
                <w:sz w:val="24"/>
              </w:rPr>
              <w:t>与《关于严格工业布局和准入的通知》(渝发改工〔2018〕781号)的符合性分析</w:t>
            </w:r>
          </w:p>
          <w:p>
            <w:pPr>
              <w:pStyle w:val="121"/>
              <w:spacing w:line="480" w:lineRule="exact"/>
              <w:ind w:firstLine="480"/>
              <w:rPr>
                <w:sz w:val="24"/>
                <w:szCs w:val="24"/>
              </w:rPr>
            </w:pPr>
            <w:r>
              <w:rPr>
                <w:sz w:val="24"/>
                <w:szCs w:val="24"/>
              </w:rPr>
              <w:t>本项目与《关于严格工业布局和准入的通知》(渝发改工〔2018〕781号)的符合性分析详见表1.2.</w:t>
            </w:r>
            <w:r>
              <w:rPr>
                <w:rFonts w:hint="eastAsia"/>
                <w:sz w:val="24"/>
                <w:szCs w:val="24"/>
              </w:rPr>
              <w:t>4</w:t>
            </w:r>
            <w:r>
              <w:rPr>
                <w:sz w:val="24"/>
                <w:szCs w:val="24"/>
              </w:rPr>
              <w:t>-1。</w:t>
            </w:r>
          </w:p>
          <w:p>
            <w:pPr>
              <w:pStyle w:val="36"/>
              <w:spacing w:before="24" w:after="24"/>
              <w:rPr>
                <w:sz w:val="18"/>
                <w:szCs w:val="18"/>
              </w:rPr>
            </w:pPr>
            <w:r>
              <w:rPr>
                <w:rFonts w:ascii="Times New Roman"/>
                <w:sz w:val="18"/>
                <w:szCs w:val="18"/>
              </w:rPr>
              <w:t>表1.2.</w:t>
            </w:r>
            <w:r>
              <w:rPr>
                <w:rFonts w:hint="eastAsia" w:ascii="Times New Roman"/>
                <w:sz w:val="18"/>
                <w:szCs w:val="18"/>
              </w:rPr>
              <w:t>4</w:t>
            </w:r>
            <w:r>
              <w:rPr>
                <w:rFonts w:ascii="Times New Roman"/>
                <w:sz w:val="18"/>
                <w:szCs w:val="18"/>
              </w:rPr>
              <w:t>-1  关于严格工业</w:t>
            </w:r>
            <w:r>
              <w:rPr>
                <w:sz w:val="18"/>
                <w:szCs w:val="18"/>
              </w:rPr>
              <w:t>布局和准入的通知符合性分析</w:t>
            </w:r>
          </w:p>
          <w:tbl>
            <w:tblPr>
              <w:tblStyle w:val="21"/>
              <w:tblW w:w="49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401"/>
              <w:gridCol w:w="1952"/>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1" w:type="pct"/>
                  <w:vAlign w:val="center"/>
                </w:tcPr>
                <w:p>
                  <w:pPr>
                    <w:pStyle w:val="36"/>
                    <w:spacing w:beforeLines="0" w:afterLines="0" w:line="240" w:lineRule="exact"/>
                    <w:rPr>
                      <w:sz w:val="18"/>
                      <w:szCs w:val="18"/>
                    </w:rPr>
                  </w:pPr>
                  <w:r>
                    <w:rPr>
                      <w:sz w:val="18"/>
                      <w:szCs w:val="18"/>
                    </w:rPr>
                    <w:t>序号</w:t>
                  </w:r>
                </w:p>
              </w:tc>
              <w:tc>
                <w:tcPr>
                  <w:tcW w:w="2478" w:type="pct"/>
                  <w:vAlign w:val="center"/>
                </w:tcPr>
                <w:p>
                  <w:pPr>
                    <w:pStyle w:val="36"/>
                    <w:spacing w:beforeLines="0" w:afterLines="0" w:line="240" w:lineRule="exact"/>
                    <w:rPr>
                      <w:sz w:val="18"/>
                      <w:szCs w:val="18"/>
                    </w:rPr>
                  </w:pPr>
                  <w:r>
                    <w:rPr>
                      <w:sz w:val="18"/>
                      <w:szCs w:val="18"/>
                    </w:rPr>
                    <w:t>文件规定</w:t>
                  </w:r>
                </w:p>
              </w:tc>
              <w:tc>
                <w:tcPr>
                  <w:tcW w:w="1422" w:type="pct"/>
                  <w:vAlign w:val="center"/>
                </w:tcPr>
                <w:p>
                  <w:pPr>
                    <w:pStyle w:val="36"/>
                    <w:spacing w:beforeLines="0" w:afterLines="0" w:line="240" w:lineRule="exact"/>
                    <w:rPr>
                      <w:sz w:val="18"/>
                      <w:szCs w:val="18"/>
                    </w:rPr>
                  </w:pPr>
                  <w:r>
                    <w:rPr>
                      <w:sz w:val="18"/>
                      <w:szCs w:val="18"/>
                    </w:rPr>
                    <w:t>项目情况</w:t>
                  </w:r>
                </w:p>
              </w:tc>
              <w:tc>
                <w:tcPr>
                  <w:tcW w:w="417" w:type="pct"/>
                  <w:vAlign w:val="center"/>
                </w:tcPr>
                <w:p>
                  <w:pPr>
                    <w:pStyle w:val="36"/>
                    <w:spacing w:beforeLines="0" w:afterLines="0" w:line="240" w:lineRule="exact"/>
                    <w:rPr>
                      <w:sz w:val="18"/>
                      <w:szCs w:val="18"/>
                    </w:rPr>
                  </w:pPr>
                  <w:r>
                    <w:rPr>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81" w:type="pct"/>
                  <w:vAlign w:val="center"/>
                </w:tcPr>
                <w:p>
                  <w:pPr>
                    <w:pStyle w:val="36"/>
                    <w:spacing w:beforeLines="0" w:afterLines="0" w:line="240" w:lineRule="exact"/>
                    <w:rPr>
                      <w:sz w:val="18"/>
                      <w:szCs w:val="18"/>
                    </w:rPr>
                  </w:pPr>
                  <w:r>
                    <w:rPr>
                      <w:sz w:val="18"/>
                      <w:szCs w:val="18"/>
                    </w:rPr>
                    <w:t>优化空间布局</w:t>
                  </w:r>
                </w:p>
              </w:tc>
              <w:tc>
                <w:tcPr>
                  <w:tcW w:w="2478" w:type="pct"/>
                  <w:vAlign w:val="center"/>
                </w:tcPr>
                <w:p>
                  <w:pPr>
                    <w:pStyle w:val="36"/>
                    <w:spacing w:beforeLines="0" w:afterLines="0" w:line="240" w:lineRule="exact"/>
                    <w:rPr>
                      <w:sz w:val="18"/>
                      <w:szCs w:val="18"/>
                    </w:rPr>
                  </w:pPr>
                  <w:r>
                    <w:rPr>
                      <w:sz w:val="18"/>
                      <w:szCs w:val="18"/>
                    </w:rPr>
                    <w:t>对在长江干流及主要支流沿线1公里范围内新建重化工、纺织、造纸等存在污染风险的工业项目，不得办理项目核准或备案手</w:t>
                  </w:r>
                  <w:r>
                    <w:rPr>
                      <w:sz w:val="18"/>
                      <w:szCs w:val="18"/>
                    </w:rPr>
                    <w:cr/>
                  </w:r>
                  <w:r>
                    <w:rPr>
                      <w:sz w:val="18"/>
                      <w:szCs w:val="18"/>
                    </w:rPr>
                    <w:t>。禁止在长江干</w:t>
                  </w:r>
                  <w:r>
                    <w:rPr>
                      <w:rFonts w:hint="eastAsia"/>
                      <w:sz w:val="18"/>
                      <w:szCs w:val="18"/>
                    </w:rPr>
                    <w:t>流</w:t>
                  </w:r>
                  <w:r>
                    <w:rPr>
                      <w:sz w:val="18"/>
                      <w:szCs w:val="18"/>
                    </w:rPr>
                    <w:t>及主要支流岸线5公里范围内新布局工业园区，有序推进现有工业</w:t>
                  </w:r>
                  <w:r>
                    <w:rPr>
                      <w:rFonts w:hint="eastAsia"/>
                      <w:sz w:val="18"/>
                      <w:szCs w:val="18"/>
                    </w:rPr>
                    <w:t>园</w:t>
                  </w:r>
                  <w:r>
                    <w:rPr>
                      <w:sz w:val="18"/>
                      <w:szCs w:val="18"/>
                    </w:rPr>
                    <w:t>区空间布局的调整优化。</w:t>
                  </w:r>
                </w:p>
              </w:tc>
              <w:tc>
                <w:tcPr>
                  <w:tcW w:w="1422" w:type="pct"/>
                  <w:vAlign w:val="center"/>
                </w:tcPr>
                <w:p>
                  <w:pPr>
                    <w:pStyle w:val="36"/>
                    <w:spacing w:beforeLines="0" w:afterLines="0" w:line="240" w:lineRule="exact"/>
                    <w:rPr>
                      <w:sz w:val="18"/>
                      <w:szCs w:val="18"/>
                    </w:rPr>
                  </w:pPr>
                  <w:r>
                    <w:rPr>
                      <w:rFonts w:ascii="Times New Roman" w:eastAsiaTheme="minorEastAsia"/>
                      <w:sz w:val="18"/>
                      <w:szCs w:val="18"/>
                    </w:rPr>
                    <w:t>拟建项目位于重庆市大足区邮亭镇工业园区A7-01/01地块，</w:t>
                  </w:r>
                  <w:r>
                    <w:rPr>
                      <w:rFonts w:hint="eastAsia"/>
                      <w:sz w:val="18"/>
                      <w:szCs w:val="18"/>
                    </w:rPr>
                    <w:t>不属于</w:t>
                  </w:r>
                  <w:r>
                    <w:rPr>
                      <w:sz w:val="18"/>
                      <w:szCs w:val="18"/>
                    </w:rPr>
                    <w:t>重化工、纺织、造纸等存在污染风险的工业项目。</w:t>
                  </w:r>
                </w:p>
              </w:tc>
              <w:tc>
                <w:tcPr>
                  <w:tcW w:w="417" w:type="pct"/>
                  <w:vAlign w:val="center"/>
                </w:tcPr>
                <w:p>
                  <w:pPr>
                    <w:pStyle w:val="36"/>
                    <w:spacing w:beforeLines="0" w:afterLines="0" w:line="240" w:lineRule="exact"/>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81" w:type="pct"/>
                  <w:vAlign w:val="center"/>
                </w:tcPr>
                <w:p>
                  <w:pPr>
                    <w:pStyle w:val="36"/>
                    <w:spacing w:beforeLines="0" w:afterLines="0" w:line="240" w:lineRule="exact"/>
                    <w:rPr>
                      <w:sz w:val="18"/>
                      <w:szCs w:val="18"/>
                    </w:rPr>
                  </w:pPr>
                  <w:r>
                    <w:rPr>
                      <w:sz w:val="18"/>
                      <w:szCs w:val="18"/>
                    </w:rPr>
                    <w:t>新建项目入园</w:t>
                  </w:r>
                </w:p>
              </w:tc>
              <w:tc>
                <w:tcPr>
                  <w:tcW w:w="2478" w:type="pct"/>
                  <w:vAlign w:val="center"/>
                </w:tcPr>
                <w:p>
                  <w:pPr>
                    <w:pStyle w:val="36"/>
                    <w:spacing w:beforeLines="0" w:afterLines="0" w:line="240" w:lineRule="exact"/>
                    <w:rPr>
                      <w:sz w:val="18"/>
                      <w:szCs w:val="18"/>
                    </w:rPr>
                  </w:pPr>
                  <w:r>
                    <w:rPr>
                      <w:sz w:val="18"/>
                      <w:szCs w:val="18"/>
                    </w:rPr>
                    <w:t>新建有污染排放的工业项目</w:t>
                  </w:r>
                  <w:r>
                    <w:rPr>
                      <w:rFonts w:hint="eastAsia"/>
                      <w:sz w:val="18"/>
                      <w:szCs w:val="18"/>
                      <w:lang w:eastAsia="zh-CN"/>
                    </w:rPr>
                    <w:t>除</w:t>
                  </w:r>
                  <w:r>
                    <w:rPr>
                      <w:sz w:val="18"/>
                      <w:szCs w:val="18"/>
                    </w:rPr>
                    <w:t>处在安全生产或者产业布</w:t>
                  </w:r>
                  <w:r>
                    <w:rPr>
                      <w:rFonts w:hint="eastAsia"/>
                      <w:sz w:val="18"/>
                      <w:szCs w:val="18"/>
                    </w:rPr>
                    <w:t>局</w:t>
                  </w:r>
                  <w:r>
                    <w:rPr>
                      <w:sz w:val="18"/>
                      <w:szCs w:val="18"/>
                    </w:rPr>
                    <w:t>方面</w:t>
                  </w:r>
                  <w:r>
                    <w:rPr>
                      <w:rFonts w:hint="eastAsia"/>
                      <w:sz w:val="18"/>
                      <w:szCs w:val="18"/>
                    </w:rPr>
                    <w:t>等</w:t>
                  </w:r>
                  <w:r>
                    <w:rPr>
                      <w:sz w:val="18"/>
                      <w:szCs w:val="18"/>
                    </w:rPr>
                    <w:t>特殊要求外，应当进入工业园区，对未进入工业园区的项目，或在工业园区以外区</w:t>
                  </w:r>
                  <w:r>
                    <w:rPr>
                      <w:sz w:val="18"/>
                      <w:szCs w:val="18"/>
                    </w:rPr>
                    <w:cr/>
                  </w:r>
                  <w:r>
                    <w:rPr>
                      <w:sz w:val="18"/>
                      <w:szCs w:val="18"/>
                    </w:rPr>
                    <w:t>实施单纯增加产能的技改的项目，不得办理核准及备案手续。</w:t>
                  </w:r>
                </w:p>
              </w:tc>
              <w:tc>
                <w:tcPr>
                  <w:tcW w:w="1422" w:type="pct"/>
                  <w:vAlign w:val="center"/>
                </w:tcPr>
                <w:p>
                  <w:pPr>
                    <w:pStyle w:val="36"/>
                    <w:spacing w:beforeLines="0" w:afterLines="0" w:line="240" w:lineRule="exact"/>
                    <w:rPr>
                      <w:sz w:val="18"/>
                      <w:szCs w:val="18"/>
                    </w:rPr>
                  </w:pPr>
                  <w:r>
                    <w:rPr>
                      <w:rFonts w:ascii="Times New Roman" w:eastAsiaTheme="minorEastAsia"/>
                      <w:sz w:val="18"/>
                      <w:szCs w:val="18"/>
                    </w:rPr>
                    <w:t>拟建项目位于重庆市大足区邮亭镇工业园区A7-01/01地块</w:t>
                  </w:r>
                </w:p>
              </w:tc>
              <w:tc>
                <w:tcPr>
                  <w:tcW w:w="417" w:type="pct"/>
                  <w:vAlign w:val="center"/>
                </w:tcPr>
                <w:p>
                  <w:pPr>
                    <w:pStyle w:val="36"/>
                    <w:spacing w:beforeLines="0" w:afterLines="0" w:line="240" w:lineRule="exact"/>
                    <w:rPr>
                      <w:sz w:val="18"/>
                      <w:szCs w:val="18"/>
                    </w:rPr>
                  </w:pPr>
                  <w:r>
                    <w:rPr>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681" w:type="pct"/>
                  <w:vAlign w:val="center"/>
                </w:tcPr>
                <w:p>
                  <w:pPr>
                    <w:pStyle w:val="36"/>
                    <w:spacing w:beforeLines="0" w:afterLines="0" w:line="240" w:lineRule="exact"/>
                    <w:rPr>
                      <w:sz w:val="18"/>
                      <w:szCs w:val="18"/>
                    </w:rPr>
                  </w:pPr>
                  <w:r>
                    <w:rPr>
                      <w:sz w:val="18"/>
                      <w:szCs w:val="18"/>
                    </w:rPr>
                    <w:t>严格产业准入</w:t>
                  </w:r>
                </w:p>
              </w:tc>
              <w:tc>
                <w:tcPr>
                  <w:tcW w:w="2478" w:type="pct"/>
                  <w:vAlign w:val="center"/>
                </w:tcPr>
                <w:p>
                  <w:pPr>
                    <w:pStyle w:val="36"/>
                    <w:spacing w:beforeLines="0" w:afterLines="0" w:line="240" w:lineRule="exact"/>
                    <w:rPr>
                      <w:sz w:val="18"/>
                      <w:szCs w:val="18"/>
                    </w:rPr>
                  </w:pPr>
                  <w:r>
                    <w:rPr>
                      <w:sz w:val="18"/>
                      <w:szCs w:val="18"/>
                    </w:rPr>
                    <w:t>严格控制过剩产能和“两高一资”项目，严格限制造纸、印染、煤电、传统化工、</w:t>
                  </w:r>
                  <w:r>
                    <w:rPr>
                      <w:sz w:val="18"/>
                      <w:szCs w:val="18"/>
                    </w:rPr>
                    <w:cr/>
                  </w:r>
                  <w:r>
                    <w:rPr>
                      <w:sz w:val="18"/>
                      <w:szCs w:val="18"/>
                    </w:rPr>
                    <w:t>统燃油汽车、涉</w:t>
                  </w:r>
                  <w:r>
                    <w:rPr>
                      <w:rFonts w:hint="eastAsia"/>
                      <w:sz w:val="18"/>
                      <w:szCs w:val="18"/>
                    </w:rPr>
                    <w:t>及</w:t>
                  </w:r>
                  <w:r>
                    <w:rPr>
                      <w:sz w:val="18"/>
                      <w:szCs w:val="18"/>
                    </w:rPr>
                    <w:t>重金属以及有毒有害和持久性污染物排放的项目。新建或扩建上述项目必须符合国家及我市产业</w:t>
                  </w:r>
                  <w:r>
                    <w:rPr>
                      <w:rFonts w:hint="eastAsia"/>
                      <w:sz w:val="18"/>
                      <w:szCs w:val="18"/>
                    </w:rPr>
                    <w:t>政策</w:t>
                  </w:r>
                  <w:r>
                    <w:rPr>
                      <w:sz w:val="18"/>
                      <w:szCs w:val="18"/>
                    </w:rPr>
                    <w:t>和布局，依法办理环境保护、安全生产、资源（能源）节约等有关手续。</w:t>
                  </w:r>
                </w:p>
              </w:tc>
              <w:tc>
                <w:tcPr>
                  <w:tcW w:w="1422" w:type="pct"/>
                  <w:vAlign w:val="center"/>
                </w:tcPr>
                <w:p>
                  <w:pPr>
                    <w:pStyle w:val="36"/>
                    <w:spacing w:beforeLines="0" w:afterLines="0" w:line="240" w:lineRule="exact"/>
                    <w:rPr>
                      <w:sz w:val="18"/>
                      <w:szCs w:val="18"/>
                    </w:rPr>
                  </w:pPr>
                  <w:r>
                    <w:rPr>
                      <w:rFonts w:ascii="Times New Roman" w:eastAsiaTheme="minorEastAsia"/>
                      <w:sz w:val="18"/>
                      <w:szCs w:val="18"/>
                    </w:rPr>
                    <w:t>拟建项目位于重庆市大足区邮亭镇工业园区A7-01/01地块，为金属废料和碎屑加工处理类项目</w:t>
                  </w:r>
                  <w:r>
                    <w:rPr>
                      <w:rFonts w:hint="eastAsia" w:ascii="Times New Roman" w:eastAsiaTheme="minorEastAsia"/>
                      <w:sz w:val="18"/>
                      <w:szCs w:val="18"/>
                    </w:rPr>
                    <w:t>，</w:t>
                  </w:r>
                  <w:r>
                    <w:rPr>
                      <w:rFonts w:ascii="Times New Roman" w:eastAsiaTheme="minorEastAsia"/>
                      <w:sz w:val="18"/>
                      <w:szCs w:val="18"/>
                    </w:rPr>
                    <w:t>不属于</w:t>
                  </w:r>
                  <w:r>
                    <w:rPr>
                      <w:sz w:val="18"/>
                      <w:szCs w:val="18"/>
                    </w:rPr>
                    <w:t>过剩产能和“两高一资”项目</w:t>
                  </w:r>
                  <w:r>
                    <w:rPr>
                      <w:rFonts w:hint="eastAsia"/>
                      <w:sz w:val="18"/>
                      <w:szCs w:val="18"/>
                    </w:rPr>
                    <w:t>，</w:t>
                  </w:r>
                  <w:r>
                    <w:rPr>
                      <w:sz w:val="18"/>
                      <w:szCs w:val="18"/>
                    </w:rPr>
                    <w:t>不属于造纸、印染、煤电、传统化工、</w:t>
                  </w:r>
                  <w:r>
                    <w:rPr>
                      <w:sz w:val="18"/>
                      <w:szCs w:val="18"/>
                    </w:rPr>
                    <w:cr/>
                  </w:r>
                  <w:r>
                    <w:rPr>
                      <w:sz w:val="18"/>
                      <w:szCs w:val="18"/>
                    </w:rPr>
                    <w:t>统燃油汽车、涉</w:t>
                  </w:r>
                  <w:r>
                    <w:rPr>
                      <w:rFonts w:hint="eastAsia"/>
                      <w:sz w:val="18"/>
                      <w:szCs w:val="18"/>
                    </w:rPr>
                    <w:t>及</w:t>
                  </w:r>
                  <w:r>
                    <w:rPr>
                      <w:sz w:val="18"/>
                      <w:szCs w:val="18"/>
                    </w:rPr>
                    <w:t>重金属以及有毒有害和持久性污染物排放的项目</w:t>
                  </w:r>
                  <w:r>
                    <w:rPr>
                      <w:rFonts w:hint="eastAsia"/>
                      <w:sz w:val="18"/>
                      <w:szCs w:val="18"/>
                    </w:rPr>
                    <w:t>。</w:t>
                  </w:r>
                </w:p>
              </w:tc>
              <w:tc>
                <w:tcPr>
                  <w:tcW w:w="417" w:type="pct"/>
                  <w:vAlign w:val="center"/>
                </w:tcPr>
                <w:p>
                  <w:pPr>
                    <w:pStyle w:val="36"/>
                    <w:spacing w:beforeLines="0" w:afterLines="0" w:line="240" w:lineRule="exact"/>
                    <w:rPr>
                      <w:sz w:val="18"/>
                      <w:szCs w:val="18"/>
                    </w:rPr>
                  </w:pPr>
                  <w:r>
                    <w:rPr>
                      <w:sz w:val="18"/>
                      <w:szCs w:val="18"/>
                    </w:rPr>
                    <w:t>符合</w:t>
                  </w:r>
                </w:p>
              </w:tc>
            </w:tr>
          </w:tbl>
          <w:p>
            <w:pPr>
              <w:pStyle w:val="121"/>
              <w:spacing w:line="480" w:lineRule="exact"/>
              <w:ind w:firstLine="480"/>
              <w:rPr>
                <w:sz w:val="24"/>
                <w:szCs w:val="24"/>
              </w:rPr>
            </w:pPr>
            <w:r>
              <w:rPr>
                <w:sz w:val="24"/>
                <w:szCs w:val="24"/>
              </w:rPr>
              <w:t>由表1.</w:t>
            </w:r>
            <w:r>
              <w:rPr>
                <w:rFonts w:hint="eastAsia"/>
                <w:sz w:val="24"/>
                <w:szCs w:val="24"/>
              </w:rPr>
              <w:t>2.4</w:t>
            </w:r>
            <w:r>
              <w:rPr>
                <w:sz w:val="24"/>
                <w:szCs w:val="24"/>
              </w:rPr>
              <w:t>-1可知，本项目符合《关于严格工业布局和准入的通知》(渝发改工〔2018〕781号)相关要求。</w:t>
            </w:r>
          </w:p>
          <w:p>
            <w:pPr>
              <w:autoSpaceDE w:val="0"/>
              <w:autoSpaceDN w:val="0"/>
              <w:adjustRightInd w:val="0"/>
              <w:snapToGrid w:val="0"/>
              <w:spacing w:line="480" w:lineRule="exact"/>
              <w:rPr>
                <w:bCs/>
                <w:sz w:val="24"/>
              </w:rPr>
            </w:pPr>
            <w:r>
              <w:rPr>
                <w:b/>
                <w:kern w:val="21"/>
                <w:sz w:val="24"/>
              </w:rPr>
              <w:t>1.2.</w:t>
            </w:r>
            <w:r>
              <w:rPr>
                <w:rFonts w:hint="eastAsia"/>
                <w:b/>
                <w:kern w:val="21"/>
                <w:sz w:val="24"/>
              </w:rPr>
              <w:t>5</w:t>
            </w:r>
            <w:r>
              <w:rPr>
                <w:b/>
                <w:kern w:val="21"/>
                <w:sz w:val="24"/>
              </w:rPr>
              <w:t xml:space="preserve"> 与相关生态环境保护法律法规政策、生态环境保护规划的符合性分析</w:t>
            </w:r>
          </w:p>
          <w:p>
            <w:pPr>
              <w:autoSpaceDE w:val="0"/>
              <w:autoSpaceDN w:val="0"/>
              <w:adjustRightInd w:val="0"/>
              <w:snapToGrid w:val="0"/>
              <w:spacing w:line="360" w:lineRule="auto"/>
              <w:jc w:val="left"/>
              <w:rPr>
                <w:b/>
                <w:kern w:val="0"/>
                <w:sz w:val="24"/>
              </w:rPr>
            </w:pPr>
            <w:r>
              <w:rPr>
                <w:rFonts w:hint="eastAsia"/>
                <w:b/>
                <w:sz w:val="24"/>
              </w:rPr>
              <w:t>（</w:t>
            </w:r>
            <w:r>
              <w:rPr>
                <w:b/>
                <w:sz w:val="24"/>
              </w:rPr>
              <w:t>1</w:t>
            </w:r>
            <w:r>
              <w:rPr>
                <w:rFonts w:hint="eastAsia"/>
                <w:b/>
                <w:sz w:val="24"/>
              </w:rPr>
              <w:t>）与</w:t>
            </w:r>
            <w:r>
              <w:rPr>
                <w:rFonts w:hint="eastAsia"/>
                <w:b/>
                <w:kern w:val="0"/>
                <w:sz w:val="24"/>
              </w:rPr>
              <w:t>《四川省、重庆市长江经济带发展负面清单实施细则（试行，2022年版）》（川长江办〔2022〕17号）的符合性分析</w:t>
            </w:r>
          </w:p>
          <w:p>
            <w:pPr>
              <w:autoSpaceDE w:val="0"/>
              <w:autoSpaceDN w:val="0"/>
              <w:adjustRightInd w:val="0"/>
              <w:snapToGrid w:val="0"/>
              <w:spacing w:line="360" w:lineRule="auto"/>
              <w:jc w:val="center"/>
              <w:rPr>
                <w:kern w:val="21"/>
                <w:szCs w:val="18"/>
              </w:rPr>
            </w:pPr>
            <w:r>
              <w:rPr>
                <w:kern w:val="21"/>
                <w:szCs w:val="18"/>
              </w:rPr>
              <w:t>表</w:t>
            </w:r>
            <w:r>
              <w:rPr>
                <w:rFonts w:hint="eastAsia"/>
                <w:kern w:val="21"/>
                <w:szCs w:val="18"/>
              </w:rPr>
              <w:t>1.2.5-</w:t>
            </w:r>
            <w:r>
              <w:rPr>
                <w:kern w:val="21"/>
                <w:szCs w:val="18"/>
              </w:rPr>
              <w:t>1</w:t>
            </w:r>
            <w:r>
              <w:rPr>
                <w:rFonts w:hint="eastAsia"/>
                <w:kern w:val="21"/>
                <w:szCs w:val="18"/>
              </w:rPr>
              <w:t xml:space="preserve">  与川长江办〔2022〕17号的符合性分析</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4"/>
              <w:gridCol w:w="3863"/>
              <w:gridCol w:w="2298"/>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序号</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实施细则</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拟建项目情况</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禁止新建、改建和扩建不符合全国港口布局规划，以及《四川省内河水运发展规划》《泸州-宜宾-乐山港口群布局规划》《重庆港总体规划(2035年)》等省级港口布局规划及市级港口总体规划的码头项目。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拟建项目不属于码头项目。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2</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禁止新建、改建和扩建不符合《长江干线过江通道布局规划(2020-2035年)》的过长江通道项目(含桥梁、隧道)，国家发展改革委同意过长江通道线位调整的除外。</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拟建项目不属于过长江通道项目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3</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禁止在自然保护区核心区、缓冲区的岸线和河段范围内投资建设旅游和生产经营项目。自然保护区的内部未分区的，依照核心区和缓冲区的规定管控。</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拟建项目位于重庆市大足区邮亭镇工业园区A7-01/01地块，不涉及自然保护区。</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4</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禁止违反风景名胜区规划，在风景名胜区内设立各类开发区.禁止在风景名胜区核心景区的岸线和河段范围内建设宾馆、招待所、培训中心、疗养院以及与风景名胜资源保护无关的项目。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拟建项目位于重庆市大足区邮亭镇工业园区A7-01/01地块，不涉及风景名胜区。</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5</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禁止在饮用水水源准保护区的岸线和河段范围内新建、扩建对水体污染严重的建设项目，禁止改建增加排污量的建设项目。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拟建项目位于重庆市大足区邮亭镇工业园区A7-01/01地块，不在饮用水水源准保护区的岸线和河段范围内。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6</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饮用水水源二级保护区的岸线和河段范围内，除遵守准保护区规定外，禁止新建、改建、扩建排放污染物的投资建设项目；禁止从事对水体有污染的水产养殖等活动。</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拟建项目位于重庆市大足区邮亭镇工业园区A7-01/01地块，不在饮用水水源二级保护区的岸线和河段范围内。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7</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拟建项目位于重庆市大足区邮亭镇工业园区A7-01/01地块，不在饮用水水源一级保护区的岸线和河段范围内。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8</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禁止在水产种质资源保护区岸线和河段范围内新建围湖造田、围湖造地或挖沙采石等投资建设项目。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拟建项目位于重庆市大足区邮亭镇工业园区A7-01/01地块，不在水产种植资源保护区的岸线和河段范围内。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9</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洞游通道。</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拟建项目位于重庆市大足区邮亭镇工业园区A7-01/01地块，不在国家湿地公园的岸线和河段范围内。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10</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 xml:space="preserve">拟建项目位于重庆市大足区邮亭镇工业园区A7-01/01地块，不在《长江岸线保护和开发利用总体规划》划定的岸线保护区内。 </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11</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禁止在《全国重要江河湖泊水功能区划》划定的河段及湖泊保护区、保留区内投资建设不利于水资源及自然生态保护的项目。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拟建项目位于重庆市大足区邮亭镇工业园区A7-01/01地块，不在《全国重要江河湖泊水功能区划》划定的河段保护区、保留区。</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12</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禁止在长江流域江河、湖泊新设、改设或者扩大排污口，经有管辖权的生态环境主管部门或者长江流域生态环境监督管理机构同意的除外。</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拟建项目废水经厂区污水处理站处理后排入双桥园区污水处理厂处理，不新增排污口。</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13</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禁止在长江干流、大渡河、岷江、赤水河、沱江、嘉陵江、乌江、汉江和51个(四川省45个、重庆市6个)水生生物保护区开展生产性捕捞。</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不涉及</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14</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禁止在长江干支流、重要湖泊岸线一公里范围内新建、扩建化工园区和化工项目。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拟建项目位于重庆市大足区邮亭镇工业园区A7-01/01地块，不属于化工项目。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15</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禁止在长江干流岸线三公里范围内和重要支流岸线一公里范围内新建、改建、扩建尾矿库、冶炼渣库、磷石膏库，以提升安全、生态环境保护水平为目的的改建除外。</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w:t>
                  </w:r>
                  <w:r>
                    <w:rPr>
                      <w:rFonts w:hint="eastAsia"/>
                      <w:kern w:val="21"/>
                      <w:sz w:val="18"/>
                      <w:szCs w:val="18"/>
                      <w:lang w:eastAsia="zh-CN"/>
                    </w:rPr>
                    <w:t>属于</w:t>
                  </w:r>
                  <w:r>
                    <w:rPr>
                      <w:rFonts w:hint="eastAsia"/>
                      <w:kern w:val="21"/>
                      <w:sz w:val="18"/>
                      <w:szCs w:val="18"/>
                    </w:rPr>
                    <w:t>金属废料和碎屑加工处理类项目，</w:t>
                  </w:r>
                  <w:r>
                    <w:rPr>
                      <w:kern w:val="21"/>
                      <w:sz w:val="18"/>
                      <w:szCs w:val="18"/>
                    </w:rPr>
                    <w:t>不属于</w:t>
                  </w:r>
                  <w:r>
                    <w:rPr>
                      <w:rFonts w:hint="eastAsia"/>
                      <w:kern w:val="21"/>
                      <w:sz w:val="18"/>
                      <w:szCs w:val="18"/>
                    </w:rPr>
                    <w:t>尾矿库、冶炼渣库、磷石膏库。</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16</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禁止在生态保护红线区域、永久基本农田集中区域和其他需要特别保护的区域内选址建设尾矿库、冶炼渣库、磷石膏库。</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拟建项目位于重庆市大足区邮亭镇工业园区A7-01/01地块，不在生态保护红线区域、永久基本农田集中区域和其他需要特别保护的区域内。</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17</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禁止在合规园区外新建、扩建钢铁、石化、化工、焦化、建材、有色、制浆造纸等高污染项目。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拟建项目位于重庆市大足区邮亭镇工业园区A7-01/01地块</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18</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禁止新建、扩建不符合国家石化、现代煤化工等产业布局规划的项目。</w:t>
                  </w:r>
                </w:p>
                <w:p>
                  <w:pPr>
                    <w:autoSpaceDE w:val="0"/>
                    <w:autoSpaceDN w:val="0"/>
                    <w:adjustRightInd w:val="0"/>
                    <w:snapToGrid w:val="0"/>
                    <w:jc w:val="center"/>
                    <w:rPr>
                      <w:kern w:val="21"/>
                      <w:sz w:val="18"/>
                      <w:szCs w:val="18"/>
                    </w:rPr>
                  </w:pPr>
                  <w:r>
                    <w:rPr>
                      <w:rFonts w:hint="eastAsia"/>
                      <w:kern w:val="21"/>
                      <w:sz w:val="18"/>
                      <w:szCs w:val="18"/>
                    </w:rPr>
                    <w:t>（一）严格控制新增炼油产能，未列入《石化产业规划布局方案(修订版)》的新增炼油产能一律不得建设。</w:t>
                  </w:r>
                </w:p>
                <w:p>
                  <w:pPr>
                    <w:autoSpaceDE w:val="0"/>
                    <w:autoSpaceDN w:val="0"/>
                    <w:adjustRightInd w:val="0"/>
                    <w:snapToGrid w:val="0"/>
                    <w:jc w:val="center"/>
                    <w:rPr>
                      <w:kern w:val="21"/>
                      <w:sz w:val="18"/>
                      <w:szCs w:val="18"/>
                    </w:rPr>
                  </w:pPr>
                  <w:r>
                    <w:rPr>
                      <w:rFonts w:hint="eastAsia"/>
                      <w:kern w:val="21"/>
                      <w:sz w:val="18"/>
                      <w:szCs w:val="18"/>
                    </w:rPr>
                    <w:t>（二）新建煤制烯经、煤制芳经项目必须列入《现代煤化工产业创新发展布局方案》，必须符合《现代煤化工建设项目环境准入条件(试行)》要求。</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拟建项目不属于石化、现代煤化工项目。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19</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拟建项目属于《产业结构调整指导目录》允许类项目。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20</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禁止新建、扩建不符合国家产能置换要求的严重过剩产能行业的项目.对于不符合国家产能置换要求的严重过剩产能行业，不得以其他任何名义、任何方式备案新增产能项目。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拟建项目不属于严重过剩产能行业的项目。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21</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禁止建设以下燃油汽车投资项目(不在中国境内销售产品的投资项目除外)：</w:t>
                  </w:r>
                </w:p>
                <w:p>
                  <w:pPr>
                    <w:autoSpaceDE w:val="0"/>
                    <w:autoSpaceDN w:val="0"/>
                    <w:adjustRightInd w:val="0"/>
                    <w:snapToGrid w:val="0"/>
                    <w:jc w:val="center"/>
                    <w:rPr>
                      <w:kern w:val="21"/>
                      <w:sz w:val="18"/>
                      <w:szCs w:val="18"/>
                    </w:rPr>
                  </w:pPr>
                  <w:r>
                    <w:rPr>
                      <w:rFonts w:hint="eastAsia"/>
                      <w:kern w:val="21"/>
                      <w:sz w:val="18"/>
                      <w:szCs w:val="18"/>
                    </w:rPr>
                    <w:t>(一)新建独立燃油汽车企业；</w:t>
                  </w:r>
                </w:p>
                <w:p>
                  <w:pPr>
                    <w:autoSpaceDE w:val="0"/>
                    <w:autoSpaceDN w:val="0"/>
                    <w:adjustRightInd w:val="0"/>
                    <w:snapToGrid w:val="0"/>
                    <w:jc w:val="center"/>
                    <w:rPr>
                      <w:kern w:val="21"/>
                      <w:sz w:val="18"/>
                      <w:szCs w:val="18"/>
                    </w:rPr>
                  </w:pPr>
                  <w:r>
                    <w:rPr>
                      <w:rFonts w:hint="eastAsia"/>
                      <w:kern w:val="21"/>
                      <w:sz w:val="18"/>
                      <w:szCs w:val="18"/>
                    </w:rPr>
                    <w:t>(二)现有汽车企业跨乘用车、商用车类别建设燃油汽车生产能力；</w:t>
                  </w:r>
                </w:p>
                <w:p>
                  <w:pPr>
                    <w:autoSpaceDE w:val="0"/>
                    <w:autoSpaceDN w:val="0"/>
                    <w:adjustRightInd w:val="0"/>
                    <w:snapToGrid w:val="0"/>
                    <w:jc w:val="center"/>
                    <w:rPr>
                      <w:kern w:val="21"/>
                      <w:sz w:val="18"/>
                      <w:szCs w:val="18"/>
                    </w:rPr>
                  </w:pPr>
                  <w:r>
                    <w:rPr>
                      <w:rFonts w:hint="eastAsia"/>
                      <w:kern w:val="21"/>
                      <w:sz w:val="18"/>
                      <w:szCs w:val="18"/>
                    </w:rPr>
                    <w:t>(三)外省现有燃油汽车企业整体搬迁至本省(列入国家级区域发展规划或不改变企业股权结构的项目除外)；</w:t>
                  </w:r>
                </w:p>
                <w:p>
                  <w:pPr>
                    <w:autoSpaceDE w:val="0"/>
                    <w:autoSpaceDN w:val="0"/>
                    <w:adjustRightInd w:val="0"/>
                    <w:snapToGrid w:val="0"/>
                    <w:jc w:val="center"/>
                    <w:rPr>
                      <w:kern w:val="21"/>
                      <w:sz w:val="18"/>
                      <w:szCs w:val="18"/>
                    </w:rPr>
                  </w:pPr>
                  <w:r>
                    <w:rPr>
                      <w:rFonts w:hint="eastAsia"/>
                      <w:kern w:val="21"/>
                      <w:sz w:val="18"/>
                      <w:szCs w:val="18"/>
                    </w:rPr>
                    <w:t>(四)对行业管理部门特别公示的燃油汽车企业进行投资(企业原有股东投资或将该企业转为非独立法人的投资项目除外)。</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拟建项目不属于燃油汽车投资项目。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41"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22</w:t>
                  </w:r>
                </w:p>
              </w:tc>
              <w:tc>
                <w:tcPr>
                  <w:tcW w:w="2787"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禁止新建、扩建不符合要求的高耗能、高排放、低水平项目。</w:t>
                  </w:r>
                </w:p>
              </w:tc>
              <w:tc>
                <w:tcPr>
                  <w:tcW w:w="1658"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拟建项目不属于高耗能、高排放、低水平项目。</w:t>
                  </w:r>
                </w:p>
              </w:tc>
              <w:tc>
                <w:tcPr>
                  <w:tcW w:w="315" w:type="pct"/>
                  <w:shd w:val="clear" w:color="auto" w:fill="auto"/>
                  <w:vAlign w:val="center"/>
                </w:tcPr>
                <w:p>
                  <w:pPr>
                    <w:autoSpaceDE w:val="0"/>
                    <w:autoSpaceDN w:val="0"/>
                    <w:adjustRightInd w:val="0"/>
                    <w:snapToGrid w:val="0"/>
                    <w:jc w:val="center"/>
                    <w:rPr>
                      <w:kern w:val="21"/>
                      <w:sz w:val="18"/>
                      <w:szCs w:val="18"/>
                    </w:rPr>
                  </w:pPr>
                  <w:r>
                    <w:rPr>
                      <w:rFonts w:hint="eastAsia"/>
                      <w:kern w:val="21"/>
                      <w:sz w:val="18"/>
                      <w:szCs w:val="18"/>
                    </w:rPr>
                    <w:t>符合</w:t>
                  </w:r>
                </w:p>
              </w:tc>
            </w:tr>
          </w:tbl>
          <w:p>
            <w:pPr>
              <w:autoSpaceDE w:val="0"/>
              <w:autoSpaceDN w:val="0"/>
              <w:adjustRightInd w:val="0"/>
              <w:snapToGrid w:val="0"/>
              <w:spacing w:line="360" w:lineRule="auto"/>
              <w:ind w:firstLine="480" w:firstLineChars="200"/>
              <w:rPr>
                <w:bCs/>
                <w:sz w:val="24"/>
                <w:szCs w:val="21"/>
              </w:rPr>
            </w:pPr>
            <w:r>
              <w:rPr>
                <w:rFonts w:hint="eastAsia"/>
                <w:bCs/>
                <w:sz w:val="24"/>
                <w:szCs w:val="21"/>
              </w:rPr>
              <w:t>以上分析表明，拟建项目</w:t>
            </w:r>
            <w:r>
              <w:rPr>
                <w:bCs/>
                <w:sz w:val="24"/>
                <w:szCs w:val="21"/>
              </w:rPr>
              <w:t>属于</w:t>
            </w:r>
            <w:r>
              <w:rPr>
                <w:rFonts w:hint="eastAsia"/>
                <w:bCs/>
                <w:sz w:val="24"/>
              </w:rPr>
              <w:t>金属废料和碎屑加工处理类项目</w:t>
            </w:r>
            <w:r>
              <w:rPr>
                <w:bCs/>
                <w:sz w:val="24"/>
                <w:szCs w:val="21"/>
              </w:rPr>
              <w:t>，</w:t>
            </w:r>
            <w:r>
              <w:rPr>
                <w:rFonts w:hint="eastAsia"/>
                <w:bCs/>
                <w:sz w:val="24"/>
                <w:szCs w:val="21"/>
              </w:rPr>
              <w:t>位于重庆市大足区邮亭镇工业园区A7-01/01地块</w:t>
            </w:r>
            <w:r>
              <w:rPr>
                <w:bCs/>
                <w:sz w:val="24"/>
                <w:szCs w:val="21"/>
              </w:rPr>
              <w:t>，</w:t>
            </w:r>
            <w:r>
              <w:rPr>
                <w:rFonts w:hint="eastAsia"/>
                <w:bCs/>
                <w:sz w:val="24"/>
                <w:szCs w:val="21"/>
              </w:rPr>
              <w:t>符合《四川省、重庆市长江经济带发展负面清单实施细则（试行，2022年版）》（川长江办〔2022〕17号）</w:t>
            </w:r>
            <w:r>
              <w:rPr>
                <w:bCs/>
                <w:sz w:val="24"/>
                <w:szCs w:val="21"/>
              </w:rPr>
              <w:t>相关内容要求。</w:t>
            </w:r>
          </w:p>
          <w:p>
            <w:pPr>
              <w:spacing w:line="460" w:lineRule="exact"/>
              <w:rPr>
                <w:b/>
                <w:sz w:val="24"/>
              </w:rPr>
            </w:pPr>
            <w:r>
              <w:rPr>
                <w:rFonts w:hint="eastAsia"/>
                <w:b/>
                <w:sz w:val="24"/>
              </w:rPr>
              <w:t>（</w:t>
            </w:r>
            <w:r>
              <w:rPr>
                <w:b/>
                <w:sz w:val="24"/>
              </w:rPr>
              <w:t>2</w:t>
            </w:r>
            <w:r>
              <w:rPr>
                <w:rFonts w:hint="eastAsia"/>
                <w:b/>
                <w:sz w:val="24"/>
              </w:rPr>
              <w:t>）与《挥发性有机物无组织排放控制标准》（GB37822-2019）符合性分析</w:t>
            </w:r>
          </w:p>
          <w:p>
            <w:pPr>
              <w:pStyle w:val="120"/>
              <w:spacing w:line="460" w:lineRule="exact"/>
              <w:rPr>
                <w:lang w:val="en-US"/>
              </w:rPr>
            </w:pPr>
            <w:r>
              <w:rPr>
                <w:rFonts w:hint="eastAsia"/>
                <w:lang w:val="en-US"/>
              </w:rPr>
              <w:t>拟建项目与</w:t>
            </w:r>
            <w:r>
              <w:rPr>
                <w:rFonts w:hint="eastAsia"/>
              </w:rPr>
              <w:t>《挥发性有机物无组织排放控制标准》（GB37822-2019）</w:t>
            </w:r>
            <w:r>
              <w:rPr>
                <w:rFonts w:hint="eastAsia"/>
                <w:lang w:val="en-US"/>
              </w:rPr>
              <w:t>符合性见表1.2.5-</w:t>
            </w:r>
            <w:r>
              <w:rPr>
                <w:lang w:val="en-US"/>
              </w:rPr>
              <w:t>2</w:t>
            </w:r>
            <w:r>
              <w:rPr>
                <w:rFonts w:hint="eastAsia"/>
                <w:lang w:val="en-US"/>
              </w:rPr>
              <w:t>。</w:t>
            </w:r>
          </w:p>
          <w:p>
            <w:pPr>
              <w:spacing w:line="460" w:lineRule="exact"/>
              <w:jc w:val="center"/>
              <w:rPr>
                <w:szCs w:val="18"/>
              </w:rPr>
            </w:pPr>
            <w:r>
              <w:rPr>
                <w:rFonts w:hint="eastAsia"/>
                <w:szCs w:val="18"/>
              </w:rPr>
              <w:t>表1.2.5-</w:t>
            </w:r>
            <w:r>
              <w:rPr>
                <w:szCs w:val="18"/>
              </w:rPr>
              <w:t>2</w:t>
            </w:r>
            <w:r>
              <w:rPr>
                <w:rFonts w:hint="eastAsia"/>
                <w:szCs w:val="18"/>
              </w:rPr>
              <w:t xml:space="preserve"> 与《挥发性有机物无组织排放控制标准》（GB37822-2019）符合性分析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675"/>
              <w:gridCol w:w="2577"/>
              <w:gridCol w:w="2273"/>
              <w:gridCol w:w="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28" w:type="pct"/>
                  <w:gridSpan w:val="2"/>
                  <w:vAlign w:val="center"/>
                </w:tcPr>
                <w:p>
                  <w:pPr>
                    <w:pStyle w:val="36"/>
                    <w:spacing w:beforeLines="0" w:afterLines="0" w:line="240" w:lineRule="exact"/>
                    <w:rPr>
                      <w:rFonts w:ascii="Times New Roman"/>
                      <w:sz w:val="18"/>
                      <w:szCs w:val="18"/>
                    </w:rPr>
                  </w:pPr>
                  <w:r>
                    <w:rPr>
                      <w:rFonts w:ascii="Times New Roman"/>
                      <w:sz w:val="18"/>
                      <w:szCs w:val="18"/>
                    </w:rPr>
                    <w:t>条例</w:t>
                  </w:r>
                </w:p>
              </w:tc>
              <w:tc>
                <w:tcPr>
                  <w:tcW w:w="1859" w:type="pct"/>
                  <w:vAlign w:val="center"/>
                </w:tcPr>
                <w:p>
                  <w:pPr>
                    <w:pStyle w:val="36"/>
                    <w:spacing w:beforeLines="0" w:afterLines="0" w:line="240" w:lineRule="exact"/>
                    <w:rPr>
                      <w:rFonts w:ascii="Times New Roman"/>
                      <w:sz w:val="18"/>
                      <w:szCs w:val="18"/>
                    </w:rPr>
                  </w:pPr>
                  <w:r>
                    <w:rPr>
                      <w:rFonts w:ascii="Times New Roman"/>
                      <w:sz w:val="18"/>
                      <w:szCs w:val="18"/>
                    </w:rPr>
                    <w:t>《挥发性有机物无组织排放控制标准》</w:t>
                  </w:r>
                </w:p>
              </w:tc>
              <w:tc>
                <w:tcPr>
                  <w:tcW w:w="1640" w:type="pct"/>
                  <w:vAlign w:val="center"/>
                </w:tcPr>
                <w:p>
                  <w:pPr>
                    <w:pStyle w:val="36"/>
                    <w:spacing w:beforeLines="0" w:afterLines="0" w:line="240" w:lineRule="exact"/>
                    <w:rPr>
                      <w:rFonts w:ascii="Times New Roman"/>
                      <w:sz w:val="18"/>
                      <w:szCs w:val="18"/>
                    </w:rPr>
                  </w:pPr>
                  <w:r>
                    <w:rPr>
                      <w:rFonts w:ascii="Times New Roman"/>
                      <w:sz w:val="18"/>
                      <w:szCs w:val="18"/>
                    </w:rPr>
                    <w:t>项目实际情况</w:t>
                  </w:r>
                </w:p>
              </w:tc>
              <w:tc>
                <w:tcPr>
                  <w:tcW w:w="373" w:type="pct"/>
                  <w:vAlign w:val="center"/>
                </w:tcPr>
                <w:p>
                  <w:pPr>
                    <w:pStyle w:val="36"/>
                    <w:spacing w:beforeLines="0" w:afterLines="0" w:line="240" w:lineRule="exact"/>
                    <w:rPr>
                      <w:rFonts w:ascii="Times New Roman"/>
                      <w:sz w:val="18"/>
                      <w:szCs w:val="18"/>
                    </w:rPr>
                  </w:pPr>
                  <w:r>
                    <w:rPr>
                      <w:rFonts w:ascii="Times New Roman"/>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1" w:type="pct"/>
                  <w:vMerge w:val="restart"/>
                  <w:vAlign w:val="center"/>
                </w:tcPr>
                <w:p>
                  <w:pPr>
                    <w:pStyle w:val="36"/>
                    <w:spacing w:beforeLines="0" w:afterLines="0" w:line="240" w:lineRule="exact"/>
                    <w:rPr>
                      <w:rFonts w:ascii="Times New Roman"/>
                      <w:sz w:val="18"/>
                      <w:szCs w:val="18"/>
                    </w:rPr>
                  </w:pPr>
                  <w:r>
                    <w:rPr>
                      <w:rFonts w:ascii="Times New Roman"/>
                      <w:sz w:val="18"/>
                      <w:szCs w:val="18"/>
                    </w:rPr>
                    <w:t>VOCs物料储存无组织排放控制要求</w:t>
                  </w:r>
                </w:p>
              </w:tc>
              <w:tc>
                <w:tcPr>
                  <w:tcW w:w="487" w:type="pct"/>
                  <w:vMerge w:val="restart"/>
                  <w:vAlign w:val="center"/>
                </w:tcPr>
                <w:p>
                  <w:pPr>
                    <w:pStyle w:val="36"/>
                    <w:spacing w:beforeLines="0" w:afterLines="0" w:line="240" w:lineRule="exact"/>
                    <w:rPr>
                      <w:rFonts w:ascii="Times New Roman"/>
                      <w:sz w:val="18"/>
                      <w:szCs w:val="18"/>
                    </w:rPr>
                  </w:pPr>
                  <w:r>
                    <w:rPr>
                      <w:rFonts w:ascii="Times New Roman"/>
                      <w:sz w:val="18"/>
                      <w:szCs w:val="18"/>
                    </w:rPr>
                    <w:t>基本要求</w:t>
                  </w:r>
                </w:p>
              </w:tc>
              <w:tc>
                <w:tcPr>
                  <w:tcW w:w="1859" w:type="pct"/>
                  <w:vAlign w:val="center"/>
                </w:tcPr>
                <w:p>
                  <w:pPr>
                    <w:pStyle w:val="36"/>
                    <w:spacing w:beforeLines="0" w:afterLines="0" w:line="240" w:lineRule="exact"/>
                    <w:rPr>
                      <w:rFonts w:ascii="Times New Roman"/>
                      <w:sz w:val="18"/>
                      <w:szCs w:val="18"/>
                    </w:rPr>
                  </w:pPr>
                  <w:r>
                    <w:rPr>
                      <w:rFonts w:ascii="Times New Roman"/>
                      <w:sz w:val="18"/>
                      <w:szCs w:val="18"/>
                    </w:rPr>
                    <w:t>VOCs物料应储存于密闭的容器、包装袋、储罐、储库、料仓中</w:t>
                  </w:r>
                </w:p>
              </w:tc>
              <w:tc>
                <w:tcPr>
                  <w:tcW w:w="1640" w:type="pct"/>
                  <w:vAlign w:val="center"/>
                </w:tcPr>
                <w:p>
                  <w:pPr>
                    <w:pStyle w:val="36"/>
                    <w:spacing w:beforeLines="0" w:afterLines="0" w:line="240" w:lineRule="exact"/>
                    <w:rPr>
                      <w:rFonts w:ascii="Times New Roman"/>
                      <w:sz w:val="18"/>
                      <w:szCs w:val="18"/>
                    </w:rPr>
                  </w:pPr>
                  <w:r>
                    <w:rPr>
                      <w:rFonts w:ascii="Times New Roman"/>
                      <w:sz w:val="18"/>
                      <w:szCs w:val="18"/>
                    </w:rPr>
                    <w:t>本项目涉及的带挥发性有机物的</w:t>
                  </w:r>
                  <w:r>
                    <w:rPr>
                      <w:rFonts w:hint="eastAsia" w:ascii="Times New Roman"/>
                      <w:sz w:val="18"/>
                      <w:szCs w:val="18"/>
                    </w:rPr>
                    <w:t>油类</w:t>
                  </w:r>
                  <w:r>
                    <w:rPr>
                      <w:rFonts w:ascii="Times New Roman"/>
                      <w:sz w:val="18"/>
                      <w:szCs w:val="18"/>
                    </w:rPr>
                    <w:t>物料储存于原辅料库房密闭的铁桶内。</w:t>
                  </w:r>
                </w:p>
              </w:tc>
              <w:tc>
                <w:tcPr>
                  <w:tcW w:w="373" w:type="pct"/>
                  <w:vAlign w:val="center"/>
                </w:tcPr>
                <w:p>
                  <w:pPr>
                    <w:pStyle w:val="36"/>
                    <w:spacing w:beforeLines="0" w:afterLines="0" w:line="240" w:lineRule="exact"/>
                    <w:rPr>
                      <w:rFonts w:ascii="Times New Roman"/>
                      <w:sz w:val="18"/>
                      <w:szCs w:val="18"/>
                    </w:rPr>
                  </w:pPr>
                  <w:r>
                    <w:rPr>
                      <w:rFonts w:ascii="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1" w:type="pct"/>
                  <w:vMerge w:val="continue"/>
                  <w:vAlign w:val="center"/>
                </w:tcPr>
                <w:p>
                  <w:pPr>
                    <w:pStyle w:val="36"/>
                    <w:spacing w:beforeLines="0" w:afterLines="0" w:line="240" w:lineRule="exact"/>
                    <w:rPr>
                      <w:rFonts w:ascii="Times New Roman"/>
                      <w:sz w:val="18"/>
                      <w:szCs w:val="18"/>
                    </w:rPr>
                  </w:pPr>
                </w:p>
              </w:tc>
              <w:tc>
                <w:tcPr>
                  <w:tcW w:w="487" w:type="pct"/>
                  <w:vMerge w:val="continue"/>
                  <w:vAlign w:val="center"/>
                </w:tcPr>
                <w:p>
                  <w:pPr>
                    <w:pStyle w:val="36"/>
                    <w:spacing w:beforeLines="0" w:afterLines="0" w:line="240" w:lineRule="exact"/>
                    <w:rPr>
                      <w:rFonts w:ascii="Times New Roman"/>
                      <w:sz w:val="18"/>
                      <w:szCs w:val="18"/>
                    </w:rPr>
                  </w:pPr>
                </w:p>
              </w:tc>
              <w:tc>
                <w:tcPr>
                  <w:tcW w:w="1859" w:type="pct"/>
                  <w:vAlign w:val="center"/>
                </w:tcPr>
                <w:p>
                  <w:pPr>
                    <w:pStyle w:val="36"/>
                    <w:spacing w:beforeLines="0" w:afterLines="0" w:line="240" w:lineRule="exact"/>
                    <w:rPr>
                      <w:rFonts w:ascii="Times New Roman"/>
                      <w:sz w:val="18"/>
                      <w:szCs w:val="18"/>
                    </w:rPr>
                  </w:pPr>
                  <w:r>
                    <w:rPr>
                      <w:rFonts w:ascii="Times New Roman"/>
                      <w:sz w:val="18"/>
                      <w:szCs w:val="18"/>
                    </w:rPr>
                    <w:t>盛装VOCs物料的容器或包装袋应存放于室内，或存放于设置有雨棚、遮阳和防渗设施的专用场地。盛装VOCs物料的容器或包装袋在非取用状态时应加盖、封口，保持密闭。</w:t>
                  </w:r>
                </w:p>
              </w:tc>
              <w:tc>
                <w:tcPr>
                  <w:tcW w:w="1640" w:type="pct"/>
                  <w:vAlign w:val="center"/>
                </w:tcPr>
                <w:p>
                  <w:pPr>
                    <w:pStyle w:val="36"/>
                    <w:spacing w:beforeLines="0" w:afterLines="0" w:line="240" w:lineRule="exact"/>
                    <w:rPr>
                      <w:rFonts w:ascii="Times New Roman"/>
                      <w:sz w:val="18"/>
                      <w:szCs w:val="18"/>
                    </w:rPr>
                  </w:pPr>
                  <w:r>
                    <w:rPr>
                      <w:rFonts w:ascii="Times New Roman"/>
                      <w:sz w:val="18"/>
                      <w:szCs w:val="18"/>
                    </w:rPr>
                    <w:t>本项目涉及的带挥发性有机物的</w:t>
                  </w:r>
                  <w:r>
                    <w:rPr>
                      <w:rFonts w:hint="eastAsia" w:ascii="Times New Roman"/>
                      <w:sz w:val="18"/>
                      <w:szCs w:val="18"/>
                    </w:rPr>
                    <w:t>油类</w:t>
                  </w:r>
                  <w:r>
                    <w:rPr>
                      <w:rFonts w:ascii="Times New Roman"/>
                      <w:sz w:val="18"/>
                      <w:szCs w:val="18"/>
                    </w:rPr>
                    <w:t>物料储存于原辅料库房密闭的铁桶内。为设置防渗设施的专用场地，并做防渗设施，盛装VOCs物料的容器或包装袋在非取用状态时加盖、封口，保持密闭。</w:t>
                  </w:r>
                </w:p>
              </w:tc>
              <w:tc>
                <w:tcPr>
                  <w:tcW w:w="373" w:type="pct"/>
                  <w:vAlign w:val="center"/>
                </w:tcPr>
                <w:p>
                  <w:pPr>
                    <w:pStyle w:val="36"/>
                    <w:spacing w:beforeLines="0" w:afterLines="0" w:line="240" w:lineRule="exact"/>
                    <w:rPr>
                      <w:rFonts w:ascii="Times New Roman"/>
                      <w:sz w:val="18"/>
                      <w:szCs w:val="18"/>
                    </w:rPr>
                  </w:pPr>
                  <w:r>
                    <w:rPr>
                      <w:rFonts w:ascii="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1" w:type="pct"/>
                  <w:vAlign w:val="center"/>
                </w:tcPr>
                <w:p>
                  <w:pPr>
                    <w:pStyle w:val="36"/>
                    <w:spacing w:beforeLines="0" w:afterLines="0" w:line="240" w:lineRule="exact"/>
                    <w:rPr>
                      <w:rFonts w:ascii="Times New Roman"/>
                      <w:sz w:val="18"/>
                      <w:szCs w:val="18"/>
                    </w:rPr>
                  </w:pPr>
                  <w:r>
                    <w:rPr>
                      <w:rFonts w:ascii="Times New Roman"/>
                      <w:sz w:val="18"/>
                      <w:szCs w:val="18"/>
                    </w:rPr>
                    <w:t>VOCs物料转移和输送无组织排放控制要求</w:t>
                  </w:r>
                </w:p>
              </w:tc>
              <w:tc>
                <w:tcPr>
                  <w:tcW w:w="487" w:type="pct"/>
                  <w:vAlign w:val="center"/>
                </w:tcPr>
                <w:p>
                  <w:pPr>
                    <w:pStyle w:val="36"/>
                    <w:spacing w:beforeLines="0" w:afterLines="0" w:line="240" w:lineRule="exact"/>
                    <w:rPr>
                      <w:rFonts w:ascii="Times New Roman"/>
                      <w:sz w:val="18"/>
                      <w:szCs w:val="18"/>
                    </w:rPr>
                  </w:pPr>
                  <w:r>
                    <w:rPr>
                      <w:rFonts w:ascii="Times New Roman"/>
                      <w:sz w:val="18"/>
                      <w:szCs w:val="18"/>
                    </w:rPr>
                    <w:t>基本要求</w:t>
                  </w:r>
                </w:p>
              </w:tc>
              <w:tc>
                <w:tcPr>
                  <w:tcW w:w="1859" w:type="pct"/>
                  <w:vAlign w:val="center"/>
                </w:tcPr>
                <w:p>
                  <w:pPr>
                    <w:pStyle w:val="36"/>
                    <w:spacing w:beforeLines="0" w:afterLines="0" w:line="240" w:lineRule="exact"/>
                    <w:rPr>
                      <w:rFonts w:ascii="Times New Roman"/>
                      <w:sz w:val="18"/>
                      <w:szCs w:val="18"/>
                    </w:rPr>
                  </w:pPr>
                  <w:r>
                    <w:rPr>
                      <w:rFonts w:ascii="Times New Roman"/>
                      <w:sz w:val="18"/>
                      <w:szCs w:val="18"/>
                    </w:rPr>
                    <w:t>液态VOCs物料应采用密闭管道输送。采用非管道输送方式转移液态VOCs物料时，应采用密闭容器、罐车。</w:t>
                  </w:r>
                </w:p>
              </w:tc>
              <w:tc>
                <w:tcPr>
                  <w:tcW w:w="1640" w:type="pct"/>
                  <w:vAlign w:val="center"/>
                </w:tcPr>
                <w:p>
                  <w:pPr>
                    <w:pStyle w:val="36"/>
                    <w:spacing w:beforeLines="0" w:afterLines="0" w:line="240" w:lineRule="exact"/>
                    <w:rPr>
                      <w:rFonts w:ascii="Times New Roman"/>
                      <w:sz w:val="18"/>
                      <w:szCs w:val="18"/>
                    </w:rPr>
                  </w:pPr>
                  <w:r>
                    <w:rPr>
                      <w:rFonts w:ascii="Times New Roman"/>
                      <w:sz w:val="18"/>
                      <w:szCs w:val="18"/>
                    </w:rPr>
                    <w:t>本项目涉及的液态VOCs物料采用非管道输送转移，在密闭</w:t>
                  </w:r>
                  <w:r>
                    <w:rPr>
                      <w:rFonts w:hint="eastAsia" w:ascii="Times New Roman"/>
                      <w:sz w:val="18"/>
                      <w:szCs w:val="18"/>
                    </w:rPr>
                    <w:t>容器</w:t>
                  </w:r>
                  <w:r>
                    <w:rPr>
                      <w:rFonts w:ascii="Times New Roman"/>
                      <w:sz w:val="18"/>
                      <w:szCs w:val="18"/>
                    </w:rPr>
                    <w:t>内进行稀释</w:t>
                  </w:r>
                </w:p>
              </w:tc>
              <w:tc>
                <w:tcPr>
                  <w:tcW w:w="373" w:type="pct"/>
                  <w:vAlign w:val="center"/>
                </w:tcPr>
                <w:p>
                  <w:pPr>
                    <w:pStyle w:val="36"/>
                    <w:spacing w:beforeLines="0" w:afterLines="0" w:line="240" w:lineRule="exact"/>
                    <w:rPr>
                      <w:rFonts w:ascii="Times New Roman"/>
                      <w:sz w:val="18"/>
                      <w:szCs w:val="18"/>
                    </w:rPr>
                  </w:pPr>
                  <w:r>
                    <w:rPr>
                      <w:rFonts w:ascii="Times New Roman"/>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1" w:type="pct"/>
                  <w:vAlign w:val="center"/>
                </w:tcPr>
                <w:p>
                  <w:pPr>
                    <w:pStyle w:val="36"/>
                    <w:spacing w:beforeLines="0" w:afterLines="0" w:line="240" w:lineRule="exact"/>
                    <w:rPr>
                      <w:rFonts w:ascii="Times New Roman"/>
                      <w:sz w:val="18"/>
                      <w:szCs w:val="18"/>
                    </w:rPr>
                  </w:pPr>
                  <w:r>
                    <w:rPr>
                      <w:rFonts w:ascii="Times New Roman"/>
                      <w:sz w:val="18"/>
                      <w:szCs w:val="18"/>
                    </w:rPr>
                    <w:t>工艺过程VOCs无组织排放控制要求</w:t>
                  </w:r>
                </w:p>
              </w:tc>
              <w:tc>
                <w:tcPr>
                  <w:tcW w:w="487" w:type="pct"/>
                  <w:vAlign w:val="center"/>
                </w:tcPr>
                <w:p>
                  <w:pPr>
                    <w:pStyle w:val="36"/>
                    <w:spacing w:beforeLines="0" w:afterLines="0" w:line="240" w:lineRule="exact"/>
                    <w:rPr>
                      <w:rFonts w:ascii="Times New Roman"/>
                      <w:sz w:val="18"/>
                      <w:szCs w:val="18"/>
                    </w:rPr>
                  </w:pPr>
                  <w:r>
                    <w:rPr>
                      <w:rFonts w:ascii="Times New Roman"/>
                      <w:sz w:val="18"/>
                      <w:szCs w:val="18"/>
                    </w:rPr>
                    <w:t>含VOCs产品的使用过程</w:t>
                  </w:r>
                </w:p>
              </w:tc>
              <w:tc>
                <w:tcPr>
                  <w:tcW w:w="1859" w:type="pct"/>
                  <w:vAlign w:val="center"/>
                </w:tcPr>
                <w:p>
                  <w:pPr>
                    <w:pStyle w:val="36"/>
                    <w:spacing w:beforeLines="0" w:afterLines="0" w:line="240" w:lineRule="exact"/>
                    <w:rPr>
                      <w:rFonts w:ascii="Times New Roman"/>
                      <w:sz w:val="18"/>
                      <w:szCs w:val="18"/>
                    </w:rPr>
                  </w:pPr>
                  <w:r>
                    <w:rPr>
                      <w:rFonts w:ascii="Times New Roman"/>
                      <w:sz w:val="18"/>
                      <w:szCs w:val="18"/>
                    </w:rPr>
                    <w:t>VOCs质量占比大于等于10%的含VOCs产品，其使用过程应采用密闭设备或在密闭空间内操作，废气应排至VOCs废气收集处理系统。</w:t>
                  </w:r>
                </w:p>
                <w:p>
                  <w:pPr>
                    <w:pStyle w:val="36"/>
                    <w:spacing w:beforeLines="0" w:afterLines="0" w:line="240" w:lineRule="exact"/>
                    <w:rPr>
                      <w:rFonts w:ascii="Times New Roman"/>
                      <w:sz w:val="18"/>
                      <w:szCs w:val="18"/>
                    </w:rPr>
                  </w:pPr>
                  <w:r>
                    <w:rPr>
                      <w:rFonts w:ascii="Times New Roman"/>
                      <w:sz w:val="18"/>
                      <w:szCs w:val="18"/>
                    </w:rPr>
                    <w:t>载有VOCs物料的设备及其管道在开停工（车）、检维修和清洗时，应在退料阶段将残存物料退净，并用密闭容器盛装，退料过程废气应排至VOCs废气收集系统；清洗及吹扫过程排气应排至VOCSs废气收集处理系统</w:t>
                  </w:r>
                </w:p>
              </w:tc>
              <w:tc>
                <w:tcPr>
                  <w:tcW w:w="1640" w:type="pct"/>
                  <w:vAlign w:val="center"/>
                </w:tcPr>
                <w:p>
                  <w:pPr>
                    <w:pStyle w:val="4"/>
                    <w:spacing w:before="0" w:after="0" w:line="240" w:lineRule="exact"/>
                    <w:rPr>
                      <w:b w:val="0"/>
                      <w:bCs w:val="0"/>
                      <w:sz w:val="18"/>
                      <w:szCs w:val="18"/>
                      <w:lang w:val="zh-CN"/>
                    </w:rPr>
                  </w:pPr>
                  <w:r>
                    <w:rPr>
                      <w:rFonts w:hint="eastAsia" w:hAnsi="宋体"/>
                      <w:b w:val="0"/>
                      <w:bCs w:val="0"/>
                      <w:sz w:val="18"/>
                      <w:szCs w:val="18"/>
                    </w:rPr>
                    <w:t>拟建项目VOCs废气经集气罩收集（收集效率80%）后经二级活性炭吸附处理（处理效率</w:t>
                  </w:r>
                  <w:r>
                    <w:rPr>
                      <w:rFonts w:hAnsi="宋体"/>
                      <w:b w:val="0"/>
                      <w:bCs w:val="0"/>
                      <w:sz w:val="18"/>
                      <w:szCs w:val="18"/>
                    </w:rPr>
                    <w:t>55</w:t>
                  </w:r>
                  <w:r>
                    <w:rPr>
                      <w:rFonts w:hint="eastAsia" w:hAnsi="宋体"/>
                      <w:b w:val="0"/>
                      <w:bCs w:val="0"/>
                      <w:sz w:val="18"/>
                      <w:szCs w:val="18"/>
                    </w:rPr>
                    <w:t>%）后气经高15m、内径0.</w:t>
                  </w:r>
                  <w:r>
                    <w:rPr>
                      <w:rFonts w:hAnsi="宋体"/>
                      <w:b w:val="0"/>
                      <w:bCs w:val="0"/>
                      <w:sz w:val="18"/>
                      <w:szCs w:val="18"/>
                    </w:rPr>
                    <w:t>4</w:t>
                  </w:r>
                  <w:r>
                    <w:rPr>
                      <w:rFonts w:hint="eastAsia" w:hAnsi="宋体"/>
                      <w:b w:val="0"/>
                      <w:bCs w:val="0"/>
                      <w:sz w:val="18"/>
                      <w:szCs w:val="18"/>
                    </w:rPr>
                    <w:t>m的DA001排气筒排放。</w:t>
                  </w:r>
                </w:p>
              </w:tc>
              <w:tc>
                <w:tcPr>
                  <w:tcW w:w="373" w:type="pct"/>
                  <w:vAlign w:val="center"/>
                </w:tcPr>
                <w:p>
                  <w:pPr>
                    <w:pStyle w:val="36"/>
                    <w:spacing w:beforeLines="0" w:afterLines="0" w:line="240" w:lineRule="exact"/>
                    <w:rPr>
                      <w:rFonts w:ascii="Times New Roman"/>
                      <w:sz w:val="18"/>
                      <w:szCs w:val="18"/>
                    </w:rPr>
                  </w:pPr>
                  <w:r>
                    <w:rPr>
                      <w:rFonts w:ascii="Times New Roman"/>
                      <w:sz w:val="18"/>
                      <w:szCs w:val="18"/>
                    </w:rPr>
                    <w:t>符合</w:t>
                  </w:r>
                </w:p>
              </w:tc>
            </w:tr>
          </w:tbl>
          <w:p>
            <w:pPr>
              <w:spacing w:line="460" w:lineRule="exact"/>
              <w:rPr>
                <w:b/>
                <w:sz w:val="26"/>
                <w:szCs w:val="26"/>
                <w:lang w:bidi="en-US"/>
              </w:rPr>
            </w:pPr>
            <w:r>
              <w:rPr>
                <w:b/>
                <w:bCs/>
                <w:sz w:val="24"/>
              </w:rPr>
              <w:t>1.2.6与</w:t>
            </w:r>
            <w:r>
              <w:rPr>
                <w:b/>
                <w:sz w:val="24"/>
                <w:lang w:bidi="en-US"/>
              </w:rPr>
              <w:t>《</w:t>
            </w:r>
            <w:r>
              <w:rPr>
                <w:rFonts w:hint="eastAsia"/>
                <w:b/>
                <w:sz w:val="24"/>
                <w:lang w:bidi="en-US"/>
              </w:rPr>
              <w:t>报废机动车拆解企业污染控制技术规范</w:t>
            </w:r>
            <w:r>
              <w:rPr>
                <w:b/>
                <w:sz w:val="24"/>
                <w:lang w:bidi="en-US"/>
              </w:rPr>
              <w:t>》</w:t>
            </w:r>
            <w:r>
              <w:rPr>
                <w:rFonts w:hint="eastAsia"/>
                <w:b/>
                <w:sz w:val="24"/>
                <w:lang w:bidi="en-US"/>
              </w:rPr>
              <w:t>（HJ</w:t>
            </w:r>
            <w:r>
              <w:rPr>
                <w:b/>
                <w:sz w:val="24"/>
                <w:lang w:bidi="en-US"/>
              </w:rPr>
              <w:t>348</w:t>
            </w:r>
            <w:r>
              <w:rPr>
                <w:rFonts w:hint="eastAsia"/>
                <w:b/>
                <w:sz w:val="24"/>
                <w:lang w:bidi="en-US"/>
              </w:rPr>
              <w:t>-</w:t>
            </w:r>
            <w:r>
              <w:rPr>
                <w:b/>
                <w:sz w:val="24"/>
                <w:lang w:bidi="en-US"/>
              </w:rPr>
              <w:t>2022</w:t>
            </w:r>
            <w:r>
              <w:rPr>
                <w:rFonts w:hint="eastAsia"/>
                <w:b/>
                <w:sz w:val="24"/>
                <w:lang w:bidi="en-US"/>
              </w:rPr>
              <w:t>）</w:t>
            </w:r>
            <w:r>
              <w:rPr>
                <w:b/>
                <w:sz w:val="24"/>
                <w:lang w:bidi="en-US"/>
              </w:rPr>
              <w:t>符合性分析</w:t>
            </w:r>
          </w:p>
          <w:p>
            <w:pPr>
              <w:adjustRightInd w:val="0"/>
              <w:spacing w:line="460" w:lineRule="exact"/>
              <w:ind w:firstLine="480" w:firstLineChars="200"/>
              <w:contextualSpacing/>
              <w:rPr>
                <w:sz w:val="24"/>
                <w:lang w:bidi="en-US"/>
              </w:rPr>
            </w:pPr>
            <w:r>
              <w:rPr>
                <w:sz w:val="24"/>
                <w:lang w:bidi="en-US"/>
              </w:rPr>
              <w:t>根据</w:t>
            </w:r>
            <w:r>
              <w:rPr>
                <w:rFonts w:hint="eastAsia"/>
                <w:sz w:val="24"/>
                <w:lang w:bidi="en-US"/>
              </w:rPr>
              <w:t>《报废机动车拆解企业污染控制技术规范》（HJ348-2022）</w:t>
            </w:r>
            <w:r>
              <w:rPr>
                <w:sz w:val="24"/>
                <w:lang w:bidi="en-US"/>
              </w:rPr>
              <w:t>中的相关规定及要求，对本项目进行分析，详见</w:t>
            </w:r>
            <w:r>
              <w:rPr>
                <w:sz w:val="24"/>
              </w:rPr>
              <w:t>表1.2.6</w:t>
            </w:r>
            <w:r>
              <w:rPr>
                <w:rFonts w:hint="eastAsia"/>
                <w:sz w:val="24"/>
              </w:rPr>
              <w:t>-</w:t>
            </w:r>
            <w:r>
              <w:rPr>
                <w:sz w:val="24"/>
              </w:rPr>
              <w:t>1</w:t>
            </w:r>
            <w:r>
              <w:rPr>
                <w:sz w:val="24"/>
                <w:lang w:bidi="en-US"/>
              </w:rPr>
              <w:t>。</w:t>
            </w:r>
          </w:p>
          <w:p>
            <w:pPr>
              <w:spacing w:line="460" w:lineRule="exact"/>
              <w:jc w:val="center"/>
              <w:rPr>
                <w:sz w:val="18"/>
                <w:szCs w:val="18"/>
              </w:rPr>
            </w:pPr>
            <w:r>
              <w:rPr>
                <w:sz w:val="18"/>
                <w:szCs w:val="18"/>
              </w:rPr>
              <w:t>表1.2.6</w:t>
            </w:r>
            <w:r>
              <w:rPr>
                <w:rFonts w:hint="eastAsia"/>
                <w:sz w:val="18"/>
                <w:szCs w:val="18"/>
              </w:rPr>
              <w:t>-</w:t>
            </w:r>
            <w:r>
              <w:rPr>
                <w:sz w:val="18"/>
                <w:szCs w:val="18"/>
              </w:rPr>
              <w:t>1 项目与《报废机动车拆解环境保护技术规范》符合性分析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41"/>
              <w:gridCol w:w="293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类别</w:t>
                  </w: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具体要求</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项目情况</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4 总体要求</w:t>
                  </w: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4.1 报废机动车的拆解应遵循减量化、资源化和无害化的原则。报废机动车回收拆解企业应优先采用资源回收率高、污染物排放量少的工艺和设备，防范二次污染，实现减污降碳协同增效。</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拟建项目优先采用资源回收率高、污染物排放量少的工艺和设备，防范二次污染。</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4.2 报废机动车拆解建设项目选址不应位于国务院和国务院有关主管部门及省、自治区、直辖市人民政府划定的生态保护红线区域、永久基本农田和其他需要特别保护的区域内。</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kern w:val="21"/>
                      <w:sz w:val="18"/>
                      <w:szCs w:val="18"/>
                    </w:rPr>
                    <w:t>拟建项目位于重庆市大足区邮亭镇工业园区A7-01/01地块，不在</w:t>
                  </w:r>
                  <w:r>
                    <w:rPr>
                      <w:rFonts w:hint="eastAsia"/>
                      <w:sz w:val="18"/>
                      <w:szCs w:val="18"/>
                    </w:rPr>
                    <w:t>生态保护红线区域、永久基本农田和其他需要特别保护的区域内。</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4.3 报废机动车回收拆解企业应具备集中的运营场地，并实行封闭式规范管理。</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拟建项目具备集中的运营场地，并实行封闭式规范管理。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4.4 报废机动车回收拆解企业应根据HJ 1034、HJ 1200 等规定取得排污许可证，并按照排污许可证管理要求进行规范排污。产生的废气、废水、噪声、固体废物等排放应满足国家和地方的污染物排放标准与排污许可要求，产生的固体废物应按照国家有关环境保护规定和标准要求妥善贮存、利用和处置。</w:t>
                  </w:r>
                </w:p>
              </w:tc>
              <w:tc>
                <w:tcPr>
                  <w:tcW w:w="2118" w:type="pct"/>
                  <w:tcBorders>
                    <w:top w:val="single" w:color="auto" w:sz="4" w:space="0"/>
                    <w:left w:val="nil"/>
                    <w:bottom w:val="single" w:color="auto" w:sz="4" w:space="0"/>
                    <w:right w:val="single" w:color="auto" w:sz="4" w:space="0"/>
                  </w:tcBorders>
                  <w:vAlign w:val="center"/>
                </w:tcPr>
                <w:p>
                  <w:pPr>
                    <w:jc w:val="center"/>
                    <w:rPr>
                      <w:rFonts w:hAnsi="宋体"/>
                      <w:sz w:val="18"/>
                      <w:szCs w:val="18"/>
                    </w:rPr>
                  </w:pPr>
                  <w:r>
                    <w:rPr>
                      <w:rFonts w:hint="eastAsia" w:hAnsi="宋体"/>
                      <w:sz w:val="18"/>
                      <w:szCs w:val="18"/>
                    </w:rPr>
                    <w:t>①油液挥发废气经集气罩收集（收集效率80%）后经二级活性炭吸附处理（处理效率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w:t>
                  </w:r>
                </w:p>
                <w:p>
                  <w:pPr>
                    <w:jc w:val="center"/>
                    <w:rPr>
                      <w:rFonts w:hAnsi="宋体"/>
                      <w:sz w:val="18"/>
                      <w:szCs w:val="18"/>
                    </w:rPr>
                  </w:pPr>
                  <w:r>
                    <w:rPr>
                      <w:rFonts w:hint="eastAsia" w:hAnsi="宋体"/>
                      <w:sz w:val="18"/>
                      <w:szCs w:val="18"/>
                    </w:rPr>
                    <w:t>②切割废气经集气罩收集（收集效率80%）后经布袋除尘器处理（颗粒物处理效率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5</w:t>
                  </w:r>
                  <w:r>
                    <w:rPr>
                      <w:rFonts w:hint="eastAsia" w:hAnsi="宋体"/>
                      <w:sz w:val="18"/>
                      <w:szCs w:val="18"/>
                    </w:rPr>
                    <w:t>m的DA00</w:t>
                  </w:r>
                  <w:r>
                    <w:rPr>
                      <w:rFonts w:hAnsi="宋体"/>
                      <w:sz w:val="18"/>
                      <w:szCs w:val="18"/>
                    </w:rPr>
                    <w:t>2</w:t>
                  </w:r>
                  <w:r>
                    <w:rPr>
                      <w:rFonts w:hint="eastAsia" w:hAnsi="宋体"/>
                      <w:sz w:val="18"/>
                      <w:szCs w:val="18"/>
                    </w:rPr>
                    <w:t>排气筒排放。</w:t>
                  </w:r>
                </w:p>
                <w:p>
                  <w:pPr>
                    <w:jc w:val="center"/>
                    <w:rPr>
                      <w:rFonts w:hAnsi="宋体"/>
                      <w:sz w:val="18"/>
                      <w:szCs w:val="18"/>
                    </w:rPr>
                  </w:pPr>
                  <w:r>
                    <w:rPr>
                      <w:rFonts w:hint="eastAsia" w:hAnsi="宋体"/>
                      <w:sz w:val="18"/>
                      <w:szCs w:val="18"/>
                    </w:rPr>
                    <w:t>③破碎废气经集气罩收集（收集效率80%）后经布袋除尘器处理（颗粒物处理效率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4</w:t>
                  </w:r>
                  <w:r>
                    <w:rPr>
                      <w:rFonts w:hint="eastAsia" w:hAnsi="宋体"/>
                      <w:sz w:val="18"/>
                      <w:szCs w:val="18"/>
                    </w:rPr>
                    <w:t>m的DA00</w:t>
                  </w:r>
                  <w:r>
                    <w:rPr>
                      <w:rFonts w:hAnsi="宋体"/>
                      <w:sz w:val="18"/>
                      <w:szCs w:val="18"/>
                    </w:rPr>
                    <w:t>3</w:t>
                  </w:r>
                  <w:r>
                    <w:rPr>
                      <w:rFonts w:hint="eastAsia" w:hAnsi="宋体"/>
                      <w:sz w:val="18"/>
                      <w:szCs w:val="18"/>
                    </w:rPr>
                    <w:t>排气筒排放。</w:t>
                  </w:r>
                </w:p>
                <w:p>
                  <w:pPr>
                    <w:adjustRightInd w:val="0"/>
                    <w:snapToGrid w:val="0"/>
                    <w:spacing w:line="240" w:lineRule="exact"/>
                    <w:jc w:val="left"/>
                    <w:rPr>
                      <w:rFonts w:hAnsi="宋体"/>
                      <w:sz w:val="18"/>
                      <w:szCs w:val="18"/>
                    </w:rPr>
                  </w:pPr>
                  <w:r>
                    <w:rPr>
                      <w:rFonts w:hint="eastAsia" w:hAnsi="宋体"/>
                      <w:sz w:val="18"/>
                      <w:szCs w:val="18"/>
                    </w:rPr>
                    <w:t>④污水处理站密闭，产生的臭气经收集后引至业务用房屋顶。</w:t>
                  </w:r>
                </w:p>
                <w:p>
                  <w:pPr>
                    <w:jc w:val="center"/>
                    <w:rPr>
                      <w:sz w:val="18"/>
                      <w:szCs w:val="18"/>
                    </w:rPr>
                  </w:pPr>
                  <w:r>
                    <w:rPr>
                      <w:rFonts w:hint="eastAsia"/>
                      <w:sz w:val="18"/>
                      <w:szCs w:val="18"/>
                    </w:rPr>
                    <w:t>生产过程均配套设置了废气收集和处理措施，少量未被收集的废气在厂区内无组织排放。</w:t>
                  </w:r>
                </w:p>
                <w:p>
                  <w:pPr>
                    <w:jc w:val="center"/>
                    <w:rPr>
                      <w:kern w:val="0"/>
                      <w:sz w:val="18"/>
                      <w:szCs w:val="18"/>
                    </w:rPr>
                  </w:pPr>
                  <w:r>
                    <w:rPr>
                      <w:rFonts w:hint="eastAsia"/>
                      <w:sz w:val="18"/>
                      <w:szCs w:val="18"/>
                    </w:rPr>
                    <w:t>⑤</w:t>
                  </w:r>
                  <w:r>
                    <w:rPr>
                      <w:rFonts w:hint="eastAsia"/>
                      <w:kern w:val="0"/>
                      <w:sz w:val="18"/>
                      <w:szCs w:val="18"/>
                    </w:rPr>
                    <w:t>厂区内所有废水一并</w:t>
                  </w:r>
                  <w:r>
                    <w:rPr>
                      <w:kern w:val="0"/>
                      <w:sz w:val="18"/>
                      <w:szCs w:val="18"/>
                    </w:rPr>
                    <w:t>进入厂区内新建污水处理站处理达</w:t>
                  </w:r>
                  <w:r>
                    <w:rPr>
                      <w:rFonts w:hint="eastAsia"/>
                      <w:kern w:val="0"/>
                      <w:sz w:val="18"/>
                      <w:szCs w:val="18"/>
                    </w:rPr>
                    <w:t>《污水综合排放标准》（GB8978-1996）三级排放标准（其中氨氮、总氮、总磷参照执行《污水排入城镇下水道水质标准》（GB/T31962-2015））后进入双桥园区污水处理厂近期进一步处理达《城镇污水处理厂污染物排放标准》（GB18918-2002）一级B标后排入苦水河，远期待园区污水处理厂提标改造后进一步处理达《城镇污水处理厂污染物排放标准》（GB18918-2002）一级A标后排入苦水河。</w:t>
                  </w:r>
                </w:p>
                <w:p>
                  <w:pPr>
                    <w:pStyle w:val="57"/>
                    <w:spacing w:line="240" w:lineRule="exact"/>
                    <w:ind w:firstLine="360" w:firstLineChars="200"/>
                    <w:jc w:val="both"/>
                    <w:rPr>
                      <w:sz w:val="18"/>
                      <w:szCs w:val="18"/>
                    </w:rPr>
                  </w:pPr>
                  <w:r>
                    <w:rPr>
                      <w:rFonts w:hint="eastAsia"/>
                      <w:sz w:val="18"/>
                      <w:szCs w:val="18"/>
                    </w:rPr>
                    <w:t>⑥</w:t>
                  </w:r>
                  <w:r>
                    <w:rPr>
                      <w:rFonts w:hint="eastAsia"/>
                      <w:bCs/>
                      <w:sz w:val="18"/>
                      <w:szCs w:val="18"/>
                    </w:rPr>
                    <w:t>一般工业固废：废液化气罐、引爆后的安全气囊、废制冷剂、布袋除尘器截留粉尘、其他废物（破碎的玻璃、轮胎、轮毂、塑料等）</w:t>
                  </w:r>
                  <w:r>
                    <w:rPr>
                      <w:rFonts w:hint="eastAsia"/>
                      <w:sz w:val="18"/>
                      <w:szCs w:val="18"/>
                    </w:rPr>
                    <w:t>集中收集后交由具有相应资质的单位利用和处置。废旧动力蓄电池（不包含铅蓄电池）收集后存放于动力蓄电池贮存区。</w:t>
                  </w:r>
                </w:p>
                <w:p>
                  <w:pPr>
                    <w:pStyle w:val="57"/>
                    <w:spacing w:line="240" w:lineRule="exact"/>
                    <w:ind w:firstLine="360" w:firstLineChars="200"/>
                    <w:jc w:val="both"/>
                    <w:rPr>
                      <w:sz w:val="18"/>
                      <w:szCs w:val="18"/>
                    </w:rPr>
                  </w:pPr>
                  <w:r>
                    <w:rPr>
                      <w:rFonts w:hint="eastAsia"/>
                      <w:bCs/>
                      <w:sz w:val="18"/>
                      <w:szCs w:val="18"/>
                    </w:rPr>
                    <w:t>危险废物：废铅蓄电池、含多氯联苯的废电容器、废尾气催化剂、废矿物油与含矿物油废物、废电路板及其元件、废机油滤清器、废油箱、石棉废物、含汞废物、污水处理站污泥、废含油抹布及劳保用品、废活性炭、沾染危化品的废包装材料交有资质的单位处理</w:t>
                  </w:r>
                  <w:r>
                    <w:rPr>
                      <w:rFonts w:hint="eastAsia"/>
                      <w:sz w:val="18"/>
                      <w:szCs w:val="18"/>
                    </w:rPr>
                    <w:t>。</w:t>
                  </w:r>
                </w:p>
                <w:p>
                  <w:pPr>
                    <w:jc w:val="center"/>
                    <w:rPr>
                      <w:sz w:val="18"/>
                      <w:szCs w:val="18"/>
                    </w:rPr>
                  </w:pPr>
                  <w:r>
                    <w:rPr>
                      <w:rFonts w:hint="eastAsia"/>
                      <w:sz w:val="18"/>
                      <w:szCs w:val="18"/>
                    </w:rPr>
                    <w:t>生活垃圾：生活垃圾收集后由当地环卫部门统一清运处理。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4.5 报废机动车回收拆解企业应依照《报废机动车回收管理办法实施细则》等相关要求向机动车生产企业获取报废机动车拆解指导手册等相关技术信息，依规开展报废机动车拆解工作。</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拟建项目依照《报废机动车回收管理办法实施细则》等相关要求向机动车生产企业获取报废机动车拆解指导手册等相关技术信息，依规开展报废机动车拆解工作。</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4.6 报废机动车回收拆解企业应依据GB 22128 等相关规定开展拆解作业。不应露天拆解报废机动车，拆解产物不应露天堆放，不应对大气、土壤、地表水和地下水造成污染。</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拟建项目不露天拆解报废机动车，拆解产物不应露天堆放。</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4.7 报废机动车回收拆解企业应具备与生产规模相匹配的环境保护设施，环境保护设施的设计、施工与运行应遵守“三同时”环境管理制度。</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拟建项目具备与生产规模相匹配的环境保护设施，环境保护设施的设计、施工与运行应遵守“三同时”环境管理制度。</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4.8 报废机动车回收拆解及贮存过程除满足环境保护相关要求外，还应符合国家安全生产、职业健康、交通运输、消防等法规标准的相关要求。</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拟建项目符合国家安全生产、职业健康、交通运输、消防等法规标准的相关要求。</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restart"/>
                  <w:tcBorders>
                    <w:top w:val="single" w:color="auto" w:sz="4" w:space="0"/>
                    <w:left w:val="single" w:color="auto" w:sz="4" w:space="0"/>
                    <w:right w:val="single" w:color="auto" w:sz="4" w:space="0"/>
                  </w:tcBorders>
                  <w:vAlign w:val="center"/>
                </w:tcPr>
                <w:p>
                  <w:pPr>
                    <w:jc w:val="center"/>
                    <w:rPr>
                      <w:sz w:val="18"/>
                      <w:szCs w:val="18"/>
                    </w:rPr>
                  </w:pPr>
                  <w:r>
                    <w:rPr>
                      <w:rFonts w:hint="eastAsia"/>
                      <w:sz w:val="18"/>
                      <w:szCs w:val="18"/>
                    </w:rPr>
                    <w:t>5 基础设施污染控制要求</w:t>
                  </w: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5.1 报废机动车回收拆解企业应划分不同的功能区，包括办公区和作业区。作业区应包括：a）整车贮存区（分为传统燃料机动车区和电动汽车区）；b）动力蓄电池拆卸区；c）铅蓄电池拆卸区；d）电池分类贮存区；e）拆解区；f）产品（半成品；不包括电池）贮存区；g）破碎分选区；h）一般工业固体废物贮存区；i）危险废物贮存区。</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拟建项目按照相关要求设置不同的功能区。</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5.2 报废机动车回收拆解企业厂区内功能区的设计和建设应满足以下要求：a） 作业区面积大小和功能区划分应满足拆解作业的需要；</w:t>
                  </w:r>
                </w:p>
                <w:p>
                  <w:pPr>
                    <w:jc w:val="center"/>
                    <w:rPr>
                      <w:sz w:val="18"/>
                      <w:szCs w:val="18"/>
                    </w:rPr>
                  </w:pPr>
                  <w:r>
                    <w:rPr>
                      <w:rFonts w:hint="eastAsia"/>
                      <w:sz w:val="18"/>
                      <w:szCs w:val="18"/>
                    </w:rPr>
                    <w:t>b） 不同的功能区应具有明显的标识；c） 作业区应具有防渗地面和油水收集设施，地面应符合GB 50037 的防油渗地面要求；d） 作业区地面混凝土强度等级不低于C20，厚度不低于150 mm，其中物流通道路面和拆解作业区域强度不低于C30，厚度不低于200 mm。大型拆解设备承重区域的硬化标准参照设备工艺</w:t>
                  </w:r>
                </w:p>
                <w:p>
                  <w:pPr>
                    <w:jc w:val="center"/>
                    <w:rPr>
                      <w:sz w:val="18"/>
                      <w:szCs w:val="18"/>
                    </w:rPr>
                  </w:pPr>
                  <w:r>
                    <w:rPr>
                      <w:rFonts w:hint="eastAsia"/>
                      <w:sz w:val="18"/>
                      <w:szCs w:val="18"/>
                    </w:rPr>
                    <w:t>要求执行；e） 拆解区应为封闭或半封闭建筑物；f） 破碎分选区应设在封闭区域内，控制工业废气、粉尘和噪声污染；g）危险废物贮存区应设置液体导流和收集装置，地面应无液体积聚，如有冲洗废水应纳入废水收集处理设施处理；h）不同种类的危险废物应单独收集、分类存放，中间有明显间隔；贮存场所应设置警示标识，同时还应满足GB 18597 中其他相关要求；i） 铅蓄电池的拆卸、贮存区的地面应做防酸、防腐、防渗及硬化处理，同时还应满足HJ 519 中其他相关要求；j） 动力蓄电池拆卸、贮存区应满足HJ 1186 中的相关要求，地面应采用环氧地坪等硬化措施，地面应做防酸、防腐、防渗、硬化及绝缘处理；k） 各贮存区应在显著位置设置标识，标明贮存物的类别、名称、规格、注意事项等，根据其特性合理划分贮存区域，采取必要的隔离措施。</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拟建项目按照上述要求进行功能区的设计和建设。</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5.3 报废机动车回收拆解企业内的道路应采取硬化措施，如出现破损应及时维修。</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拟建项目道路采取硬化措施，如出现破损应及时维修。</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5.4 报废机动车回收拆解企业应做到雨污分流，在作业区内产生的初期雨水、清洗水和其他非生活废水应设置专门的收集设施和污水处理设施。厂区内应按照GB/T 50483 的要求设置初期雨水收集池。</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拟建项目雨污分流，在作业区内产生的初期雨水经5</w:t>
                  </w:r>
                  <w:r>
                    <w:rPr>
                      <w:sz w:val="18"/>
                      <w:szCs w:val="18"/>
                    </w:rPr>
                    <w:t>50</w:t>
                  </w:r>
                  <w:r>
                    <w:rPr>
                      <w:rFonts w:hint="eastAsia"/>
                      <w:sz w:val="18"/>
                      <w:szCs w:val="18"/>
                    </w:rPr>
                    <w:t>m</w:t>
                  </w:r>
                  <w:r>
                    <w:rPr>
                      <w:sz w:val="18"/>
                      <w:szCs w:val="18"/>
                      <w:vertAlign w:val="superscript"/>
                    </w:rPr>
                    <w:t>2</w:t>
                  </w:r>
                  <w:r>
                    <w:rPr>
                      <w:rFonts w:hint="eastAsia"/>
                      <w:sz w:val="18"/>
                      <w:szCs w:val="18"/>
                    </w:rPr>
                    <w:t>事故池收集。清洗水和其他非生活废水设置专门的收集设施和污水处理设施进行处理。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restart"/>
                  <w:tcBorders>
                    <w:top w:val="single" w:color="auto" w:sz="4" w:space="0"/>
                    <w:left w:val="single" w:color="auto" w:sz="4" w:space="0"/>
                    <w:right w:val="single" w:color="auto" w:sz="4" w:space="0"/>
                  </w:tcBorders>
                  <w:vAlign w:val="center"/>
                </w:tcPr>
                <w:p>
                  <w:pPr>
                    <w:jc w:val="center"/>
                    <w:rPr>
                      <w:sz w:val="18"/>
                      <w:szCs w:val="18"/>
                    </w:rPr>
                  </w:pPr>
                  <w:r>
                    <w:rPr>
                      <w:sz w:val="18"/>
                      <w:szCs w:val="18"/>
                    </w:rPr>
                    <w:t>6 拆解过程污染控制要求</w:t>
                  </w: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6.1 </w:t>
                  </w:r>
                  <w:r>
                    <w:rPr>
                      <w:kern w:val="0"/>
                      <w:sz w:val="18"/>
                      <w:szCs w:val="18"/>
                    </w:rPr>
                    <w:t>传统燃料报废机动车在开展拆解作业前，应抽排下列气体及液体：燃油、发动机油、变速器</w:t>
                  </w:r>
                  <w:r>
                    <w:rPr>
                      <w:rFonts w:eastAsia="TimesNewRomanPSMT"/>
                      <w:kern w:val="0"/>
                      <w:sz w:val="18"/>
                      <w:szCs w:val="18"/>
                    </w:rPr>
                    <w:t>/</w:t>
                  </w:r>
                  <w:r>
                    <w:rPr>
                      <w:kern w:val="0"/>
                      <w:sz w:val="18"/>
                      <w:szCs w:val="18"/>
                    </w:rPr>
                    <w:t>齿轮箱（包括后差速器和</w:t>
                  </w:r>
                  <w:r>
                    <w:rPr>
                      <w:rFonts w:eastAsia="TimesNewRomanPSMT"/>
                      <w:kern w:val="0"/>
                      <w:sz w:val="18"/>
                      <w:szCs w:val="18"/>
                    </w:rPr>
                    <w:t>/</w:t>
                  </w:r>
                  <w:r>
                    <w:rPr>
                      <w:kern w:val="0"/>
                      <w:sz w:val="18"/>
                      <w:szCs w:val="18"/>
                    </w:rPr>
                    <w:t>或分动器）油、动力转向油、制动液等石油基油或者液态合成润滑剂、冷却液、挡风玻璃清洗液、制冷剂等，并使用专用容器回收贮存。操作场所应有防漏、截流和清污措施，抽排挥发性油液时应通过油气回收装置吸收拆解区域内的挥发性气体。防止上述气体及液体遗撒或泄漏。</w:t>
                  </w:r>
                  <w:r>
                    <w:rPr>
                      <w:rFonts w:hint="eastAsia"/>
                      <w:kern w:val="0"/>
                      <w:sz w:val="18"/>
                      <w:szCs w:val="18"/>
                    </w:rPr>
                    <w:t>危</w:t>
                  </w:r>
                  <w:r>
                    <w:rPr>
                      <w:kern w:val="0"/>
                      <w:sz w:val="18"/>
                      <w:szCs w:val="18"/>
                    </w:rPr>
                    <w:t>险废物的废弃包装物、容器等依据《国家危险废物名录》属于危险废物的，应按照危险废物贮存管理相关要求进行分区、分类贮存。废弃含油抹布和劳保用品宜集中收集。</w:t>
                  </w:r>
                </w:p>
              </w:tc>
              <w:tc>
                <w:tcPr>
                  <w:tcW w:w="2118"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hint="eastAsia"/>
                      <w:sz w:val="18"/>
                      <w:szCs w:val="18"/>
                    </w:rPr>
                    <w:t>拟建项目按照上述要求</w:t>
                  </w:r>
                  <w:r>
                    <w:rPr>
                      <w:kern w:val="0"/>
                      <w:sz w:val="18"/>
                      <w:szCs w:val="18"/>
                    </w:rPr>
                    <w:t>抽排气体及液体</w:t>
                  </w:r>
                  <w:r>
                    <w:rPr>
                      <w:rFonts w:hint="eastAsia"/>
                      <w:kern w:val="0"/>
                      <w:sz w:val="18"/>
                      <w:szCs w:val="18"/>
                    </w:rPr>
                    <w:t>。沾染危化品的包装材料</w:t>
                  </w:r>
                  <w:r>
                    <w:rPr>
                      <w:kern w:val="0"/>
                      <w:sz w:val="18"/>
                      <w:szCs w:val="18"/>
                    </w:rPr>
                    <w:t>按照危险废物贮存管理相关要求进行分区、分类贮存。废弃含油抹布和劳保用品集中收集。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6.2 </w:t>
                  </w:r>
                  <w:r>
                    <w:rPr>
                      <w:kern w:val="0"/>
                      <w:sz w:val="18"/>
                      <w:szCs w:val="18"/>
                    </w:rPr>
                    <w:t>报废电动汽车进场检测时，受损变形以及漏液、漏电、电源供应工作不正常或其他的事故车辆应进行明显标识，及时隔离并优先处理，避免造成环境风险。</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拟建项目对</w:t>
                  </w:r>
                  <w:r>
                    <w:rPr>
                      <w:kern w:val="0"/>
                      <w:sz w:val="18"/>
                      <w:szCs w:val="18"/>
                    </w:rPr>
                    <w:t>事故车辆应进行明显标识，及时隔离并优先处理，避免造成环境风险。</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6.3 </w:t>
                  </w:r>
                  <w:r>
                    <w:rPr>
                      <w:kern w:val="0"/>
                      <w:sz w:val="18"/>
                      <w:szCs w:val="18"/>
                    </w:rPr>
                    <w:t>报废电动汽车在开展拆解作业前，应采用防静电设备彻底抽排制冷剂，并用专用容器回收储存，避免电解质和有机溶剂泄漏。拆卸下来的动力蓄电池存在漏液、冒烟、漏电、外壳破损等情形的，应及时处理并采用专用容器单独存放，避免动力蓄电池自燃引起的环境风险。</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拟建项目按照上述要求拆解。</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6.4 </w:t>
                  </w:r>
                  <w:r>
                    <w:rPr>
                      <w:kern w:val="0"/>
                      <w:sz w:val="18"/>
                      <w:szCs w:val="18"/>
                    </w:rPr>
                    <w:t>动力蓄电池不应与铅蓄电池混合贮存。</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拟建项目建设动力蓄电池于动力蓄电池贮存区，铅蓄电池存放于危废暂存间，不混合贮存。</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6.5 </w:t>
                  </w:r>
                  <w:r>
                    <w:rPr>
                      <w:kern w:val="0"/>
                      <w:sz w:val="18"/>
                      <w:szCs w:val="18"/>
                    </w:rPr>
                    <w:t>报废机动车回收拆解企业不应在未完成各项拆解作业前对报废机动车进行破碎处理或者直接进行熔炼处理。</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拟建项目报废机动车</w:t>
                  </w:r>
                  <w:r>
                    <w:rPr>
                      <w:kern w:val="0"/>
                      <w:sz w:val="18"/>
                      <w:szCs w:val="18"/>
                    </w:rPr>
                    <w:t>在完成各项拆解作业</w:t>
                  </w:r>
                  <w:r>
                    <w:rPr>
                      <w:rFonts w:hint="eastAsia"/>
                      <w:kern w:val="0"/>
                      <w:sz w:val="18"/>
                      <w:szCs w:val="18"/>
                    </w:rPr>
                    <w:t>后</w:t>
                  </w:r>
                  <w:r>
                    <w:rPr>
                      <w:kern w:val="0"/>
                      <w:sz w:val="18"/>
                      <w:szCs w:val="18"/>
                    </w:rPr>
                    <w:t>对报废机动车进行破碎处理</w:t>
                  </w:r>
                  <w:r>
                    <w:rPr>
                      <w:rFonts w:hint="eastAsia"/>
                      <w:kern w:val="0"/>
                      <w:sz w:val="18"/>
                      <w:szCs w:val="18"/>
                    </w:rPr>
                    <w:t>。</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6.6 </w:t>
                  </w:r>
                  <w:r>
                    <w:rPr>
                      <w:kern w:val="0"/>
                      <w:sz w:val="18"/>
                      <w:szCs w:val="18"/>
                    </w:rPr>
                    <w:t>报废机动车回收拆解企业不应焚烧报废机动车拆解过程中产生的废电线电缆、废轮胎和其他废物。</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拟建项目不涉及焚烧。</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6.7 </w:t>
                  </w:r>
                  <w:r>
                    <w:rPr>
                      <w:kern w:val="0"/>
                      <w:sz w:val="18"/>
                      <w:szCs w:val="18"/>
                    </w:rPr>
                    <w:t>报废机动车拆解产生的废旧玻璃、报废机动车破碎残余物、引爆后的安全气囊等应避免危险废物的沾染，未沾染危险废物的应按一般工业固体废物进行管理。</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w:t>
                  </w:r>
                  <w:r>
                    <w:rPr>
                      <w:kern w:val="0"/>
                      <w:sz w:val="18"/>
                      <w:szCs w:val="18"/>
                    </w:rPr>
                    <w:t>拆解产生的废旧玻璃、报废机动车破碎残余物、引爆后的安全气囊等按一般工业固体废物进行管理。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kern w:val="0"/>
                      <w:sz w:val="18"/>
                      <w:szCs w:val="18"/>
                    </w:rPr>
                  </w:pPr>
                  <w:r>
                    <w:rPr>
                      <w:rFonts w:eastAsia="黑体"/>
                      <w:kern w:val="0"/>
                      <w:sz w:val="18"/>
                      <w:szCs w:val="18"/>
                    </w:rPr>
                    <w:t xml:space="preserve">6.8 </w:t>
                  </w:r>
                  <w:r>
                    <w:rPr>
                      <w:kern w:val="0"/>
                      <w:sz w:val="18"/>
                      <w:szCs w:val="18"/>
                    </w:rPr>
                    <w:t>报废机动车拆解产生的废铅蓄电池、废矿物油、废电路板、废尾气净化催化剂以及含有或沾染危</w:t>
                  </w:r>
                  <w:r>
                    <w:rPr>
                      <w:rFonts w:hint="eastAsia"/>
                      <w:kern w:val="0"/>
                      <w:sz w:val="18"/>
                      <w:szCs w:val="18"/>
                    </w:rPr>
                    <w:t>险废物的废弃包装物、容器等依据《国家危险废物名录》属于危险废物的，应按照危险废物贮存管理相</w:t>
                  </w:r>
                </w:p>
                <w:p>
                  <w:pPr>
                    <w:autoSpaceDE w:val="0"/>
                    <w:autoSpaceDN w:val="0"/>
                    <w:adjustRightInd w:val="0"/>
                    <w:jc w:val="left"/>
                    <w:rPr>
                      <w:sz w:val="18"/>
                      <w:szCs w:val="18"/>
                    </w:rPr>
                  </w:pPr>
                  <w:r>
                    <w:rPr>
                      <w:rFonts w:hint="eastAsia"/>
                      <w:kern w:val="0"/>
                      <w:sz w:val="18"/>
                      <w:szCs w:val="18"/>
                    </w:rPr>
                    <w:t>关要求进行分区、分类贮存。废弃含油抹布和劳保用品宜集中收集。</w:t>
                  </w:r>
                </w:p>
              </w:tc>
              <w:tc>
                <w:tcPr>
                  <w:tcW w:w="2118"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hint="eastAsia"/>
                      <w:sz w:val="18"/>
                      <w:szCs w:val="18"/>
                    </w:rPr>
                    <w:t>拟建项目</w:t>
                  </w:r>
                  <w:r>
                    <w:rPr>
                      <w:kern w:val="0"/>
                      <w:sz w:val="18"/>
                      <w:szCs w:val="18"/>
                    </w:rPr>
                    <w:t>拆解产生的废铅蓄电池、废矿物油、废电路板、废尾气净化催化剂以及含有或沾染危</w:t>
                  </w:r>
                  <w:r>
                    <w:rPr>
                      <w:rFonts w:hint="eastAsia"/>
                      <w:kern w:val="0"/>
                      <w:sz w:val="18"/>
                      <w:szCs w:val="18"/>
                    </w:rPr>
                    <w:t>险废物的废弃包装物、容器等按照危险废物贮存管理相关要求进行分区、分类贮存。废弃含油抹布和劳保用品宜集中收集。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6.9 </w:t>
                  </w:r>
                  <w:r>
                    <w:rPr>
                      <w:kern w:val="0"/>
                      <w:sz w:val="18"/>
                      <w:szCs w:val="18"/>
                    </w:rPr>
                    <w:t>报废机动车回收拆解企业不应倾倒铅蓄电池内的电解液、铅块和铅膏等废物。对于破损的铅蓄电池，应单独贮存，并采取防止电解液泄漏的措施。</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拟建项目不涉及</w:t>
                  </w:r>
                  <w:r>
                    <w:rPr>
                      <w:kern w:val="0"/>
                      <w:sz w:val="18"/>
                      <w:szCs w:val="18"/>
                    </w:rPr>
                    <w:t>倾倒铅蓄电池内的电解液、铅块和铅膏等废物</w:t>
                  </w:r>
                  <w:r>
                    <w:rPr>
                      <w:rFonts w:hint="eastAsia"/>
                      <w:kern w:val="0"/>
                      <w:sz w:val="18"/>
                      <w:szCs w:val="18"/>
                    </w:rPr>
                    <w:t>。废铅蓄电池存放于危废暂存间。</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6.10 </w:t>
                  </w:r>
                  <w:r>
                    <w:rPr>
                      <w:kern w:val="0"/>
                      <w:sz w:val="18"/>
                      <w:szCs w:val="18"/>
                    </w:rPr>
                    <w:t>报废机动车拆解产生的产物和固体废物应合理分类，不能自行利用处置的，分别委托具有相关资质、相应处理能力或经营范围的单位利用和处置。</w:t>
                  </w:r>
                </w:p>
              </w:tc>
              <w:tc>
                <w:tcPr>
                  <w:tcW w:w="2118" w:type="pct"/>
                  <w:tcBorders>
                    <w:top w:val="single" w:color="auto" w:sz="4" w:space="0"/>
                    <w:left w:val="nil"/>
                    <w:bottom w:val="single" w:color="auto" w:sz="4" w:space="0"/>
                    <w:right w:val="single" w:color="auto" w:sz="4" w:space="0"/>
                  </w:tcBorders>
                  <w:vAlign w:val="center"/>
                </w:tcPr>
                <w:p>
                  <w:pPr>
                    <w:pStyle w:val="57"/>
                    <w:spacing w:line="240" w:lineRule="exact"/>
                    <w:ind w:firstLine="360" w:firstLineChars="200"/>
                    <w:jc w:val="both"/>
                    <w:rPr>
                      <w:sz w:val="18"/>
                      <w:szCs w:val="18"/>
                    </w:rPr>
                  </w:pPr>
                  <w:r>
                    <w:rPr>
                      <w:rFonts w:hint="eastAsia"/>
                      <w:bCs/>
                      <w:sz w:val="18"/>
                      <w:szCs w:val="18"/>
                    </w:rPr>
                    <w:t>一般工业固废：废液化气罐、引爆后的安全气囊、废制冷剂、布袋除尘器截留粉尘、其他废物（破碎的玻璃、轮胎、轮毂、塑料等）</w:t>
                  </w:r>
                  <w:r>
                    <w:rPr>
                      <w:rFonts w:hint="eastAsia"/>
                      <w:sz w:val="18"/>
                      <w:szCs w:val="18"/>
                    </w:rPr>
                    <w:t>集中收集后交由具有相应资质的单位利用和处置。废旧动力蓄电池（不包含铅蓄电池）收集后存放于动力蓄电池贮存区。</w:t>
                  </w:r>
                </w:p>
                <w:p>
                  <w:pPr>
                    <w:pStyle w:val="57"/>
                    <w:spacing w:line="240" w:lineRule="exact"/>
                    <w:ind w:firstLine="360" w:firstLineChars="200"/>
                    <w:jc w:val="both"/>
                    <w:rPr>
                      <w:sz w:val="18"/>
                      <w:szCs w:val="18"/>
                    </w:rPr>
                  </w:pPr>
                  <w:r>
                    <w:rPr>
                      <w:rFonts w:hint="eastAsia"/>
                      <w:bCs/>
                      <w:sz w:val="18"/>
                      <w:szCs w:val="18"/>
                    </w:rPr>
                    <w:t>危险废物：废铅蓄电池、含多氯联苯的废电容器、废尾气催化剂、废矿物油与含矿物油废物、废电路板及其元件、废机油滤清器、废油箱、石棉废物、含汞废物、污水处理站污泥、废含油抹布及劳保用品、废活性炭、沾染危化品的废包装材料交有资质的单位处理</w:t>
                  </w:r>
                  <w:r>
                    <w:rPr>
                      <w:rFonts w:hint="eastAsia"/>
                      <w:sz w:val="18"/>
                      <w:szCs w:val="18"/>
                    </w:rPr>
                    <w:t>。</w:t>
                  </w:r>
                </w:p>
                <w:p>
                  <w:pPr>
                    <w:jc w:val="center"/>
                    <w:rPr>
                      <w:sz w:val="18"/>
                      <w:szCs w:val="18"/>
                    </w:rPr>
                  </w:pPr>
                  <w:r>
                    <w:rPr>
                      <w:rFonts w:hint="eastAsia"/>
                      <w:sz w:val="18"/>
                      <w:szCs w:val="18"/>
                    </w:rPr>
                    <w:t>生活垃圾：生活垃圾收集后由当地环卫部门统一清运处理。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autoSpaceDE w:val="0"/>
                    <w:autoSpaceDN w:val="0"/>
                    <w:adjustRightInd w:val="0"/>
                    <w:jc w:val="left"/>
                    <w:rPr>
                      <w:sz w:val="18"/>
                      <w:szCs w:val="18"/>
                    </w:rPr>
                  </w:pPr>
                  <w:r>
                    <w:rPr>
                      <w:rFonts w:eastAsia="黑体"/>
                      <w:kern w:val="0"/>
                      <w:sz w:val="18"/>
                      <w:szCs w:val="18"/>
                    </w:rPr>
                    <w:t xml:space="preserve">6.11 </w:t>
                  </w:r>
                  <w:r>
                    <w:rPr>
                      <w:kern w:val="0"/>
                      <w:sz w:val="18"/>
                      <w:szCs w:val="18"/>
                    </w:rPr>
                    <w:t>报废机动车拆解产物应符合国家及地方处理处置要求，其中主要拆解产物特性及去向见附录</w:t>
                  </w:r>
                  <w:r>
                    <w:rPr>
                      <w:rFonts w:eastAsia="TimesNewRomanPSMT"/>
                      <w:kern w:val="0"/>
                      <w:sz w:val="18"/>
                      <w:szCs w:val="18"/>
                    </w:rPr>
                    <w:t>A</w:t>
                  </w:r>
                  <w:r>
                    <w:rPr>
                      <w:kern w:val="0"/>
                      <w:sz w:val="18"/>
                      <w:szCs w:val="18"/>
                    </w:rPr>
                    <w:t>。如报废机动车回收拆解企业具备与报废机动车拆解处理相关的深加工或二次加工经营业务，应当符合其他相关污染控制要求。</w:t>
                  </w:r>
                </w:p>
              </w:tc>
              <w:tc>
                <w:tcPr>
                  <w:tcW w:w="2118" w:type="pct"/>
                  <w:tcBorders>
                    <w:top w:val="single" w:color="auto" w:sz="4" w:space="0"/>
                    <w:left w:val="nil"/>
                    <w:bottom w:val="single" w:color="auto" w:sz="4" w:space="0"/>
                    <w:right w:val="single" w:color="auto" w:sz="4" w:space="0"/>
                  </w:tcBorders>
                  <w:vAlign w:val="center"/>
                </w:tcPr>
                <w:p>
                  <w:pPr>
                    <w:rPr>
                      <w:sz w:val="18"/>
                      <w:szCs w:val="18"/>
                    </w:rPr>
                  </w:pPr>
                  <w:r>
                    <w:rPr>
                      <w:rFonts w:hint="eastAsia"/>
                      <w:sz w:val="18"/>
                      <w:szCs w:val="18"/>
                    </w:rPr>
                    <w:t>拟建项目不涉及</w:t>
                  </w:r>
                  <w:r>
                    <w:rPr>
                      <w:kern w:val="0"/>
                      <w:sz w:val="18"/>
                      <w:szCs w:val="18"/>
                    </w:rPr>
                    <w:t>报废机动车拆解处理相关的深加工或二次加工经营业务</w:t>
                  </w:r>
                  <w:r>
                    <w:rPr>
                      <w:rFonts w:hint="eastAsia"/>
                      <w:kern w:val="0"/>
                      <w:sz w:val="18"/>
                      <w:szCs w:val="18"/>
                    </w:rPr>
                    <w:t>。</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38" w:type="pct"/>
                  <w:vMerge w:val="continue"/>
                  <w:tcBorders>
                    <w:left w:val="single" w:color="auto" w:sz="4" w:space="0"/>
                    <w:bottom w:val="single" w:color="auto" w:sz="4" w:space="0"/>
                    <w:right w:val="single" w:color="auto" w:sz="4" w:space="0"/>
                  </w:tcBorders>
                  <w:vAlign w:val="center"/>
                </w:tcPr>
                <w:p>
                  <w:pPr>
                    <w:jc w:val="center"/>
                    <w:rPr>
                      <w:sz w:val="18"/>
                      <w:szCs w:val="18"/>
                    </w:rPr>
                  </w:pPr>
                </w:p>
              </w:tc>
              <w:tc>
                <w:tcPr>
                  <w:tcW w:w="1833" w:type="pct"/>
                  <w:tcBorders>
                    <w:top w:val="single" w:color="auto" w:sz="4" w:space="0"/>
                    <w:left w:val="nil"/>
                    <w:bottom w:val="single" w:color="auto" w:sz="4" w:space="0"/>
                    <w:right w:val="single" w:color="auto" w:sz="4" w:space="0"/>
                  </w:tcBorders>
                  <w:vAlign w:val="center"/>
                </w:tcPr>
                <w:p>
                  <w:pPr>
                    <w:jc w:val="center"/>
                    <w:rPr>
                      <w:sz w:val="18"/>
                      <w:szCs w:val="18"/>
                    </w:rPr>
                  </w:pPr>
                  <w:r>
                    <w:rPr>
                      <w:rFonts w:eastAsia="黑体"/>
                      <w:kern w:val="0"/>
                      <w:sz w:val="18"/>
                      <w:szCs w:val="18"/>
                    </w:rPr>
                    <w:t xml:space="preserve">6.12 </w:t>
                  </w:r>
                  <w:r>
                    <w:rPr>
                      <w:kern w:val="0"/>
                      <w:sz w:val="18"/>
                      <w:szCs w:val="18"/>
                    </w:rPr>
                    <w:t>报废机动车油箱中的燃料（汽油、柴油、天然气、液化石油气、甲醇等）应分类收集。</w:t>
                  </w:r>
                </w:p>
              </w:tc>
              <w:tc>
                <w:tcPr>
                  <w:tcW w:w="2118"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拟建项目</w:t>
                  </w:r>
                  <w:r>
                    <w:rPr>
                      <w:kern w:val="0"/>
                      <w:sz w:val="18"/>
                      <w:szCs w:val="18"/>
                    </w:rPr>
                    <w:t>报废机动车油箱中的燃料分类收集。</w:t>
                  </w:r>
                </w:p>
              </w:tc>
              <w:tc>
                <w:tcPr>
                  <w:tcW w:w="510" w:type="pct"/>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符合</w:t>
                  </w:r>
                </w:p>
              </w:tc>
            </w:tr>
          </w:tbl>
          <w:p>
            <w:pPr>
              <w:adjustRightInd w:val="0"/>
              <w:spacing w:before="10" w:line="360" w:lineRule="auto"/>
              <w:ind w:firstLine="480" w:firstLineChars="200"/>
              <w:contextualSpacing/>
              <w:rPr>
                <w:sz w:val="24"/>
                <w:lang w:bidi="en-US"/>
              </w:rPr>
            </w:pPr>
            <w:r>
              <w:rPr>
                <w:sz w:val="24"/>
                <w:lang w:bidi="en-US"/>
              </w:rPr>
              <w:t>通过上表分析可知，本项目符合</w:t>
            </w:r>
            <w:r>
              <w:rPr>
                <w:rFonts w:hint="eastAsia"/>
                <w:sz w:val="24"/>
                <w:lang w:bidi="en-US"/>
              </w:rPr>
              <w:t>《报废机动车拆解企业污染控制技术规范》（HJ348-2022）</w:t>
            </w:r>
            <w:r>
              <w:rPr>
                <w:sz w:val="24"/>
                <w:lang w:bidi="en-US"/>
              </w:rPr>
              <w:t>的相关规定及要求。</w:t>
            </w:r>
          </w:p>
          <w:p>
            <w:pPr>
              <w:keepNext/>
              <w:keepLines/>
              <w:spacing w:before="10" w:after="120" w:line="360" w:lineRule="auto"/>
              <w:outlineLvl w:val="2"/>
              <w:rPr>
                <w:b/>
                <w:sz w:val="24"/>
              </w:rPr>
            </w:pPr>
            <w:r>
              <w:rPr>
                <w:b/>
                <w:sz w:val="24"/>
              </w:rPr>
              <w:t>1.2.7</w:t>
            </w:r>
            <w:r>
              <w:rPr>
                <w:rFonts w:ascii="宋体" w:hAnsi="宋体"/>
                <w:b/>
                <w:sz w:val="24"/>
              </w:rPr>
              <w:t>与《报废汽车回收拆解企业技术规范》符合性分析</w:t>
            </w:r>
          </w:p>
          <w:p>
            <w:pPr>
              <w:adjustRightInd w:val="0"/>
              <w:spacing w:before="10" w:line="360" w:lineRule="auto"/>
              <w:ind w:firstLine="480" w:firstLineChars="200"/>
              <w:contextualSpacing/>
              <w:rPr>
                <w:sz w:val="24"/>
              </w:rPr>
            </w:pPr>
            <w:r>
              <w:rPr>
                <w:rFonts w:ascii="宋体" w:hAnsi="宋体"/>
                <w:sz w:val="24"/>
              </w:rPr>
              <w:t>根据《报废汽车回收拆解企业技术规范》（</w:t>
            </w:r>
            <w:r>
              <w:rPr>
                <w:sz w:val="24"/>
              </w:rPr>
              <w:t>GB22128-2019</w:t>
            </w:r>
            <w:r>
              <w:rPr>
                <w:rFonts w:ascii="宋体" w:hAnsi="宋体"/>
                <w:sz w:val="24"/>
              </w:rPr>
              <w:t>）中的相关规定及要求，本评价摘录与环保相关的进行分析，详见表</w:t>
            </w:r>
            <w:r>
              <w:rPr>
                <w:sz w:val="24"/>
              </w:rPr>
              <w:t>1.2.7-1</w:t>
            </w:r>
            <w:r>
              <w:rPr>
                <w:rFonts w:ascii="宋体" w:hAnsi="宋体"/>
                <w:sz w:val="24"/>
              </w:rPr>
              <w:t>。</w:t>
            </w:r>
          </w:p>
          <w:p>
            <w:pPr>
              <w:spacing w:before="10"/>
              <w:jc w:val="center"/>
              <w:rPr>
                <w:sz w:val="18"/>
                <w:szCs w:val="18"/>
              </w:rPr>
            </w:pPr>
            <w:r>
              <w:rPr>
                <w:rFonts w:ascii="宋体" w:hAnsi="宋体"/>
                <w:sz w:val="18"/>
                <w:szCs w:val="18"/>
              </w:rPr>
              <w:t>表</w:t>
            </w:r>
            <w:r>
              <w:rPr>
                <w:sz w:val="18"/>
                <w:szCs w:val="18"/>
              </w:rPr>
              <w:t>1.2.7</w:t>
            </w:r>
            <w:r>
              <w:rPr>
                <w:rFonts w:hint="eastAsia"/>
                <w:sz w:val="18"/>
                <w:szCs w:val="18"/>
              </w:rPr>
              <w:t>-</w:t>
            </w:r>
            <w:r>
              <w:rPr>
                <w:sz w:val="18"/>
                <w:szCs w:val="18"/>
              </w:rPr>
              <w:t xml:space="preserve">1 </w:t>
            </w:r>
            <w:r>
              <w:rPr>
                <w:rFonts w:ascii="宋体" w:hAnsi="宋体"/>
                <w:sz w:val="18"/>
                <w:szCs w:val="18"/>
              </w:rPr>
              <w:t>项目与《报废汽车回收拆解企业技术规范》符合性分析</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436"/>
              <w:gridCol w:w="2708"/>
              <w:gridCol w:w="2909"/>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类</w:t>
                  </w:r>
                </w:p>
              </w:tc>
              <w:tc>
                <w:tcPr>
                  <w:tcW w:w="3144" w:type="dxa"/>
                  <w:gridSpan w:val="2"/>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具体要求</w:t>
                  </w:r>
                </w:p>
              </w:tc>
              <w:tc>
                <w:tcPr>
                  <w:tcW w:w="2909"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项目情况</w:t>
                  </w:r>
                </w:p>
              </w:tc>
              <w:tc>
                <w:tcPr>
                  <w:tcW w:w="43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restart"/>
                  <w:tcBorders>
                    <w:top w:val="nil"/>
                    <w:left w:val="single" w:color="auto" w:sz="4" w:space="0"/>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企业要求</w:t>
                  </w: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拆解产能</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企业所在地区（地级市）类型依据年机动车保有量确定，企业数量依据地区年总拆解产能确定。地区年拆解产能按当地机动车保有量的4%~5%设定。</w:t>
                  </w:r>
                  <w:r>
                    <w:rPr>
                      <w:rStyle w:val="131"/>
                      <w:rFonts w:hint="default" w:ascii="Times New Roman" w:hAnsi="Times New Roman" w:eastAsiaTheme="minorEastAsia"/>
                      <w:kern w:val="0"/>
                      <w:sz w:val="18"/>
                      <w:szCs w:val="18"/>
                    </w:rPr>
                    <w:t>其中单个企业Ⅰ档、Ⅱ档、Ⅲ档、Ⅳ档、Ⅴ档、Ⅵ档最低年拆解产能为3万辆、2万辆、1.5万辆、1万辆、1万辆、0.5万辆。</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根据重庆市双桥经济技术开发区经济发展局下发的重庆市企业投资项目备案证（项目编码：2207-500111-04-01-779242），备案证表明该项目符合本地区产业政策和准入标准。</w:t>
                  </w:r>
                  <w:r>
                    <w:rPr>
                      <w:rFonts w:hint="eastAsia" w:eastAsiaTheme="minorEastAsia"/>
                      <w:sz w:val="18"/>
                      <w:szCs w:val="18"/>
                    </w:rPr>
                    <w:t>拟建项目所在地区为</w:t>
                  </w:r>
                  <w:r>
                    <w:rPr>
                      <w:rStyle w:val="131"/>
                      <w:rFonts w:hint="default" w:ascii="Times New Roman" w:hAnsi="Times New Roman" w:eastAsiaTheme="minorEastAsia"/>
                      <w:kern w:val="0"/>
                      <w:sz w:val="18"/>
                      <w:szCs w:val="18"/>
                    </w:rPr>
                    <w:t>Ⅱ档地区，单个企业最低年拆解产能为2</w:t>
                  </w:r>
                  <w:r>
                    <w:rPr>
                      <w:rStyle w:val="131"/>
                      <w:rFonts w:hint="eastAsia" w:eastAsiaTheme="minorEastAsia"/>
                      <w:kern w:val="0"/>
                      <w:sz w:val="18"/>
                      <w:szCs w:val="18"/>
                      <w:lang w:eastAsia="zh-CN"/>
                    </w:rPr>
                    <w:t>万辆</w:t>
                  </w:r>
                  <w:r>
                    <w:rPr>
                      <w:rStyle w:val="131"/>
                      <w:rFonts w:hint="default" w:ascii="Times New Roman" w:hAnsi="Times New Roman" w:eastAsiaTheme="minorEastAsia"/>
                      <w:kern w:val="0"/>
                      <w:sz w:val="18"/>
                      <w:szCs w:val="18"/>
                    </w:rPr>
                    <w:t>。</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场地建设</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符合所在地城市总体规划或国土空间规划；符合GB50187、HJ348的选址要求，不得建在城市居民区、商业区、饮用水水源保护区及其他环境敏感区内，且避开受环境威胁地带、地段和地区；项目所在地有工业园区或再生利用园区的应建设在园区内。</w:t>
                  </w:r>
                </w:p>
                <w:p>
                  <w:pPr>
                    <w:rPr>
                      <w:rFonts w:eastAsiaTheme="minorEastAsia"/>
                      <w:sz w:val="18"/>
                      <w:szCs w:val="18"/>
                    </w:rPr>
                  </w:pPr>
                  <w:r>
                    <w:rPr>
                      <w:rFonts w:eastAsiaTheme="minorEastAsia"/>
                      <w:sz w:val="18"/>
                      <w:szCs w:val="18"/>
                    </w:rPr>
                    <w:t>2、企业最低经营面积（占地面积）应满足如下要求：Ⅰ档~Ⅱ档地区为20000m</w:t>
                  </w:r>
                  <w:r>
                    <w:rPr>
                      <w:rFonts w:eastAsiaTheme="minorEastAsia"/>
                      <w:sz w:val="18"/>
                      <w:szCs w:val="18"/>
                      <w:vertAlign w:val="superscript"/>
                    </w:rPr>
                    <w:t>2</w:t>
                  </w:r>
                  <w:r>
                    <w:rPr>
                      <w:rFonts w:eastAsiaTheme="minorEastAsia"/>
                      <w:sz w:val="18"/>
                      <w:szCs w:val="18"/>
                    </w:rPr>
                    <w:t>，Ⅲ档~Ⅳ档地区为15000m</w:t>
                  </w:r>
                  <w:r>
                    <w:rPr>
                      <w:rFonts w:eastAsiaTheme="minorEastAsia"/>
                      <w:sz w:val="18"/>
                      <w:szCs w:val="18"/>
                      <w:vertAlign w:val="superscript"/>
                    </w:rPr>
                    <w:t>2</w:t>
                  </w:r>
                  <w:r>
                    <w:rPr>
                      <w:rFonts w:eastAsiaTheme="minorEastAsia"/>
                      <w:sz w:val="18"/>
                      <w:szCs w:val="18"/>
                    </w:rPr>
                    <w:t>，Ⅴ档~Ⅵ档地区为10000m</w:t>
                  </w:r>
                  <w:r>
                    <w:rPr>
                      <w:rFonts w:eastAsiaTheme="minorEastAsia"/>
                      <w:sz w:val="18"/>
                      <w:szCs w:val="18"/>
                      <w:vertAlign w:val="superscript"/>
                    </w:rPr>
                    <w:t>2</w:t>
                  </w:r>
                  <w:r>
                    <w:rPr>
                      <w:rFonts w:eastAsiaTheme="minorEastAsia"/>
                      <w:sz w:val="18"/>
                      <w:szCs w:val="18"/>
                    </w:rPr>
                    <w:t>；其中作业场地（包括拆解和贮存场地）面积不低于经营面积的60%。</w:t>
                  </w:r>
                </w:p>
                <w:p>
                  <w:pPr>
                    <w:rPr>
                      <w:rFonts w:eastAsiaTheme="minorEastAsia"/>
                      <w:sz w:val="18"/>
                      <w:szCs w:val="18"/>
                    </w:rPr>
                  </w:pPr>
                  <w:r>
                    <w:rPr>
                      <w:rFonts w:eastAsiaTheme="minorEastAsia"/>
                      <w:sz w:val="18"/>
                      <w:szCs w:val="18"/>
                    </w:rPr>
                    <w:t>3、企业应严格执行《工业项目建设用地控制指标》建设用地标准，且场地建设符合HJ348的企业建设环境保护要求。</w:t>
                  </w:r>
                </w:p>
                <w:p>
                  <w:pPr>
                    <w:rPr>
                      <w:rFonts w:eastAsiaTheme="minorEastAsia"/>
                      <w:sz w:val="18"/>
                      <w:szCs w:val="18"/>
                    </w:rPr>
                  </w:pPr>
                  <w:r>
                    <w:rPr>
                      <w:rFonts w:eastAsiaTheme="minorEastAsia"/>
                      <w:sz w:val="18"/>
                      <w:szCs w:val="18"/>
                    </w:rPr>
                    <w:t>4、企业场地应具备拆解场地、贮存场地和办公场地。其中，拆解场地和贮存场地（包括临时贮存） 的地面应硬化并防渗漏，满足GB50037的防油渗地面要求。</w:t>
                  </w:r>
                </w:p>
                <w:p>
                  <w:pPr>
                    <w:rPr>
                      <w:rFonts w:eastAsiaTheme="minorEastAsia"/>
                      <w:sz w:val="18"/>
                      <w:szCs w:val="18"/>
                    </w:rPr>
                  </w:pPr>
                  <w:r>
                    <w:rPr>
                      <w:rFonts w:eastAsiaTheme="minorEastAsia"/>
                      <w:sz w:val="18"/>
                      <w:szCs w:val="18"/>
                    </w:rPr>
                    <w:t>5、拆解场地应为封闭或半封闭构建物，应通风，光线良好，安全环保设施设备齐全。</w:t>
                  </w:r>
                </w:p>
                <w:p>
                  <w:pPr>
                    <w:rPr>
                      <w:rFonts w:eastAsiaTheme="minorEastAsia"/>
                      <w:sz w:val="18"/>
                      <w:szCs w:val="18"/>
                    </w:rPr>
                  </w:pPr>
                  <w:r>
                    <w:rPr>
                      <w:rFonts w:eastAsiaTheme="minorEastAsia"/>
                      <w:sz w:val="18"/>
                      <w:szCs w:val="18"/>
                    </w:rPr>
                    <w:t>6、贮存场地应分为报废机动车贮存场地、回用件贮存场地及固体废物贮存场地。固体废物贮存场地应具有满足GB18599要求的一般工业固体废物贮存设施和满足GB18597要求的危险废物贮存设施。</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7、拆解电动汽车的企业还应满足以下场地建设要求：</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（1）具备电动汽车贮存场地、动力蓄电池贮存场地和动力蓄电池拆卸专用场地。场地应设有高压警示、区域隔离及危险识别标志，并具有防腐防渗紧急收集池及专用容器，用于收集动力蓄电</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池等破损时泄漏出的电解液、冷却液等有毒有害液体。</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（2）电动汽车贮存场地应 单独管理，并保持通风。</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（3）动力蓄电池贮存场地应设在易燃易爆等危险品仓库及高压输电线路防护区域以外.并设有烟雾报警器等火灾自动报警设施。</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（4）动力蓄电池拆卸专用场地地面应做绝缘处理。</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1、本项目位于</w:t>
                  </w:r>
                  <w:r>
                    <w:rPr>
                      <w:rFonts w:eastAsiaTheme="minorEastAsia"/>
                      <w:bCs/>
                      <w:iCs/>
                      <w:sz w:val="18"/>
                      <w:szCs w:val="18"/>
                    </w:rPr>
                    <w:t>重庆市大足区邮亭镇工业园区A7-01/01地块</w:t>
                  </w:r>
                  <w:r>
                    <w:rPr>
                      <w:rFonts w:eastAsiaTheme="minorEastAsia"/>
                      <w:sz w:val="18"/>
                      <w:szCs w:val="18"/>
                    </w:rPr>
                    <w:t>，用地属</w:t>
                  </w:r>
                  <w:r>
                    <w:rPr>
                      <w:rFonts w:eastAsiaTheme="minorEastAsia"/>
                      <w:iCs/>
                      <w:sz w:val="18"/>
                      <w:szCs w:val="18"/>
                    </w:rPr>
                    <w:t>工业用地</w:t>
                  </w:r>
                  <w:r>
                    <w:rPr>
                      <w:rFonts w:eastAsiaTheme="minorEastAsia"/>
                      <w:sz w:val="18"/>
                      <w:szCs w:val="18"/>
                    </w:rPr>
                    <w:t>，满足区域规划，所用地不涉及城市居民区、商业区、饮用水水源保护区、其他环境敏感区和受环境威胁地带、地段和地区。</w:t>
                  </w:r>
                </w:p>
                <w:p>
                  <w:pPr>
                    <w:rPr>
                      <w:rFonts w:eastAsiaTheme="minorEastAsia"/>
                      <w:sz w:val="18"/>
                      <w:szCs w:val="18"/>
                    </w:rPr>
                  </w:pPr>
                  <w:r>
                    <w:rPr>
                      <w:rFonts w:eastAsiaTheme="minorEastAsia"/>
                      <w:sz w:val="18"/>
                      <w:szCs w:val="18"/>
                    </w:rPr>
                    <w:t>2、</w:t>
                  </w:r>
                  <w:r>
                    <w:rPr>
                      <w:rFonts w:hint="eastAsia" w:eastAsiaTheme="minorEastAsia"/>
                      <w:sz w:val="18"/>
                      <w:szCs w:val="18"/>
                    </w:rPr>
                    <w:t>拟建项目所在地区为</w:t>
                  </w:r>
                  <w:r>
                    <w:rPr>
                      <w:rStyle w:val="131"/>
                      <w:rFonts w:hint="default" w:ascii="Times New Roman" w:hAnsi="Times New Roman" w:eastAsiaTheme="minorEastAsia"/>
                      <w:kern w:val="0"/>
                      <w:sz w:val="18"/>
                      <w:szCs w:val="18"/>
                    </w:rPr>
                    <w:t>Ⅱ档地区，</w:t>
                  </w:r>
                  <w:r>
                    <w:rPr>
                      <w:rFonts w:eastAsiaTheme="minorEastAsia"/>
                      <w:sz w:val="18"/>
                      <w:szCs w:val="18"/>
                    </w:rPr>
                    <w:t>企业厂房占地面积为20000 m</w:t>
                  </w:r>
                  <w:r>
                    <w:rPr>
                      <w:rFonts w:eastAsiaTheme="minorEastAsia"/>
                      <w:sz w:val="18"/>
                      <w:szCs w:val="18"/>
                      <w:vertAlign w:val="superscript"/>
                    </w:rPr>
                    <w:t>2</w:t>
                  </w:r>
                  <w:r>
                    <w:rPr>
                      <w:rFonts w:eastAsiaTheme="minorEastAsia"/>
                      <w:sz w:val="18"/>
                      <w:szCs w:val="18"/>
                    </w:rPr>
                    <w:t>，其中作业场地（包括拆解和贮存场地）面积为12000m</w:t>
                  </w:r>
                  <w:r>
                    <w:rPr>
                      <w:rFonts w:eastAsiaTheme="minorEastAsia"/>
                      <w:sz w:val="18"/>
                      <w:szCs w:val="18"/>
                      <w:vertAlign w:val="superscript"/>
                    </w:rPr>
                    <w:t>2</w:t>
                  </w:r>
                  <w:r>
                    <w:rPr>
                      <w:rFonts w:eastAsiaTheme="minorEastAsia"/>
                      <w:sz w:val="18"/>
                      <w:szCs w:val="18"/>
                    </w:rPr>
                    <w:t>，满足60%的要求。</w:t>
                  </w:r>
                </w:p>
                <w:p>
                  <w:pPr>
                    <w:rPr>
                      <w:rFonts w:eastAsiaTheme="minorEastAsia"/>
                      <w:sz w:val="18"/>
                      <w:szCs w:val="18"/>
                    </w:rPr>
                  </w:pPr>
                  <w:r>
                    <w:rPr>
                      <w:rFonts w:eastAsiaTheme="minorEastAsia"/>
                      <w:sz w:val="18"/>
                      <w:szCs w:val="18"/>
                    </w:rPr>
                    <w:t>3、企业所在地为工业用地，且符合HJ348的企业建设环境保护要求。</w:t>
                  </w:r>
                </w:p>
                <w:p>
                  <w:pPr>
                    <w:rPr>
                      <w:rFonts w:eastAsiaTheme="minorEastAsia"/>
                      <w:sz w:val="18"/>
                      <w:szCs w:val="18"/>
                    </w:rPr>
                  </w:pPr>
                  <w:r>
                    <w:rPr>
                      <w:rFonts w:eastAsiaTheme="minorEastAsia"/>
                      <w:sz w:val="18"/>
                      <w:szCs w:val="18"/>
                    </w:rPr>
                    <w:t>4、项目厂区具备拆解场地、贮存场地和办公场地。其中，拆解场地和贮存场地（包括临时贮存）的地面应硬化并防渗漏，满足GB50037的防油渗地面要求。</w:t>
                  </w:r>
                </w:p>
                <w:p>
                  <w:pPr>
                    <w:rPr>
                      <w:rFonts w:eastAsiaTheme="minorEastAsia"/>
                      <w:sz w:val="18"/>
                      <w:szCs w:val="18"/>
                    </w:rPr>
                  </w:pPr>
                  <w:r>
                    <w:rPr>
                      <w:rFonts w:eastAsiaTheme="minorEastAsia"/>
                      <w:sz w:val="18"/>
                      <w:szCs w:val="18"/>
                    </w:rPr>
                    <w:t>5、拆解区位于车间内，属封闭构建物；通风，光线良好，安全环保设施设备齐全。</w:t>
                  </w:r>
                </w:p>
                <w:p>
                  <w:pPr>
                    <w:rPr>
                      <w:rFonts w:eastAsiaTheme="minorEastAsia"/>
                      <w:sz w:val="18"/>
                      <w:szCs w:val="18"/>
                    </w:rPr>
                  </w:pPr>
                  <w:r>
                    <w:rPr>
                      <w:rFonts w:eastAsiaTheme="minorEastAsia"/>
                      <w:sz w:val="18"/>
                      <w:szCs w:val="18"/>
                    </w:rPr>
                    <w:t>6、贮存场地分为</w:t>
                  </w:r>
                  <w:r>
                    <w:rPr>
                      <w:rFonts w:hint="eastAsia" w:eastAsiaTheme="minorEastAsia"/>
                      <w:sz w:val="18"/>
                      <w:szCs w:val="18"/>
                    </w:rPr>
                    <w:t>大车停放区、中小车停放区、原辅料暂存间、成品库房、一般工业固废暂存间、危废暂存间</w:t>
                  </w:r>
                  <w:r>
                    <w:rPr>
                      <w:rFonts w:eastAsiaTheme="minorEastAsia"/>
                      <w:sz w:val="18"/>
                      <w:szCs w:val="18"/>
                    </w:rPr>
                    <w:t>。工业固废贮存按照《一般工业固体废物贮存和填埋污染控制标准》（GB18599-2020）的要求进行相应防渗漏、防雨淋、防扬尘等环境保护要求，危废危废的贮存严格按照《危险废物贮存污染控制标准》（GB18597-2001）的要求进行管理。</w:t>
                  </w:r>
                </w:p>
                <w:p>
                  <w:pPr>
                    <w:pStyle w:val="128"/>
                    <w:spacing w:line="240" w:lineRule="auto"/>
                    <w:ind w:firstLine="0" w:firstLineChars="0"/>
                    <w:rPr>
                      <w:rFonts w:cs="Times New Roman" w:eastAsiaTheme="minorEastAsia"/>
                      <w:sz w:val="18"/>
                      <w:szCs w:val="18"/>
                    </w:rPr>
                  </w:pPr>
                  <w:r>
                    <w:rPr>
                      <w:rFonts w:cs="Times New Roman" w:eastAsiaTheme="minorEastAsia"/>
                      <w:sz w:val="18"/>
                      <w:szCs w:val="18"/>
                    </w:rPr>
                    <w:t>7、本项目设置有电动汽车拆解线，设置有电动汽车贮存区、动力蓄电池贮存区和</w:t>
                  </w:r>
                  <w:r>
                    <w:rPr>
                      <w:rFonts w:hint="eastAsia" w:cs="Times New Roman" w:eastAsiaTheme="minorEastAsia"/>
                      <w:sz w:val="18"/>
                      <w:szCs w:val="18"/>
                    </w:rPr>
                    <w:t>新能源电池拆卸区</w:t>
                  </w:r>
                  <w:r>
                    <w:rPr>
                      <w:rFonts w:cs="Times New Roman" w:eastAsiaTheme="minorEastAsia"/>
                      <w:sz w:val="18"/>
                      <w:szCs w:val="18"/>
                    </w:rPr>
                    <w:t>，按要求设置。</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设施设备要求</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1、应具有以下一般拆解设施设备：车辆称重设备···简易拆解工具。</w:t>
                  </w:r>
                </w:p>
                <w:p>
                  <w:pPr>
                    <w:rPr>
                      <w:rFonts w:eastAsiaTheme="minorEastAsia"/>
                      <w:sz w:val="18"/>
                      <w:szCs w:val="18"/>
                    </w:rPr>
                  </w:pPr>
                  <w:r>
                    <w:rPr>
                      <w:rFonts w:eastAsiaTheme="minorEastAsia"/>
                      <w:sz w:val="18"/>
                      <w:szCs w:val="18"/>
                    </w:rPr>
                    <w:t>2、应具有以下安全设施设备：安全气囊直接引爆装置或者拆除贮存、引爆装置；安全气囊直接引爆装置或者拆除、贮存、引爆装置；应急救援设备。</w:t>
                  </w:r>
                </w:p>
                <w:p>
                  <w:pPr>
                    <w:rPr>
                      <w:rFonts w:eastAsiaTheme="minorEastAsia"/>
                      <w:sz w:val="18"/>
                      <w:szCs w:val="18"/>
                    </w:rPr>
                  </w:pPr>
                  <w:r>
                    <w:rPr>
                      <w:rFonts w:eastAsiaTheme="minorEastAsia"/>
                      <w:sz w:val="18"/>
                      <w:szCs w:val="18"/>
                    </w:rPr>
                    <w:t>3、应具备以下环保设施设备：满足HJ348要求的油水分离器等企业建设环境保护设备；b）配有专用废液收集装置和分类存放各种废液的专用密闭容器；机动车空调制冷剂收集装置和分类存放各种制冷剂的密闭容器。</w:t>
                  </w:r>
                </w:p>
                <w:p>
                  <w:pPr>
                    <w:rPr>
                      <w:rFonts w:eastAsiaTheme="minorEastAsia"/>
                      <w:sz w:val="18"/>
                      <w:szCs w:val="18"/>
                    </w:rPr>
                  </w:pPr>
                  <w:r>
                    <w:rPr>
                      <w:rFonts w:eastAsiaTheme="minorEastAsia"/>
                      <w:sz w:val="18"/>
                      <w:szCs w:val="18"/>
                    </w:rPr>
                    <w:t>4、应具备电脑拍照设备，电子监控等设施设备。</w:t>
                  </w:r>
                </w:p>
                <w:p>
                  <w:pPr>
                    <w:rPr>
                      <w:rFonts w:eastAsiaTheme="minorEastAsia"/>
                      <w:sz w:val="18"/>
                      <w:szCs w:val="18"/>
                    </w:rPr>
                  </w:pPr>
                  <w:r>
                    <w:rPr>
                      <w:rFonts w:eastAsiaTheme="minorEastAsia"/>
                      <w:sz w:val="18"/>
                      <w:szCs w:val="18"/>
                    </w:rPr>
                    <w:t>5、Ⅰ档~II档地区的企业还应具备以下高效拆解设施设备：精细拆解平台及相应的设备工装···</w:t>
                  </w:r>
                </w:p>
                <w:p>
                  <w:pPr>
                    <w:rPr>
                      <w:rFonts w:eastAsiaTheme="minorEastAsia"/>
                      <w:sz w:val="18"/>
                      <w:szCs w:val="18"/>
                    </w:rPr>
                  </w:pPr>
                  <w:r>
                    <w:rPr>
                      <w:rFonts w:eastAsiaTheme="minorEastAsia"/>
                      <w:sz w:val="18"/>
                      <w:szCs w:val="18"/>
                    </w:rPr>
                    <w:t>6、拆解电动汽车的企业还应具备以下设施设备及材料：绝缘检测设备等安全评估设备····</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设置一般拆解设施；对安全气囊进行拆除，设置引爆装置及应急救援设备；设置污水处理站处理含油废水；根据不同专用废液和机动车空调制冷剂设置有不同的收集装置和分类存放的专用密闭容器；配备电脑拍照设备，电子监控等设施设备；电动汽车拆解线按要求配置有相应设备</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技术人员要求</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企业技术人 员应经过岗前培训，其专业技能应能满足规范拆解、环保作业、安全操作等相应要求、并配备专业安全生产管理人员和环保管理人员，国家有持证上岗规定的，应持证上岗。</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项目设置专业技术人员，持证上岗。</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信息管理要求</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1、应建立电子信息档案，按以下方式记录报废机动车回收登记、固体废物信息；</w:t>
                  </w:r>
                </w:p>
                <w:p>
                  <w:pPr>
                    <w:rPr>
                      <w:rFonts w:eastAsiaTheme="minorEastAsia"/>
                      <w:sz w:val="18"/>
                      <w:szCs w:val="18"/>
                    </w:rPr>
                  </w:pPr>
                  <w:r>
                    <w:rPr>
                      <w:rFonts w:eastAsiaTheme="minorEastAsia"/>
                      <w:sz w:val="18"/>
                      <w:szCs w:val="18"/>
                    </w:rPr>
                    <w:t>2、生产经营场所应设置全覆盖的电子监控系统，实时记录报废机动车回收和拆解过程。相关信息保存期限不应低于1年。</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厂内建设报废汽车拆解经营情况记录制度并设置全覆盖的电子监控系统，对报废汽车的来源、类型、重量（数量）、收集（接收）、拆解、破碎、贮存、处置的时间，运输单位的名称和联系方式，拆解的产品和不可回收利用的废物的数量和去向等。</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安全要</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应实施满足GB/T 33000要求的安全管理制度·····</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满足GB/T 33000要求的安全管理制度</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环保要求</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1、报废机动车拆解过程应满足HJ348中所规定的清污分流，污水达标排放等环境保护和污染控制的相关要求。</w:t>
                  </w:r>
                </w:p>
                <w:p>
                  <w:pPr>
                    <w:rPr>
                      <w:rFonts w:eastAsiaTheme="minorEastAsia"/>
                      <w:sz w:val="18"/>
                      <w:szCs w:val="18"/>
                    </w:rPr>
                  </w:pPr>
                  <w:r>
                    <w:rPr>
                      <w:rFonts w:eastAsiaTheme="minorEastAsia"/>
                      <w:sz w:val="18"/>
                      <w:szCs w:val="18"/>
                    </w:rPr>
                    <w:t>2、应实施满足危险废物规范化管理要求的环境管理制度，其中对列入《国家危险废物名录》的危险废物应严格按照有关规定进行管理。</w:t>
                  </w:r>
                </w:p>
                <w:p>
                  <w:pPr>
                    <w:rPr>
                      <w:rFonts w:eastAsiaTheme="minorEastAsia"/>
                      <w:sz w:val="18"/>
                      <w:szCs w:val="18"/>
                    </w:rPr>
                  </w:pPr>
                  <w:r>
                    <w:rPr>
                      <w:rFonts w:eastAsiaTheme="minorEastAsia"/>
                      <w:sz w:val="18"/>
                      <w:szCs w:val="18"/>
                    </w:rPr>
                    <w:t>3、应满足GB12348中所规定的2类声环境功能区工业企业厂界环境噪声排放限值要求。</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1、项目实行清污分流制，厂房已设置雨水收集管网，</w:t>
                  </w:r>
                  <w:r>
                    <w:rPr>
                      <w:rFonts w:hint="eastAsia"/>
                      <w:sz w:val="18"/>
                      <w:szCs w:val="18"/>
                    </w:rPr>
                    <w:t>在作业区内产生的初期雨水经5</w:t>
                  </w:r>
                  <w:r>
                    <w:rPr>
                      <w:sz w:val="18"/>
                      <w:szCs w:val="18"/>
                    </w:rPr>
                    <w:t>50</w:t>
                  </w:r>
                  <w:r>
                    <w:rPr>
                      <w:rFonts w:hint="eastAsia"/>
                      <w:sz w:val="18"/>
                      <w:szCs w:val="18"/>
                    </w:rPr>
                    <w:t>m</w:t>
                  </w:r>
                  <w:r>
                    <w:rPr>
                      <w:sz w:val="18"/>
                      <w:szCs w:val="18"/>
                      <w:vertAlign w:val="superscript"/>
                    </w:rPr>
                    <w:t>2</w:t>
                  </w:r>
                  <w:r>
                    <w:rPr>
                      <w:rFonts w:hint="eastAsia"/>
                      <w:sz w:val="18"/>
                      <w:szCs w:val="18"/>
                    </w:rPr>
                    <w:t>事故池收集。清洗水和其他非生活废水设置专门的收集设施和污水处理设施进行处理。</w:t>
                  </w:r>
                  <w:r>
                    <w:rPr>
                      <w:rFonts w:hint="eastAsia" w:eastAsiaTheme="minorEastAsia"/>
                      <w:kern w:val="0"/>
                      <w:sz w:val="18"/>
                      <w:szCs w:val="18"/>
                    </w:rPr>
                    <w:t>厂区内所有废水一并</w:t>
                  </w:r>
                  <w:r>
                    <w:rPr>
                      <w:rFonts w:eastAsiaTheme="minorEastAsia"/>
                      <w:kern w:val="0"/>
                      <w:sz w:val="18"/>
                      <w:szCs w:val="18"/>
                    </w:rPr>
                    <w:t>进入新建污水处理站处理达</w:t>
                  </w:r>
                  <w:r>
                    <w:rPr>
                      <w:rFonts w:hint="eastAsia" w:eastAsiaTheme="minorEastAsia"/>
                      <w:kern w:val="0"/>
                      <w:sz w:val="18"/>
                      <w:szCs w:val="18"/>
                    </w:rPr>
                    <w:t>《污水综合排放标准》（GB8978-1996）三级排放标准（其中氨氮、总氮、总磷参照执行《污水排入城镇下水道水质标准》（GB/T31962-2015））</w:t>
                  </w:r>
                  <w:r>
                    <w:rPr>
                      <w:rFonts w:eastAsiaTheme="minorEastAsia"/>
                      <w:kern w:val="0"/>
                      <w:sz w:val="18"/>
                      <w:szCs w:val="18"/>
                    </w:rPr>
                    <w:t>后进入</w:t>
                  </w:r>
                  <w:r>
                    <w:rPr>
                      <w:rFonts w:hint="eastAsia" w:eastAsiaTheme="minorEastAsia"/>
                      <w:kern w:val="0"/>
                      <w:sz w:val="18"/>
                      <w:szCs w:val="18"/>
                    </w:rPr>
                    <w:t>双桥园区</w:t>
                  </w:r>
                  <w:r>
                    <w:rPr>
                      <w:rFonts w:eastAsiaTheme="minorEastAsia"/>
                      <w:kern w:val="0"/>
                      <w:sz w:val="18"/>
                      <w:szCs w:val="18"/>
                    </w:rPr>
                    <w:t>污水处理厂</w:t>
                  </w:r>
                  <w:r>
                    <w:rPr>
                      <w:rFonts w:hint="eastAsia" w:eastAsiaTheme="minorEastAsia"/>
                      <w:kern w:val="0"/>
                      <w:sz w:val="18"/>
                      <w:szCs w:val="18"/>
                    </w:rPr>
                    <w:t>近期</w:t>
                  </w:r>
                  <w:r>
                    <w:rPr>
                      <w:rFonts w:eastAsiaTheme="minorEastAsia"/>
                      <w:kern w:val="0"/>
                      <w:sz w:val="18"/>
                      <w:szCs w:val="18"/>
                    </w:rPr>
                    <w:t>进一步处理</w:t>
                  </w:r>
                  <w:r>
                    <w:rPr>
                      <w:rFonts w:hint="eastAsia" w:eastAsiaTheme="minorEastAsia"/>
                      <w:kern w:val="0"/>
                      <w:sz w:val="18"/>
                      <w:szCs w:val="18"/>
                    </w:rPr>
                    <w:t>。</w:t>
                  </w:r>
                </w:p>
                <w:p>
                  <w:pPr>
                    <w:rPr>
                      <w:rFonts w:eastAsiaTheme="minorEastAsia"/>
                      <w:sz w:val="18"/>
                      <w:szCs w:val="18"/>
                    </w:rPr>
                  </w:pPr>
                  <w:r>
                    <w:rPr>
                      <w:rFonts w:eastAsiaTheme="minorEastAsia"/>
                      <w:sz w:val="18"/>
                      <w:szCs w:val="18"/>
                    </w:rPr>
                    <w:t>2、根据《国家危险废物名录》列出项目各类危废，危废的贮存严格按照《危险废物贮存污染控制标准》（GB18597-2001）的要求进行管理。</w:t>
                  </w:r>
                </w:p>
                <w:p>
                  <w:pPr>
                    <w:rPr>
                      <w:rFonts w:eastAsiaTheme="minorEastAsia"/>
                      <w:sz w:val="18"/>
                      <w:szCs w:val="18"/>
                    </w:rPr>
                  </w:pPr>
                  <w:r>
                    <w:rPr>
                      <w:rFonts w:eastAsiaTheme="minorEastAsia"/>
                      <w:sz w:val="18"/>
                      <w:szCs w:val="18"/>
                    </w:rPr>
                    <w:t>3、项目所在地属于声环境功能3类区，厂界噪声执行《工业企业厂界环境噪声排放标准》（GB12348-2008）中3类标准。</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tcBorders>
                    <w:top w:val="single" w:color="auto" w:sz="4" w:space="0"/>
                    <w:left w:val="single" w:color="auto" w:sz="4" w:space="0"/>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回收技术要求</w:t>
                  </w:r>
                </w:p>
              </w:tc>
              <w:tc>
                <w:tcPr>
                  <w:tcW w:w="3144" w:type="dxa"/>
                  <w:gridSpan w:val="2"/>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收到报废机动车后，应检查发动机、散热器、变速器、差速器、油箱和燃料罐等总成部件的密封，破损情况。对于出现泄漏的总成部件，应采取适当的方式收集泄漏的液体或封住泄漏处，防止废液渗入地下。</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报废汽车进厂前对各类总成部件的密封、破损情况进行检查，对发现有泄漏的部件，立即利用堵漏材料进行处理或将泄漏部件放置于容器内，并及时对其内的废液进行抽取。</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432" w:type="dxa"/>
                  <w:vMerge w:val="restart"/>
                  <w:tcBorders>
                    <w:top w:val="nil"/>
                    <w:left w:val="single" w:color="auto" w:sz="4" w:space="0"/>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贮存技术要求</w:t>
                  </w: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报废机动车贮存</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避免侧放、倒放，机动车如需叠放，应使上下车辆的重心尽量重合，且不应超过3层。2层和3层叠放时，高度分别不应超过3 m和4.5 m。大型车辆应单层平置。采用框架结构存放的，要保证安全性，并易于装卸。</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按要求严格执行</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固体废物贮存</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1、固体废物的贮存设施建设应符合GB18599、GB18597、HJ2025的要求。</w:t>
                  </w:r>
                </w:p>
                <w:p>
                  <w:pPr>
                    <w:rPr>
                      <w:rFonts w:eastAsiaTheme="minorEastAsia"/>
                      <w:sz w:val="18"/>
                      <w:szCs w:val="18"/>
                    </w:rPr>
                  </w:pPr>
                  <w:r>
                    <w:rPr>
                      <w:rFonts w:eastAsiaTheme="minorEastAsia"/>
                      <w:sz w:val="18"/>
                      <w:szCs w:val="18"/>
                    </w:rPr>
                    <w:t>2、一般工业固体废物贮存设施及包装物应按GB15562.2进行标识，危险废物贮存设施及包装物的标志应符合GB18597的要求。所有固体废物避免混合、混放。</w:t>
                  </w:r>
                </w:p>
                <w:p>
                  <w:pPr>
                    <w:rPr>
                      <w:rFonts w:eastAsiaTheme="minorEastAsia"/>
                      <w:sz w:val="18"/>
                      <w:szCs w:val="18"/>
                    </w:rPr>
                  </w:pPr>
                  <w:r>
                    <w:rPr>
                      <w:rFonts w:eastAsiaTheme="minorEastAsia"/>
                      <w:sz w:val="18"/>
                      <w:szCs w:val="18"/>
                    </w:rPr>
                    <w:t>3、妥善处置固体废物，不应非法转移、倾倒、利用和处置。</w:t>
                  </w:r>
                </w:p>
                <w:p>
                  <w:pPr>
                    <w:rPr>
                      <w:rFonts w:eastAsiaTheme="minorEastAsia"/>
                      <w:sz w:val="18"/>
                      <w:szCs w:val="18"/>
                    </w:rPr>
                  </w:pPr>
                  <w:r>
                    <w:rPr>
                      <w:rFonts w:eastAsiaTheme="minorEastAsia"/>
                      <w:sz w:val="18"/>
                      <w:szCs w:val="18"/>
                    </w:rPr>
                    <w:t>4、不同类型的制冷剂应分别回收，使用专门容器单独存放。</w:t>
                  </w:r>
                </w:p>
                <w:p>
                  <w:pPr>
                    <w:rPr>
                      <w:rFonts w:eastAsiaTheme="minorEastAsia"/>
                      <w:sz w:val="18"/>
                      <w:szCs w:val="18"/>
                    </w:rPr>
                  </w:pPr>
                  <w:r>
                    <w:rPr>
                      <w:rFonts w:eastAsiaTheme="minorEastAsia"/>
                      <w:sz w:val="18"/>
                      <w:szCs w:val="18"/>
                    </w:rPr>
                    <w:t>5、废弃电器、铅酸蓄电池贮存场地不得有明火。</w:t>
                  </w:r>
                </w:p>
                <w:p>
                  <w:pPr>
                    <w:rPr>
                      <w:rFonts w:eastAsiaTheme="minorEastAsia"/>
                      <w:sz w:val="18"/>
                      <w:szCs w:val="18"/>
                    </w:rPr>
                  </w:pPr>
                  <w:r>
                    <w:rPr>
                      <w:rFonts w:eastAsiaTheme="minorEastAsia"/>
                      <w:sz w:val="18"/>
                      <w:szCs w:val="18"/>
                    </w:rPr>
                    <w:t>6、容器和装置要防漏和防止酒溅，未引爆安全气囊的贮存装置应防爆，并对其进行日常性检查。</w:t>
                  </w:r>
                </w:p>
                <w:p>
                  <w:pPr>
                    <w:rPr>
                      <w:rFonts w:eastAsiaTheme="minorEastAsia"/>
                      <w:sz w:val="18"/>
                      <w:szCs w:val="18"/>
                    </w:rPr>
                  </w:pPr>
                  <w:r>
                    <w:rPr>
                      <w:rFonts w:eastAsiaTheme="minorEastAsia"/>
                      <w:sz w:val="18"/>
                      <w:szCs w:val="18"/>
                    </w:rPr>
                    <w:t>7、对拆解后的所有固体废物分类贮存和标识。</w:t>
                  </w:r>
                </w:p>
                <w:p>
                  <w:pPr>
                    <w:rPr>
                      <w:rFonts w:eastAsiaTheme="minorEastAsia"/>
                      <w:sz w:val="18"/>
                      <w:szCs w:val="18"/>
                    </w:rPr>
                  </w:pPr>
                  <w:r>
                    <w:rPr>
                      <w:rFonts w:eastAsiaTheme="minorEastAsia"/>
                      <w:sz w:val="18"/>
                      <w:szCs w:val="18"/>
                    </w:rPr>
                    <w:t>8、报废机动车主要固体废物的贮存方法可参见表B.1。</w:t>
                  </w:r>
                </w:p>
              </w:tc>
              <w:tc>
                <w:tcPr>
                  <w:tcW w:w="2909" w:type="dxa"/>
                  <w:tcBorders>
                    <w:top w:val="single" w:color="auto" w:sz="4" w:space="0"/>
                    <w:left w:val="nil"/>
                    <w:bottom w:val="single" w:color="auto" w:sz="4" w:space="0"/>
                    <w:right w:val="single" w:color="auto" w:sz="4" w:space="0"/>
                  </w:tcBorders>
                  <w:vAlign w:val="center"/>
                </w:tcPr>
                <w:p>
                  <w:pPr>
                    <w:pStyle w:val="57"/>
                    <w:spacing w:line="240" w:lineRule="exact"/>
                    <w:ind w:firstLine="360" w:firstLineChars="200"/>
                    <w:jc w:val="both"/>
                    <w:rPr>
                      <w:sz w:val="18"/>
                      <w:szCs w:val="18"/>
                    </w:rPr>
                  </w:pPr>
                  <w:r>
                    <w:rPr>
                      <w:rFonts w:hint="eastAsia"/>
                      <w:bCs/>
                      <w:sz w:val="18"/>
                      <w:szCs w:val="18"/>
                    </w:rPr>
                    <w:t>一般工业固废：废液化气罐、引爆后的安全气囊、废制冷剂、布袋除尘器截留粉尘、其他废物（破碎的玻璃、轮胎、轮毂、塑料等）</w:t>
                  </w:r>
                  <w:r>
                    <w:rPr>
                      <w:rFonts w:hint="eastAsia"/>
                      <w:sz w:val="18"/>
                      <w:szCs w:val="18"/>
                    </w:rPr>
                    <w:t>集中收集后交由具有相应资质的单位利用和处置。废旧动力蓄电池（不包含铅蓄电池）收集后存放于动力蓄电池贮存区。</w:t>
                  </w:r>
                </w:p>
                <w:p>
                  <w:pPr>
                    <w:pStyle w:val="57"/>
                    <w:spacing w:line="240" w:lineRule="exact"/>
                    <w:ind w:firstLine="360" w:firstLineChars="200"/>
                    <w:jc w:val="both"/>
                    <w:rPr>
                      <w:bCs/>
                      <w:sz w:val="18"/>
                      <w:szCs w:val="18"/>
                    </w:rPr>
                  </w:pPr>
                  <w:r>
                    <w:rPr>
                      <w:rFonts w:hint="eastAsia"/>
                      <w:bCs/>
                      <w:sz w:val="18"/>
                      <w:szCs w:val="18"/>
                    </w:rPr>
                    <w:t>危险废物：废铅蓄电池、含多氯联苯的废电容器、废尾气催化剂、废矿物油与含矿物油废物、废电路板及其元件、废机油滤清器、废油箱、石棉废物、含汞废物、污水处理站污泥、废含油抹布及劳保用品、废活性炭、沾染危化品的废包装材料交有资质的单位处理。</w:t>
                  </w:r>
                </w:p>
                <w:p>
                  <w:pPr>
                    <w:ind w:firstLine="360" w:firstLineChars="200"/>
                    <w:rPr>
                      <w:sz w:val="18"/>
                      <w:szCs w:val="18"/>
                    </w:rPr>
                  </w:pPr>
                  <w:r>
                    <w:rPr>
                      <w:rFonts w:hint="eastAsia"/>
                      <w:sz w:val="18"/>
                      <w:szCs w:val="18"/>
                    </w:rPr>
                    <w:t>生活垃圾：生活垃圾收集后由当地环卫部门统一清运处理。</w:t>
                  </w:r>
                </w:p>
                <w:p>
                  <w:pPr>
                    <w:ind w:firstLine="360" w:firstLineChars="200"/>
                    <w:rPr>
                      <w:rFonts w:eastAsiaTheme="minorEastAsia"/>
                      <w:sz w:val="18"/>
                      <w:szCs w:val="18"/>
                    </w:rPr>
                  </w:pPr>
                  <w:r>
                    <w:rPr>
                      <w:rFonts w:eastAsiaTheme="minorEastAsia"/>
                      <w:sz w:val="18"/>
                      <w:szCs w:val="18"/>
                    </w:rPr>
                    <w:t>不同类型的制冷剂应分别回收，使用专门容器单独存放。</w:t>
                  </w:r>
                </w:p>
                <w:p>
                  <w:pPr>
                    <w:ind w:firstLine="360" w:firstLineChars="200"/>
                    <w:rPr>
                      <w:rFonts w:eastAsiaTheme="minorEastAsia"/>
                      <w:sz w:val="18"/>
                      <w:szCs w:val="18"/>
                    </w:rPr>
                  </w:pPr>
                  <w:r>
                    <w:rPr>
                      <w:rFonts w:eastAsiaTheme="minorEastAsia"/>
                      <w:sz w:val="18"/>
                      <w:szCs w:val="18"/>
                    </w:rPr>
                    <w:t>废弃电器、铅酸蓄电池贮存场地不得有明火。</w:t>
                  </w:r>
                </w:p>
                <w:p>
                  <w:pPr>
                    <w:ind w:firstLine="360" w:firstLineChars="200"/>
                    <w:rPr>
                      <w:rFonts w:eastAsiaTheme="minorEastAsia"/>
                      <w:sz w:val="18"/>
                      <w:szCs w:val="18"/>
                    </w:rPr>
                  </w:pPr>
                  <w:r>
                    <w:rPr>
                      <w:rFonts w:eastAsiaTheme="minorEastAsia"/>
                      <w:sz w:val="18"/>
                      <w:szCs w:val="18"/>
                    </w:rPr>
                    <w:t>容器和装置要防漏和防止酒溅，未引爆安全气囊的贮存装置应防爆，并对其进行日常性检查。</w:t>
                  </w:r>
                </w:p>
                <w:p>
                  <w:pPr>
                    <w:ind w:firstLine="360" w:firstLineChars="200"/>
                    <w:rPr>
                      <w:rFonts w:eastAsiaTheme="minorEastAsia"/>
                      <w:sz w:val="18"/>
                      <w:szCs w:val="18"/>
                    </w:rPr>
                  </w:pPr>
                  <w:r>
                    <w:rPr>
                      <w:rFonts w:eastAsiaTheme="minorEastAsia"/>
                      <w:sz w:val="18"/>
                      <w:szCs w:val="18"/>
                    </w:rPr>
                    <w:t>对拆解后的所有固体废物分类贮存和标识。</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回用件贮存</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1、回用件应分类贮存和标识，存放在封闭或半封闭的贮存场地中。</w:t>
                  </w:r>
                </w:p>
                <w:p>
                  <w:pPr>
                    <w:rPr>
                      <w:rFonts w:eastAsiaTheme="minorEastAsia"/>
                      <w:sz w:val="18"/>
                      <w:szCs w:val="18"/>
                    </w:rPr>
                  </w:pPr>
                  <w:r>
                    <w:rPr>
                      <w:rFonts w:eastAsiaTheme="minorEastAsia"/>
                      <w:sz w:val="18"/>
                      <w:szCs w:val="18"/>
                    </w:rPr>
                    <w:t>2、回用件贮存前应做清洁等处理。</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w:t>
                  </w:r>
                  <w:r>
                    <w:rPr>
                      <w:rFonts w:hint="eastAsia" w:eastAsiaTheme="minorEastAsia"/>
                      <w:sz w:val="18"/>
                      <w:szCs w:val="18"/>
                    </w:rPr>
                    <w:t>设置成品库房</w:t>
                  </w:r>
                  <w:r>
                    <w:rPr>
                      <w:rFonts w:eastAsiaTheme="minorEastAsia"/>
                      <w:sz w:val="18"/>
                      <w:szCs w:val="18"/>
                    </w:rPr>
                    <w:t>，对各类拆解部件、废弃物进行分类分区暂存，并设置功能区标识牌，危险废物暂存区应设置危废识别标志牌及警示标志牌。各类回用件贮存区均位于厂房或者室内；</w:t>
                  </w:r>
                </w:p>
                <w:p>
                  <w:pPr>
                    <w:rPr>
                      <w:rFonts w:eastAsiaTheme="minorEastAsia"/>
                      <w:sz w:val="18"/>
                      <w:szCs w:val="18"/>
                    </w:rPr>
                  </w:pPr>
                  <w:r>
                    <w:rPr>
                      <w:rFonts w:eastAsiaTheme="minorEastAsia"/>
                      <w:sz w:val="18"/>
                      <w:szCs w:val="18"/>
                    </w:rPr>
                    <w:t>2、回用件贮存前经人工通过干抹布简易清扫后分类放置。</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eastAsiaTheme="minorEastAsia"/>
                      <w:sz w:val="18"/>
                      <w:szCs w:val="18"/>
                    </w:rPr>
                  </w:pPr>
                </w:p>
              </w:tc>
              <w:tc>
                <w:tcPr>
                  <w:tcW w:w="436"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动力蓄电池贮存</w:t>
                  </w:r>
                </w:p>
              </w:tc>
              <w:tc>
                <w:tcPr>
                  <w:tcW w:w="2708" w:type="dxa"/>
                  <w:tcBorders>
                    <w:top w:val="single" w:color="auto" w:sz="4" w:space="0"/>
                    <w:left w:val="nil"/>
                    <w:bottom w:val="single" w:color="auto" w:sz="4" w:space="0"/>
                    <w:right w:val="single" w:color="auto" w:sz="4" w:space="0"/>
                  </w:tcBorders>
                  <w:vAlign w:val="center"/>
                </w:tcPr>
                <w:p>
                  <w:pPr>
                    <w:rPr>
                      <w:rFonts w:eastAsiaTheme="minorEastAsia"/>
                      <w:sz w:val="18"/>
                      <w:szCs w:val="18"/>
                    </w:rPr>
                  </w:pPr>
                  <w:r>
                    <w:rPr>
                      <w:rFonts w:eastAsiaTheme="minorEastAsia"/>
                      <w:sz w:val="18"/>
                      <w:szCs w:val="18"/>
                    </w:rPr>
                    <w:t>1、动力蓄电池 的贮存应按照WB/T 1061的贮存要求执行。</w:t>
                  </w:r>
                </w:p>
                <w:p>
                  <w:pPr>
                    <w:rPr>
                      <w:rFonts w:eastAsiaTheme="minorEastAsia"/>
                      <w:sz w:val="18"/>
                      <w:szCs w:val="18"/>
                    </w:rPr>
                  </w:pPr>
                  <w:r>
                    <w:rPr>
                      <w:rFonts w:eastAsiaTheme="minorEastAsia"/>
                      <w:sz w:val="18"/>
                      <w:szCs w:val="18"/>
                    </w:rPr>
                    <w:t>2、动力蓄电池多层贮存时应采取框架结构并确保承重安全，且便于存取。</w:t>
                  </w:r>
                </w:p>
                <w:p>
                  <w:pPr>
                    <w:rPr>
                      <w:rFonts w:eastAsiaTheme="minorEastAsia"/>
                      <w:sz w:val="18"/>
                      <w:szCs w:val="18"/>
                    </w:rPr>
                  </w:pPr>
                  <w:r>
                    <w:rPr>
                      <w:rFonts w:eastAsiaTheme="minorEastAsia"/>
                      <w:sz w:val="18"/>
                      <w:szCs w:val="18"/>
                    </w:rPr>
                    <w:t>3、存在漏电，漏液、破损等安全隐患的动力蓄电池应采取适当方式处理，并隔离存放。</w:t>
                  </w:r>
                </w:p>
              </w:tc>
              <w:tc>
                <w:tcPr>
                  <w:tcW w:w="2909" w:type="dxa"/>
                  <w:tcBorders>
                    <w:top w:val="single" w:color="auto" w:sz="4" w:space="0"/>
                    <w:left w:val="nil"/>
                    <w:bottom w:val="single" w:color="auto" w:sz="4" w:space="0"/>
                    <w:right w:val="single" w:color="auto" w:sz="4" w:space="0"/>
                  </w:tcBorders>
                  <w:vAlign w:val="center"/>
                </w:tcPr>
                <w:p>
                  <w:pPr>
                    <w:rPr>
                      <w:rFonts w:eastAsiaTheme="minorEastAsia"/>
                      <w:kern w:val="0"/>
                      <w:sz w:val="18"/>
                      <w:szCs w:val="18"/>
                    </w:rPr>
                  </w:pPr>
                  <w:r>
                    <w:rPr>
                      <w:rFonts w:eastAsiaTheme="minorEastAsia"/>
                      <w:sz w:val="18"/>
                      <w:szCs w:val="18"/>
                    </w:rPr>
                    <w:t>废蓄电池拆解的过程中要专业人员操作，避免拆解过程中造成废蓄电池的破损；若蓄电池破损有硫酸流出的，一般不要动蓄电池，要将不漏酸的容器和可燃物立即移开，将硫酸从漏酸容器中转移到其它容器中，修补或更换容器。对于泄漏的少量硫酸，可用砂土、煤灰等吸附介质覆盖吸附，搅拌后集中交具有相关危废处理资质的单位进行处理。</w:t>
                  </w:r>
                </w:p>
              </w:tc>
              <w:tc>
                <w:tcPr>
                  <w:tcW w:w="438" w:type="dxa"/>
                  <w:tcBorders>
                    <w:top w:val="single" w:color="auto" w:sz="4" w:space="0"/>
                    <w:left w:val="nil"/>
                    <w:bottom w:val="single" w:color="auto" w:sz="4" w:space="0"/>
                    <w:right w:val="single" w:color="auto" w:sz="4" w:space="0"/>
                  </w:tcBorders>
                  <w:vAlign w:val="center"/>
                </w:tcPr>
                <w:p>
                  <w:pPr>
                    <w:jc w:val="center"/>
                    <w:rPr>
                      <w:rFonts w:eastAsiaTheme="minorEastAsia"/>
                      <w:sz w:val="18"/>
                      <w:szCs w:val="18"/>
                    </w:rPr>
                  </w:pPr>
                  <w:r>
                    <w:rPr>
                      <w:rFonts w:eastAsiaTheme="minorEastAsia"/>
                      <w:sz w:val="18"/>
                      <w:szCs w:val="18"/>
                    </w:rPr>
                    <w:t>符合</w:t>
                  </w:r>
                </w:p>
              </w:tc>
            </w:tr>
          </w:tbl>
          <w:p>
            <w:pPr>
              <w:adjustRightInd w:val="0"/>
              <w:snapToGrid w:val="0"/>
              <w:spacing w:line="460" w:lineRule="exact"/>
              <w:ind w:firstLine="522"/>
              <w:rPr>
                <w:sz w:val="24"/>
              </w:rPr>
            </w:pPr>
            <w:r>
              <w:rPr>
                <w:rFonts w:ascii="宋体" w:hAnsi="宋体"/>
                <w:sz w:val="24"/>
              </w:rPr>
              <w:t>通过上表分析可知，</w:t>
            </w:r>
            <w:r>
              <w:rPr>
                <w:rFonts w:hint="eastAsia" w:ascii="宋体" w:hAnsi="宋体"/>
                <w:sz w:val="24"/>
              </w:rPr>
              <w:t>本项目</w:t>
            </w:r>
            <w:r>
              <w:rPr>
                <w:rFonts w:ascii="宋体" w:hAnsi="宋体"/>
                <w:sz w:val="24"/>
              </w:rPr>
              <w:t>符合《报废机动车拆解环境保护技术规范》（</w:t>
            </w:r>
            <w:r>
              <w:rPr>
                <w:sz w:val="24"/>
              </w:rPr>
              <w:t>HJ348-2019</w:t>
            </w:r>
            <w:r>
              <w:rPr>
                <w:rFonts w:ascii="宋体" w:hAnsi="宋体"/>
                <w:sz w:val="24"/>
              </w:rPr>
              <w:t>）的相关规定及要求。</w:t>
            </w:r>
          </w:p>
          <w:p>
            <w:pPr>
              <w:keepNext/>
              <w:keepLines/>
              <w:spacing w:before="120" w:after="120" w:line="360" w:lineRule="auto"/>
              <w:outlineLvl w:val="2"/>
              <w:rPr>
                <w:b/>
                <w:sz w:val="24"/>
              </w:rPr>
            </w:pPr>
            <w:r>
              <w:rPr>
                <w:b/>
                <w:sz w:val="24"/>
              </w:rPr>
              <w:t>1.2.8</w:t>
            </w:r>
            <w:r>
              <w:rPr>
                <w:rFonts w:ascii="宋体" w:hAnsi="宋体"/>
                <w:b/>
                <w:sz w:val="24"/>
              </w:rPr>
              <w:t>与《报废机动车回收管理办法》（</w:t>
            </w:r>
            <w:r>
              <w:rPr>
                <w:b/>
                <w:sz w:val="24"/>
              </w:rPr>
              <w:t>2019</w:t>
            </w:r>
            <w:r>
              <w:rPr>
                <w:rFonts w:ascii="宋体" w:hAnsi="宋体"/>
                <w:b/>
                <w:sz w:val="24"/>
              </w:rPr>
              <w:t>年</w:t>
            </w:r>
            <w:r>
              <w:rPr>
                <w:b/>
                <w:sz w:val="24"/>
              </w:rPr>
              <w:t>6</w:t>
            </w:r>
            <w:r>
              <w:rPr>
                <w:rFonts w:ascii="宋体" w:hAnsi="宋体"/>
                <w:b/>
                <w:sz w:val="24"/>
              </w:rPr>
              <w:t>月</w:t>
            </w:r>
            <w:r>
              <w:rPr>
                <w:b/>
                <w:sz w:val="24"/>
              </w:rPr>
              <w:t>1</w:t>
            </w:r>
            <w:r>
              <w:rPr>
                <w:rFonts w:ascii="宋体" w:hAnsi="宋体"/>
                <w:b/>
                <w:sz w:val="24"/>
              </w:rPr>
              <w:t>日）符合性分析</w:t>
            </w:r>
          </w:p>
          <w:p>
            <w:pPr>
              <w:adjustRightInd w:val="0"/>
              <w:spacing w:line="360" w:lineRule="auto"/>
              <w:ind w:firstLine="480" w:firstLineChars="200"/>
              <w:contextualSpacing/>
              <w:rPr>
                <w:sz w:val="24"/>
              </w:rPr>
            </w:pPr>
            <w:r>
              <w:rPr>
                <w:rFonts w:ascii="宋体" w:hAnsi="宋体"/>
                <w:sz w:val="24"/>
              </w:rPr>
              <w:t>根据《报废机动车回收管理办法》中的相关规定及要求，本评价摘录与企业、环保相关的进行分析，详见表</w:t>
            </w:r>
            <w:r>
              <w:rPr>
                <w:sz w:val="24"/>
              </w:rPr>
              <w:t>1.2.8-1</w:t>
            </w:r>
            <w:r>
              <w:rPr>
                <w:rFonts w:ascii="宋体" w:hAnsi="宋体"/>
                <w:sz w:val="24"/>
              </w:rPr>
              <w:t>。</w:t>
            </w:r>
          </w:p>
          <w:p>
            <w:pPr>
              <w:jc w:val="center"/>
              <w:rPr>
                <w:sz w:val="18"/>
                <w:szCs w:val="18"/>
              </w:rPr>
            </w:pPr>
            <w:r>
              <w:rPr>
                <w:rFonts w:ascii="宋体" w:hAnsi="宋体"/>
                <w:sz w:val="18"/>
                <w:szCs w:val="18"/>
              </w:rPr>
              <w:t>表</w:t>
            </w:r>
            <w:r>
              <w:rPr>
                <w:sz w:val="18"/>
                <w:szCs w:val="18"/>
              </w:rPr>
              <w:t xml:space="preserve">1.2.8-1 </w:t>
            </w:r>
            <w:r>
              <w:rPr>
                <w:rFonts w:ascii="宋体" w:hAnsi="宋体"/>
                <w:sz w:val="18"/>
                <w:szCs w:val="18"/>
              </w:rPr>
              <w:t>项目与《报废机动车回收管理办法》</w:t>
            </w:r>
            <w:r>
              <w:rPr>
                <w:sz w:val="18"/>
                <w:szCs w:val="18"/>
              </w:rPr>
              <w:t xml:space="preserve"> 符合性分析</w:t>
            </w:r>
          </w:p>
          <w:tbl>
            <w:tblPr>
              <w:tblStyle w:val="21"/>
              <w:tblW w:w="69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515"/>
              <w:gridCol w:w="3557"/>
              <w:gridCol w:w="1818"/>
              <w:gridCol w:w="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ascii="宋体" w:hAnsi="宋体"/>
                      <w:sz w:val="18"/>
                      <w:szCs w:val="18"/>
                    </w:rPr>
                    <w:t>类别</w:t>
                  </w:r>
                </w:p>
              </w:tc>
              <w:tc>
                <w:tcPr>
                  <w:tcW w:w="4072" w:type="dxa"/>
                  <w:gridSpan w:val="2"/>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具体要求</w:t>
                  </w:r>
                </w:p>
              </w:tc>
              <w:tc>
                <w:tcPr>
                  <w:tcW w:w="1818"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项目情况</w:t>
                  </w:r>
                </w:p>
              </w:tc>
              <w:tc>
                <w:tcPr>
                  <w:tcW w:w="444"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vMerge w:val="restart"/>
                  <w:tcBorders>
                    <w:top w:val="nil"/>
                    <w:left w:val="single" w:color="auto" w:sz="4" w:space="0"/>
                    <w:bottom w:val="single" w:color="auto" w:sz="4" w:space="0"/>
                    <w:right w:val="single" w:color="auto" w:sz="4" w:space="0"/>
                  </w:tcBorders>
                  <w:vAlign w:val="center"/>
                </w:tcPr>
                <w:p>
                  <w:pPr>
                    <w:rPr>
                      <w:sz w:val="18"/>
                      <w:szCs w:val="18"/>
                    </w:rPr>
                  </w:pPr>
                  <w:r>
                    <w:rPr>
                      <w:rFonts w:ascii="宋体" w:hAnsi="宋体"/>
                      <w:sz w:val="18"/>
                      <w:szCs w:val="18"/>
                    </w:rPr>
                    <w:t>企业要求</w:t>
                  </w:r>
                </w:p>
              </w:tc>
              <w:tc>
                <w:tcPr>
                  <w:tcW w:w="515"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第五条</w:t>
                  </w:r>
                </w:p>
              </w:tc>
              <w:tc>
                <w:tcPr>
                  <w:tcW w:w="3557"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国家对报废机动车回收企业实行资质认定制度。未经资质认定，任何单位或者个人不得从事报废机动车回收活动。</w:t>
                  </w:r>
                </w:p>
                <w:p>
                  <w:pPr>
                    <w:rPr>
                      <w:sz w:val="18"/>
                      <w:szCs w:val="18"/>
                    </w:rPr>
                  </w:pPr>
                  <w:r>
                    <w:rPr>
                      <w:rFonts w:ascii="宋体" w:hAnsi="宋体"/>
                      <w:sz w:val="18"/>
                      <w:szCs w:val="18"/>
                    </w:rPr>
                    <w:t>国家鼓励机动车生产企业从事报废机动车回收活动。机动车生产企业按照国家有关规定承担生产者责任。</w:t>
                  </w:r>
                </w:p>
              </w:tc>
              <w:tc>
                <w:tcPr>
                  <w:tcW w:w="1818"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企业资质由环评手续完善后进行资质申报。</w:t>
                  </w:r>
                </w:p>
              </w:tc>
              <w:tc>
                <w:tcPr>
                  <w:tcW w:w="444"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vMerge w:val="continue"/>
                  <w:tcBorders>
                    <w:top w:val="nil"/>
                    <w:left w:val="single" w:color="auto" w:sz="4" w:space="0"/>
                    <w:bottom w:val="single" w:color="auto" w:sz="4" w:space="0"/>
                    <w:right w:val="single" w:color="auto" w:sz="4" w:space="0"/>
                  </w:tcBorders>
                  <w:vAlign w:val="center"/>
                </w:tcPr>
                <w:p>
                  <w:pPr>
                    <w:widowControl/>
                    <w:jc w:val="left"/>
                    <w:rPr>
                      <w:sz w:val="18"/>
                      <w:szCs w:val="18"/>
                    </w:rPr>
                  </w:pPr>
                </w:p>
              </w:tc>
              <w:tc>
                <w:tcPr>
                  <w:tcW w:w="515"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第七条</w:t>
                  </w:r>
                </w:p>
              </w:tc>
              <w:tc>
                <w:tcPr>
                  <w:tcW w:w="3557"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第七条</w:t>
                  </w:r>
                  <w:r>
                    <w:rPr>
                      <w:rFonts w:hint="eastAsia" w:ascii="宋体" w:hAnsi="宋体"/>
                      <w:sz w:val="18"/>
                      <w:szCs w:val="18"/>
                    </w:rPr>
                    <w:t xml:space="preserve"> </w:t>
                  </w:r>
                  <w:r>
                    <w:rPr>
                      <w:rFonts w:ascii="宋体" w:hAnsi="宋体"/>
                      <w:sz w:val="18"/>
                      <w:szCs w:val="18"/>
                    </w:rPr>
                    <w:t>拟从事报废机动车回收活动的，应当向省、自治区、直辖市人民政府负责报废机动车回收管理的部门提出申请。</w:t>
                  </w:r>
                </w:p>
              </w:tc>
              <w:tc>
                <w:tcPr>
                  <w:tcW w:w="1818"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企业资质由环评手续完善后进行资质申报</w:t>
                  </w:r>
                </w:p>
              </w:tc>
              <w:tc>
                <w:tcPr>
                  <w:tcW w:w="444"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vMerge w:val="continue"/>
                  <w:tcBorders>
                    <w:top w:val="nil"/>
                    <w:left w:val="single" w:color="auto" w:sz="4" w:space="0"/>
                    <w:bottom w:val="single" w:color="auto" w:sz="4" w:space="0"/>
                    <w:right w:val="single" w:color="auto" w:sz="4" w:space="0"/>
                  </w:tcBorders>
                  <w:vAlign w:val="center"/>
                </w:tcPr>
                <w:p>
                  <w:pPr>
                    <w:widowControl/>
                    <w:jc w:val="left"/>
                    <w:rPr>
                      <w:sz w:val="18"/>
                      <w:szCs w:val="18"/>
                    </w:rPr>
                  </w:pPr>
                </w:p>
              </w:tc>
              <w:tc>
                <w:tcPr>
                  <w:tcW w:w="515"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第九条</w:t>
                  </w:r>
                </w:p>
              </w:tc>
              <w:tc>
                <w:tcPr>
                  <w:tcW w:w="3557"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p>
                  <w:pPr>
                    <w:rPr>
                      <w:sz w:val="18"/>
                      <w:szCs w:val="18"/>
                    </w:rPr>
                  </w:pPr>
                  <w:r>
                    <w:rPr>
                      <w:rFonts w:ascii="宋体" w:hAnsi="宋体"/>
                      <w:sz w:val="18"/>
                      <w:szCs w:val="18"/>
                    </w:rPr>
                    <w:t>《报废机动车回收证明》样式由国务院负责报废机动车回收管理的部门规定。任何单位或者个人不得买卖或者伪造、变造《报废机动车回收证明》。</w:t>
                  </w:r>
                </w:p>
              </w:tc>
              <w:tc>
                <w:tcPr>
                  <w:tcW w:w="1818"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项目运行时严格按照要求出具《报废机动车回收证明》，收回机动车登记证书、号牌、行驶证，并按照国家有关规定及时向公安机关交通管理部门办理注销登记，将注销证明转交机动车所有人。</w:t>
                  </w:r>
                </w:p>
              </w:tc>
              <w:tc>
                <w:tcPr>
                  <w:tcW w:w="444"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vMerge w:val="continue"/>
                  <w:tcBorders>
                    <w:top w:val="nil"/>
                    <w:left w:val="single" w:color="auto" w:sz="4" w:space="0"/>
                    <w:bottom w:val="single" w:color="auto" w:sz="4" w:space="0"/>
                    <w:right w:val="single" w:color="auto" w:sz="4" w:space="0"/>
                  </w:tcBorders>
                  <w:vAlign w:val="center"/>
                </w:tcPr>
                <w:p>
                  <w:pPr>
                    <w:widowControl/>
                    <w:jc w:val="left"/>
                    <w:rPr>
                      <w:sz w:val="18"/>
                      <w:szCs w:val="18"/>
                    </w:rPr>
                  </w:pPr>
                </w:p>
              </w:tc>
              <w:tc>
                <w:tcPr>
                  <w:tcW w:w="515"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第十条</w:t>
                  </w:r>
                </w:p>
              </w:tc>
              <w:tc>
                <w:tcPr>
                  <w:tcW w:w="3557"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报废机动车回收企业不得拆解、改装、拼装、倒卖疑似赃物或者犯罪工具的机动车或者其发动机、方向机、变速器、前后桥、车架（以下统称</w:t>
                  </w:r>
                  <w:r>
                    <w:rPr>
                      <w:sz w:val="18"/>
                      <w:szCs w:val="18"/>
                    </w:rPr>
                    <w:t>“</w:t>
                  </w:r>
                  <w:r>
                    <w:rPr>
                      <w:rFonts w:ascii="宋体" w:hAnsi="宋体"/>
                      <w:sz w:val="18"/>
                      <w:szCs w:val="18"/>
                    </w:rPr>
                    <w:t>五大总成</w:t>
                  </w:r>
                  <w:r>
                    <w:rPr>
                      <w:sz w:val="18"/>
                      <w:szCs w:val="18"/>
                    </w:rPr>
                    <w:t>”</w:t>
                  </w:r>
                  <w:r>
                    <w:rPr>
                      <w:rFonts w:ascii="宋体" w:hAnsi="宋体"/>
                      <w:sz w:val="18"/>
                      <w:szCs w:val="18"/>
                    </w:rPr>
                    <w:t>）和其他零部件。</w:t>
                  </w:r>
                </w:p>
              </w:tc>
              <w:tc>
                <w:tcPr>
                  <w:tcW w:w="1818"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项目建设单位按要求进行拆解，如实登记</w:t>
                  </w:r>
                  <w:r>
                    <w:rPr>
                      <w:sz w:val="18"/>
                      <w:szCs w:val="18"/>
                    </w:rPr>
                    <w:t>“</w:t>
                  </w:r>
                  <w:r>
                    <w:rPr>
                      <w:rFonts w:ascii="宋体" w:hAnsi="宋体"/>
                      <w:sz w:val="18"/>
                      <w:szCs w:val="18"/>
                    </w:rPr>
                    <w:t>五大总成</w:t>
                  </w:r>
                  <w:r>
                    <w:rPr>
                      <w:sz w:val="18"/>
                      <w:szCs w:val="18"/>
                    </w:rPr>
                    <w:t>”</w:t>
                  </w:r>
                  <w:r>
                    <w:rPr>
                      <w:rFonts w:ascii="宋体" w:hAnsi="宋体"/>
                      <w:sz w:val="18"/>
                      <w:szCs w:val="18"/>
                    </w:rPr>
                    <w:t>等主要部件的流向、数量、型号等。</w:t>
                  </w:r>
                </w:p>
              </w:tc>
              <w:tc>
                <w:tcPr>
                  <w:tcW w:w="444"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89" w:type="dxa"/>
                  <w:vMerge w:val="continue"/>
                  <w:tcBorders>
                    <w:top w:val="nil"/>
                    <w:left w:val="single" w:color="auto" w:sz="4" w:space="0"/>
                    <w:bottom w:val="single" w:color="auto" w:sz="4" w:space="0"/>
                    <w:right w:val="single" w:color="auto" w:sz="4" w:space="0"/>
                  </w:tcBorders>
                  <w:vAlign w:val="center"/>
                </w:tcPr>
                <w:p>
                  <w:pPr>
                    <w:widowControl/>
                    <w:jc w:val="left"/>
                    <w:rPr>
                      <w:sz w:val="18"/>
                      <w:szCs w:val="18"/>
                    </w:rPr>
                  </w:pPr>
                </w:p>
              </w:tc>
              <w:tc>
                <w:tcPr>
                  <w:tcW w:w="515"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第十三条</w:t>
                  </w:r>
                </w:p>
              </w:tc>
              <w:tc>
                <w:tcPr>
                  <w:tcW w:w="3557"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报废机动车回收企业应当如实记录本企业回收的报废机动车</w:t>
                  </w:r>
                  <w:r>
                    <w:rPr>
                      <w:sz w:val="18"/>
                      <w:szCs w:val="18"/>
                    </w:rPr>
                    <w:t>“</w:t>
                  </w:r>
                  <w:r>
                    <w:rPr>
                      <w:rFonts w:ascii="宋体" w:hAnsi="宋体"/>
                      <w:sz w:val="18"/>
                      <w:szCs w:val="18"/>
                    </w:rPr>
                    <w:t>五大总成</w:t>
                  </w:r>
                  <w:r>
                    <w:rPr>
                      <w:sz w:val="18"/>
                      <w:szCs w:val="18"/>
                    </w:rPr>
                    <w:t>”</w:t>
                  </w:r>
                  <w:r>
                    <w:rPr>
                      <w:rFonts w:ascii="宋体" w:hAnsi="宋体"/>
                      <w:sz w:val="18"/>
                      <w:szCs w:val="18"/>
                    </w:rPr>
                    <w:t>等主要部件的数量、型号、流向等信息，并上传至报废机动车回收信息系统。</w:t>
                  </w:r>
                </w:p>
              </w:tc>
              <w:tc>
                <w:tcPr>
                  <w:tcW w:w="1818" w:type="dxa"/>
                  <w:tcBorders>
                    <w:top w:val="single" w:color="auto" w:sz="4" w:space="0"/>
                    <w:left w:val="nil"/>
                    <w:bottom w:val="single" w:color="auto" w:sz="4" w:space="0"/>
                    <w:right w:val="single" w:color="auto" w:sz="4" w:space="0"/>
                  </w:tcBorders>
                  <w:vAlign w:val="center"/>
                </w:tcPr>
                <w:p>
                  <w:pPr>
                    <w:rPr>
                      <w:sz w:val="18"/>
                      <w:szCs w:val="18"/>
                    </w:rPr>
                  </w:pPr>
                  <w:r>
                    <w:rPr>
                      <w:rFonts w:ascii="宋体" w:hAnsi="宋体"/>
                      <w:sz w:val="18"/>
                      <w:szCs w:val="18"/>
                    </w:rPr>
                    <w:t>项目建设单位按要求如实登记</w:t>
                  </w:r>
                  <w:r>
                    <w:rPr>
                      <w:sz w:val="18"/>
                      <w:szCs w:val="18"/>
                    </w:rPr>
                    <w:t>“</w:t>
                  </w:r>
                  <w:r>
                    <w:rPr>
                      <w:rFonts w:ascii="宋体" w:hAnsi="宋体"/>
                      <w:sz w:val="18"/>
                      <w:szCs w:val="18"/>
                    </w:rPr>
                    <w:t>五大总成</w:t>
                  </w:r>
                  <w:r>
                    <w:rPr>
                      <w:sz w:val="18"/>
                      <w:szCs w:val="18"/>
                    </w:rPr>
                    <w:t>”</w:t>
                  </w:r>
                  <w:r>
                    <w:rPr>
                      <w:rFonts w:ascii="宋体" w:hAnsi="宋体"/>
                      <w:sz w:val="18"/>
                      <w:szCs w:val="18"/>
                    </w:rPr>
                    <w:t>等主要部件的流向、数量、型号等。</w:t>
                  </w:r>
                </w:p>
              </w:tc>
              <w:tc>
                <w:tcPr>
                  <w:tcW w:w="444" w:type="dxa"/>
                  <w:tcBorders>
                    <w:top w:val="single" w:color="auto" w:sz="4" w:space="0"/>
                    <w:left w:val="nil"/>
                    <w:bottom w:val="single" w:color="auto" w:sz="4" w:space="0"/>
                    <w:right w:val="single" w:color="auto" w:sz="4" w:space="0"/>
                  </w:tcBorders>
                  <w:vAlign w:val="center"/>
                </w:tcPr>
                <w:p>
                  <w:pPr>
                    <w:jc w:val="center"/>
                    <w:rPr>
                      <w:sz w:val="18"/>
                      <w:szCs w:val="18"/>
                    </w:rPr>
                  </w:pPr>
                  <w:r>
                    <w:rPr>
                      <w:rFonts w:ascii="宋体" w:hAnsi="宋体"/>
                      <w:sz w:val="18"/>
                      <w:szCs w:val="18"/>
                    </w:rPr>
                    <w:t>符合</w:t>
                  </w:r>
                </w:p>
              </w:tc>
            </w:tr>
          </w:tbl>
          <w:p>
            <w:pPr>
              <w:spacing w:line="360" w:lineRule="auto"/>
              <w:ind w:firstLine="480" w:firstLineChars="200"/>
              <w:rPr>
                <w:sz w:val="24"/>
              </w:rPr>
            </w:pPr>
            <w:r>
              <w:rPr>
                <w:rFonts w:ascii="宋体" w:hAnsi="宋体"/>
                <w:sz w:val="24"/>
              </w:rPr>
              <w:t>通过上表分析可知，</w:t>
            </w:r>
            <w:r>
              <w:rPr>
                <w:rFonts w:hint="eastAsia" w:ascii="宋体" w:hAnsi="宋体"/>
                <w:sz w:val="24"/>
              </w:rPr>
              <w:t>本项目</w:t>
            </w:r>
            <w:r>
              <w:rPr>
                <w:rFonts w:ascii="宋体" w:hAnsi="宋体"/>
                <w:sz w:val="24"/>
              </w:rPr>
              <w:t>营运期应按照《报废机动车回收管理办法》</w:t>
            </w:r>
            <w:r>
              <w:rPr>
                <w:sz w:val="24"/>
              </w:rPr>
              <w:t>进行报废机动车回收，项目严格按照《报废机动车回收管理办法》的相关规定及要求进行拆解和回收。</w:t>
            </w:r>
          </w:p>
          <w:p>
            <w:pPr>
              <w:spacing w:line="440" w:lineRule="exact"/>
              <w:ind w:firstLine="480" w:firstLineChars="200"/>
              <w:rPr>
                <w:kern w:val="0"/>
                <w:sz w:val="24"/>
              </w:rPr>
            </w:pPr>
          </w:p>
          <w:p>
            <w:pPr>
              <w:spacing w:line="440" w:lineRule="exact"/>
              <w:ind w:firstLine="480" w:firstLineChars="200"/>
              <w:rPr>
                <w:kern w:val="0"/>
                <w:sz w:val="24"/>
              </w:rPr>
            </w:pPr>
          </w:p>
          <w:p>
            <w:pPr>
              <w:spacing w:line="440" w:lineRule="exact"/>
              <w:ind w:firstLine="480" w:firstLineChars="200"/>
              <w:rPr>
                <w:sz w:val="24"/>
              </w:rPr>
            </w:pPr>
          </w:p>
        </w:tc>
      </w:tr>
    </w:tbl>
    <w:p>
      <w:pPr>
        <w:spacing w:line="360" w:lineRule="auto"/>
        <w:outlineLvl w:val="0"/>
        <w:rPr>
          <w:rFonts w:eastAsia="黑体"/>
          <w:sz w:val="30"/>
        </w:rPr>
        <w:sectPr>
          <w:footerReference r:id="rId5" w:type="default"/>
          <w:pgSz w:w="11906" w:h="16838"/>
          <w:pgMar w:top="1701" w:right="1531" w:bottom="1701" w:left="1531" w:header="851" w:footer="1077" w:gutter="0"/>
          <w:cols w:space="720" w:num="1"/>
          <w:docGrid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3" w:type="dxa"/>
            <w:vAlign w:val="center"/>
          </w:tcPr>
          <w:p>
            <w:pPr>
              <w:pStyle w:val="18"/>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161" w:type="dxa"/>
          </w:tcPr>
          <w:p>
            <w:pPr>
              <w:pStyle w:val="2"/>
              <w:spacing w:after="120"/>
              <w:rPr>
                <w:rFonts w:eastAsiaTheme="majorEastAsia"/>
                <w:color w:val="auto"/>
                <w:sz w:val="24"/>
                <w:szCs w:val="24"/>
              </w:rPr>
            </w:pPr>
            <w:r>
              <w:rPr>
                <w:rFonts w:eastAsiaTheme="majorEastAsia"/>
                <w:color w:val="auto"/>
                <w:sz w:val="24"/>
                <w:szCs w:val="24"/>
              </w:rPr>
              <w:t>2.1建设内容</w:t>
            </w:r>
          </w:p>
          <w:p>
            <w:pPr>
              <w:pStyle w:val="2"/>
              <w:spacing w:after="120"/>
              <w:rPr>
                <w:rFonts w:eastAsiaTheme="majorEastAsia"/>
                <w:color w:val="auto"/>
                <w:sz w:val="24"/>
                <w:szCs w:val="24"/>
              </w:rPr>
            </w:pPr>
            <w:r>
              <w:rPr>
                <w:rFonts w:eastAsiaTheme="majorEastAsia"/>
                <w:color w:val="auto"/>
                <w:sz w:val="24"/>
                <w:szCs w:val="24"/>
              </w:rPr>
              <w:t>2.1.1项目基本情况</w:t>
            </w:r>
          </w:p>
          <w:p>
            <w:pPr>
              <w:spacing w:line="480" w:lineRule="exact"/>
              <w:ind w:firstLine="480" w:firstLineChars="200"/>
              <w:rPr>
                <w:sz w:val="24"/>
              </w:rPr>
            </w:pPr>
            <w:r>
              <w:rPr>
                <w:sz w:val="24"/>
              </w:rPr>
              <w:t>项目名称：重庆集健再生资源有限责任公司报废机动车回收拆解再利用项目</w:t>
            </w:r>
          </w:p>
          <w:p>
            <w:pPr>
              <w:spacing w:line="480" w:lineRule="exact"/>
              <w:ind w:firstLine="480" w:firstLineChars="200"/>
              <w:rPr>
                <w:sz w:val="24"/>
              </w:rPr>
            </w:pPr>
            <w:r>
              <w:rPr>
                <w:sz w:val="24"/>
              </w:rPr>
              <w:t>建设单位：重庆集健再生资源回收有限责任公司</w:t>
            </w:r>
          </w:p>
          <w:p>
            <w:pPr>
              <w:spacing w:line="480" w:lineRule="exact"/>
              <w:ind w:firstLine="480" w:firstLineChars="200"/>
              <w:rPr>
                <w:sz w:val="24"/>
              </w:rPr>
            </w:pPr>
            <w:r>
              <w:rPr>
                <w:sz w:val="24"/>
              </w:rPr>
              <w:t>建设地点：</w:t>
            </w:r>
            <w:r>
              <w:rPr>
                <w:rFonts w:hint="eastAsia"/>
                <w:sz w:val="24"/>
              </w:rPr>
              <w:t>重庆市大足区邮亭镇工业园区A7-01/01地块</w:t>
            </w:r>
          </w:p>
          <w:p>
            <w:pPr>
              <w:spacing w:line="480" w:lineRule="exact"/>
              <w:ind w:firstLine="480" w:firstLineChars="200"/>
              <w:rPr>
                <w:sz w:val="24"/>
              </w:rPr>
            </w:pPr>
            <w:r>
              <w:rPr>
                <w:sz w:val="24"/>
              </w:rPr>
              <w:t>建设性质：</w:t>
            </w:r>
            <w:r>
              <w:rPr>
                <w:rFonts w:hint="eastAsia"/>
                <w:sz w:val="24"/>
              </w:rPr>
              <w:t>新建</w:t>
            </w:r>
          </w:p>
          <w:p>
            <w:pPr>
              <w:spacing w:line="480" w:lineRule="exact"/>
              <w:ind w:firstLine="480" w:firstLineChars="200"/>
              <w:rPr>
                <w:sz w:val="24"/>
                <w:vertAlign w:val="superscript"/>
              </w:rPr>
            </w:pPr>
            <w:r>
              <w:rPr>
                <w:rFonts w:hint="eastAsia"/>
                <w:sz w:val="24"/>
              </w:rPr>
              <w:t>占地面积：20</w:t>
            </w:r>
            <w:r>
              <w:rPr>
                <w:sz w:val="24"/>
              </w:rPr>
              <w:t>000m</w:t>
            </w:r>
            <w:r>
              <w:rPr>
                <w:sz w:val="24"/>
                <w:vertAlign w:val="superscript"/>
              </w:rPr>
              <w:t>2</w:t>
            </w:r>
          </w:p>
          <w:p>
            <w:pPr>
              <w:spacing w:line="480" w:lineRule="exact"/>
              <w:ind w:firstLine="480" w:firstLineChars="200"/>
              <w:rPr>
                <w:sz w:val="24"/>
                <w:vertAlign w:val="superscript"/>
              </w:rPr>
            </w:pPr>
            <w:r>
              <w:rPr>
                <w:sz w:val="24"/>
              </w:rPr>
              <w:t>建筑面积：12000m</w:t>
            </w:r>
            <w:r>
              <w:rPr>
                <w:sz w:val="24"/>
                <w:vertAlign w:val="superscript"/>
              </w:rPr>
              <w:t>2</w:t>
            </w:r>
          </w:p>
          <w:p>
            <w:pPr>
              <w:pStyle w:val="55"/>
              <w:spacing w:line="480" w:lineRule="exact"/>
              <w:ind w:firstLine="480"/>
              <w:rPr>
                <w:b/>
              </w:rPr>
            </w:pPr>
            <w:r>
              <w:t>工程投资：</w:t>
            </w:r>
            <w:r>
              <w:rPr>
                <w:rFonts w:hint="eastAsia"/>
              </w:rPr>
              <w:t>20000</w:t>
            </w:r>
            <w:r>
              <w:t>万元</w:t>
            </w:r>
            <w:r>
              <w:rPr>
                <w:rFonts w:hint="eastAsia"/>
              </w:rPr>
              <w:t>（其中包括环保投资1</w:t>
            </w:r>
            <w:r>
              <w:t>00</w:t>
            </w:r>
            <w:r>
              <w:rPr>
                <w:rFonts w:hint="eastAsia"/>
              </w:rPr>
              <w:t>万元）</w:t>
            </w:r>
          </w:p>
          <w:p>
            <w:pPr>
              <w:pStyle w:val="55"/>
              <w:spacing w:line="480" w:lineRule="exact"/>
              <w:ind w:firstLine="0" w:firstLineChars="0"/>
              <w:rPr>
                <w:b/>
              </w:rPr>
            </w:pPr>
            <w:r>
              <w:rPr>
                <w:b/>
              </w:rPr>
              <w:t>2.1.</w:t>
            </w:r>
            <w:r>
              <w:rPr>
                <w:rFonts w:hint="eastAsia"/>
                <w:b/>
              </w:rPr>
              <w:t>2</w:t>
            </w:r>
            <w:r>
              <w:rPr>
                <w:b/>
              </w:rPr>
              <w:t>项目建设内容及组成</w:t>
            </w:r>
          </w:p>
          <w:p>
            <w:pPr>
              <w:spacing w:line="480" w:lineRule="exact"/>
              <w:ind w:firstLine="480" w:firstLineChars="200"/>
              <w:rPr>
                <w:sz w:val="24"/>
              </w:rPr>
            </w:pPr>
            <w:r>
              <w:rPr>
                <w:sz w:val="24"/>
              </w:rPr>
              <w:t>重庆集健再生资源回收有限责任公司</w:t>
            </w:r>
            <w:r>
              <w:rPr>
                <w:rFonts w:hint="eastAsia"/>
                <w:sz w:val="24"/>
              </w:rPr>
              <w:t>拟投资20000万元在重庆市大足区邮亭镇工业园区A7-01/01地块新购置土地建设</w:t>
            </w:r>
            <w:r>
              <w:rPr>
                <w:sz w:val="24"/>
              </w:rPr>
              <w:t>重庆集健再生资源有限责任公司报废机动车回收拆解再利用项目</w:t>
            </w:r>
            <w:r>
              <w:rPr>
                <w:rFonts w:hint="eastAsia"/>
                <w:sz w:val="24"/>
              </w:rPr>
              <w:t>。主要建设一栋拆解车间和一栋破碎车间，在拆解车间内布设三条机动车拆解线（新能源汽车拆解生产线、燃油大车拆解生产线和燃油小车精细化流水式拆解生产线，部分共线）以及在破碎车间建设一条破碎生产线，办公楼、库房等公辅设施和环保措施等。项目建成后可达到年拆解30000辆报废机动车。另外，根据业主提供资料，报废汽车主要来源于大足区及周边区县，最后具体范围由商委统筹规划。拟建项目仅接收一般性质使用车辆的拆解，不接收槽罐车、危险化学品运输车等特殊装备车辆。企业主要是接收或收购达到国家机动车强制报废标准的机动车进行拆解（不对拆解下的零部件进行精细拆解及清洗，也不涉及废油加工）。</w:t>
            </w:r>
          </w:p>
          <w:p>
            <w:pPr>
              <w:spacing w:line="480" w:lineRule="exact"/>
              <w:ind w:firstLine="480" w:firstLineChars="200"/>
              <w:rPr>
                <w:sz w:val="24"/>
              </w:rPr>
            </w:pPr>
            <w:r>
              <w:rPr>
                <w:rFonts w:hint="eastAsia"/>
                <w:sz w:val="24"/>
              </w:rPr>
              <w:t>拟建</w:t>
            </w:r>
            <w:r>
              <w:rPr>
                <w:sz w:val="24"/>
              </w:rPr>
              <w:t>项目组成详见下表</w:t>
            </w:r>
            <w:r>
              <w:rPr>
                <w:rFonts w:hint="eastAsia"/>
                <w:sz w:val="24"/>
              </w:rPr>
              <w:t>2.1.2</w:t>
            </w:r>
            <w:r>
              <w:rPr>
                <w:sz w:val="24"/>
              </w:rPr>
              <w:t>-</w:t>
            </w:r>
            <w:r>
              <w:rPr>
                <w:rFonts w:hint="eastAsia"/>
                <w:sz w:val="24"/>
              </w:rPr>
              <w:t>1</w:t>
            </w:r>
            <w:r>
              <w:rPr>
                <w:sz w:val="24"/>
              </w:rPr>
              <w:t>。</w:t>
            </w:r>
          </w:p>
          <w:p>
            <w:pPr>
              <w:spacing w:line="460" w:lineRule="exact"/>
              <w:jc w:val="center"/>
              <w:rPr>
                <w:sz w:val="18"/>
                <w:szCs w:val="18"/>
              </w:rPr>
            </w:pPr>
            <w:r>
              <w:rPr>
                <w:sz w:val="18"/>
                <w:szCs w:val="18"/>
              </w:rPr>
              <w:t>表</w:t>
            </w:r>
            <w:r>
              <w:rPr>
                <w:rFonts w:hint="eastAsia"/>
                <w:sz w:val="18"/>
                <w:szCs w:val="18"/>
              </w:rPr>
              <w:t>2.1.2-1拟建</w:t>
            </w:r>
            <w:r>
              <w:rPr>
                <w:sz w:val="18"/>
                <w:szCs w:val="18"/>
              </w:rPr>
              <w:t>项目组成一览表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40"/>
              <w:gridCol w:w="574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类别</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组成</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主要建设内容和规模</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17" w:type="pct"/>
                  <w:vMerge w:val="restart"/>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主体工程</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拆解车间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sz w:val="18"/>
                      <w:szCs w:val="18"/>
                    </w:rPr>
                  </w:pPr>
                  <w:r>
                    <w:rPr>
                      <w:rFonts w:hint="eastAsia" w:ascii="Times New Roman"/>
                      <w:sz w:val="18"/>
                      <w:szCs w:val="18"/>
                    </w:rPr>
                    <w:t>位于厂区南侧，共1F，高12m，</w:t>
                  </w:r>
                  <w:r>
                    <w:rPr>
                      <w:rFonts w:ascii="Times New Roman"/>
                      <w:sz w:val="18"/>
                      <w:szCs w:val="18"/>
                    </w:rPr>
                    <w:t>占地面积约</w:t>
                  </w:r>
                  <w:r>
                    <w:rPr>
                      <w:rFonts w:hint="eastAsia" w:ascii="Times New Roman"/>
                      <w:sz w:val="18"/>
                      <w:szCs w:val="18"/>
                    </w:rPr>
                    <w:t>3750m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w:t>
                  </w:r>
                  <w:r>
                    <w:rPr>
                      <w:rFonts w:hint="eastAsia" w:ascii="Times New Roman"/>
                      <w:sz w:val="18"/>
                      <w:szCs w:val="18"/>
                    </w:rPr>
                    <w:t>3750m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主要布置</w:t>
                  </w:r>
                  <w:r>
                    <w:rPr>
                      <w:rFonts w:hint="eastAsia"/>
                      <w:sz w:val="18"/>
                      <w:szCs w:val="18"/>
                    </w:rPr>
                    <w:t>三条拆解生产线，分别为新能源汽车拆解生产线、大车拆解生产线和小车精细化流水式拆解生产线，主要对各类车辆进行拆解。</w:t>
                  </w:r>
                </w:p>
                <w:p>
                  <w:pPr>
                    <w:pStyle w:val="36"/>
                    <w:spacing w:beforeLines="0" w:afterLines="0" w:line="240" w:lineRule="exact"/>
                    <w:ind w:firstLine="360" w:firstLineChars="200"/>
                    <w:jc w:val="both"/>
                    <w:rPr>
                      <w:sz w:val="18"/>
                      <w:szCs w:val="18"/>
                    </w:rPr>
                  </w:pPr>
                  <w:r>
                    <w:rPr>
                      <w:rFonts w:hint="eastAsia"/>
                      <w:sz w:val="18"/>
                      <w:szCs w:val="18"/>
                    </w:rPr>
                    <w:t>其中新能源汽车拆解生产线主要包括：新能源电池拆卸区、动力总成拆解区、动力电池储存区，其他的后续拆解线与燃油小车精细化流水式拆解生产线共线</w:t>
                  </w:r>
                </w:p>
                <w:p>
                  <w:pPr>
                    <w:pStyle w:val="36"/>
                    <w:spacing w:beforeLines="0" w:afterLines="0" w:line="240" w:lineRule="exact"/>
                    <w:ind w:firstLine="360" w:firstLineChars="200"/>
                    <w:jc w:val="both"/>
                    <w:rPr>
                      <w:sz w:val="18"/>
                      <w:szCs w:val="18"/>
                    </w:rPr>
                  </w:pPr>
                  <w:r>
                    <w:rPr>
                      <w:rFonts w:hint="eastAsia"/>
                      <w:sz w:val="18"/>
                      <w:szCs w:val="18"/>
                    </w:rPr>
                    <w:t>燃油大车拆解生产线主要包括：燃油大车预处理区、高效拆解区</w:t>
                  </w:r>
                </w:p>
                <w:p>
                  <w:pPr>
                    <w:spacing w:line="240" w:lineRule="exact"/>
                    <w:ind w:firstLine="360" w:firstLineChars="200"/>
                    <w:rPr>
                      <w:sz w:val="18"/>
                      <w:szCs w:val="18"/>
                    </w:rPr>
                  </w:pPr>
                  <w:r>
                    <w:rPr>
                      <w:rFonts w:hint="eastAsia"/>
                      <w:sz w:val="18"/>
                      <w:szCs w:val="18"/>
                    </w:rPr>
                    <w:t>燃油小车精细化流水式拆解生产线主要包括：燃油小车预处理区、精细化拆解区。</w:t>
                  </w:r>
                </w:p>
                <w:p>
                  <w:pPr>
                    <w:spacing w:line="240" w:lineRule="exact"/>
                    <w:ind w:firstLine="360" w:firstLineChars="200"/>
                    <w:rPr>
                      <w:sz w:val="18"/>
                      <w:szCs w:val="18"/>
                    </w:rPr>
                  </w:pPr>
                  <w:r>
                    <w:rPr>
                      <w:rFonts w:hint="eastAsia"/>
                      <w:sz w:val="18"/>
                      <w:szCs w:val="18"/>
                    </w:rPr>
                    <w:t>另外，新能源汽车、燃油大车、燃油小车的气囊引爆、轮胎轮毂分离和大梁剪切步骤均在车间内气囊引爆区、轮胎轮毂分离及暂存区和大梁剪切区进行。</w:t>
                  </w:r>
                </w:p>
                <w:p>
                  <w:pPr>
                    <w:spacing w:line="240" w:lineRule="exact"/>
                    <w:ind w:firstLine="360" w:firstLineChars="200"/>
                    <w:rPr>
                      <w:sz w:val="18"/>
                      <w:szCs w:val="18"/>
                    </w:rPr>
                  </w:pPr>
                  <w:r>
                    <w:rPr>
                      <w:rFonts w:hint="eastAsia"/>
                      <w:sz w:val="18"/>
                      <w:szCs w:val="18"/>
                    </w:rPr>
                    <w:t>各拆解作业区应具有防渗地面和油水收集设施，地面应满足防油渗地面要求。铅蓄电池的拆卸区的地面应做防酸、防腐、防渗及硬化处理。</w:t>
                  </w:r>
                </w:p>
              </w:tc>
              <w:tc>
                <w:tcPr>
                  <w:tcW w:w="495" w:type="pct"/>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417" w:type="pct"/>
                  <w:vMerge w:val="continue"/>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破碎车间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位于厂区北侧，共1F，高12m，</w:t>
                  </w:r>
                  <w:r>
                    <w:rPr>
                      <w:rFonts w:ascii="Times New Roman"/>
                      <w:sz w:val="18"/>
                      <w:szCs w:val="18"/>
                    </w:rPr>
                    <w:t>占地面积约</w:t>
                  </w:r>
                  <w:r>
                    <w:rPr>
                      <w:rFonts w:hint="eastAsia" w:ascii="Times New Roman"/>
                      <w:sz w:val="18"/>
                      <w:szCs w:val="18"/>
                    </w:rPr>
                    <w:t>1625m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w:t>
                  </w:r>
                  <w:r>
                    <w:rPr>
                      <w:rFonts w:hint="eastAsia" w:ascii="Times New Roman"/>
                      <w:sz w:val="18"/>
                      <w:szCs w:val="18"/>
                    </w:rPr>
                    <w:t>1625m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主要布置</w:t>
                  </w:r>
                  <w:r>
                    <w:rPr>
                      <w:rFonts w:hint="eastAsia"/>
                      <w:sz w:val="18"/>
                      <w:szCs w:val="18"/>
                    </w:rPr>
                    <w:t>一条破碎生产线，</w:t>
                  </w:r>
                  <w:r>
                    <w:rPr>
                      <w:rFonts w:ascii="Times New Roman"/>
                      <w:sz w:val="18"/>
                      <w:szCs w:val="18"/>
                    </w:rPr>
                    <w:t>对拆解下来的废钢进行集中破碎</w:t>
                  </w:r>
                  <w:r>
                    <w:rPr>
                      <w:rFonts w:hint="eastAsia" w:ascii="Times New Roman"/>
                      <w:sz w:val="18"/>
                      <w:szCs w:val="18"/>
                    </w:rPr>
                    <w:t>。</w:t>
                  </w:r>
                </w:p>
              </w:tc>
              <w:tc>
                <w:tcPr>
                  <w:tcW w:w="495" w:type="pct"/>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辅助工程</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办公区</w:t>
                  </w:r>
                </w:p>
              </w:tc>
              <w:tc>
                <w:tcPr>
                  <w:tcW w:w="362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pPr>
                  <w:r>
                    <w:rPr>
                      <w:rFonts w:hint="eastAsia"/>
                      <w:sz w:val="18"/>
                      <w:szCs w:val="18"/>
                    </w:rPr>
                    <w:t>位于</w:t>
                  </w:r>
                  <w:r>
                    <w:rPr>
                      <w:sz w:val="18"/>
                      <w:szCs w:val="18"/>
                    </w:rPr>
                    <w:t>厂区</w:t>
                  </w:r>
                  <w:r>
                    <w:rPr>
                      <w:rFonts w:hint="eastAsia"/>
                      <w:sz w:val="18"/>
                      <w:szCs w:val="18"/>
                    </w:rPr>
                    <w:t>南</w:t>
                  </w:r>
                  <w:r>
                    <w:rPr>
                      <w:sz w:val="18"/>
                      <w:szCs w:val="18"/>
                    </w:rPr>
                    <w:t>侧</w:t>
                  </w:r>
                  <w:r>
                    <w:rPr>
                      <w:rFonts w:hint="eastAsia"/>
                      <w:sz w:val="18"/>
                      <w:szCs w:val="18"/>
                    </w:rPr>
                    <w:t>，共4F，高12m，</w:t>
                  </w:r>
                  <w:r>
                    <w:rPr>
                      <w:sz w:val="18"/>
                      <w:szCs w:val="18"/>
                    </w:rPr>
                    <w:t>占地面积约</w:t>
                  </w:r>
                  <w:r>
                    <w:rPr>
                      <w:rFonts w:hint="eastAsia"/>
                      <w:sz w:val="18"/>
                      <w:szCs w:val="18"/>
                    </w:rPr>
                    <w:t>330m</w:t>
                  </w:r>
                  <w:r>
                    <w:rPr>
                      <w:rFonts w:hint="eastAsia"/>
                      <w:sz w:val="18"/>
                      <w:szCs w:val="18"/>
                      <w:vertAlign w:val="superscript"/>
                    </w:rPr>
                    <w:t>2</w:t>
                  </w:r>
                  <w:r>
                    <w:rPr>
                      <w:rFonts w:hint="eastAsia"/>
                      <w:sz w:val="18"/>
                      <w:szCs w:val="18"/>
                    </w:rPr>
                    <w:t>，</w:t>
                  </w:r>
                  <w:r>
                    <w:rPr>
                      <w:sz w:val="18"/>
                      <w:szCs w:val="18"/>
                    </w:rPr>
                    <w:t>建筑面积约</w:t>
                  </w:r>
                  <w:r>
                    <w:rPr>
                      <w:rFonts w:hint="eastAsia"/>
                      <w:sz w:val="18"/>
                      <w:szCs w:val="18"/>
                    </w:rPr>
                    <w:t>1320m</w:t>
                  </w:r>
                  <w:r>
                    <w:rPr>
                      <w:rFonts w:hint="eastAsia"/>
                      <w:sz w:val="18"/>
                      <w:szCs w:val="18"/>
                      <w:vertAlign w:val="superscript"/>
                    </w:rPr>
                    <w:t>2</w:t>
                  </w:r>
                  <w:r>
                    <w:rPr>
                      <w:rFonts w:hint="eastAsia"/>
                      <w:sz w:val="18"/>
                      <w:szCs w:val="18"/>
                    </w:rPr>
                    <w:t>，主要用于办公</w:t>
                  </w:r>
                </w:p>
              </w:tc>
              <w:tc>
                <w:tcPr>
                  <w:tcW w:w="495" w:type="pct"/>
                  <w:tcBorders>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op w:val="single" w:color="auto" w:sz="4" w:space="0"/>
                    <w:left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公用工程</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给水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水源依托市政自来水管网供给</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Lines="0" w:afterLines="0" w:line="240" w:lineRule="exact"/>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排水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eastAsiaTheme="minorEastAsia"/>
                      <w:sz w:val="18"/>
                      <w:szCs w:val="18"/>
                    </w:rPr>
                    <w:t>“雨污分流”制，拟建项目产生</w:t>
                  </w:r>
                  <w:r>
                    <w:rPr>
                      <w:rFonts w:hint="eastAsia" w:ascii="Times New Roman" w:eastAsiaTheme="minorEastAsia"/>
                      <w:sz w:val="18"/>
                      <w:szCs w:val="18"/>
                    </w:rPr>
                    <w:t>的</w:t>
                  </w:r>
                  <w:r>
                    <w:rPr>
                      <w:rFonts w:ascii="Times New Roman" w:eastAsiaTheme="minorEastAsia"/>
                      <w:sz w:val="18"/>
                      <w:szCs w:val="18"/>
                    </w:rPr>
                    <w:t>废水经收集后进入厂区新建污水处理站处理后排入园区污水处理管网；雨水排入市政雨水管网</w:t>
                  </w:r>
                  <w:r>
                    <w:rPr>
                      <w:rFonts w:hint="eastAsia" w:ascii="Times New Roman" w:eastAsiaTheme="minorEastAsia"/>
                      <w:sz w:val="18"/>
                      <w:szCs w:val="18"/>
                    </w:rPr>
                    <w:t>。</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Lines="0" w:afterLines="0" w:line="240" w:lineRule="exact"/>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ascii="Times New Roman"/>
                      <w:sz w:val="18"/>
                      <w:szCs w:val="18"/>
                    </w:rPr>
                    <w:t>供电</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依托市政供电系统</w:t>
                  </w:r>
                  <w:r>
                    <w:rPr>
                      <w:rFonts w:hint="eastAsia" w:ascii="Times New Roman"/>
                      <w:sz w:val="18"/>
                      <w:szCs w:val="18"/>
                    </w:rPr>
                    <w:t>，设置一个配电房位于厂区东侧，设置一台备用柴油发电机。</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Lines="0" w:afterLines="0" w:line="240" w:lineRule="exact"/>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空压</w:t>
                  </w:r>
                  <w:r>
                    <w:rPr>
                      <w:rFonts w:ascii="Times New Roman"/>
                      <w:sz w:val="18"/>
                      <w:szCs w:val="18"/>
                    </w:rPr>
                    <w:t>系统</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设置一台空压机规模为7.5kW，供气量约在</w:t>
                  </w:r>
                  <w:r>
                    <w:rPr>
                      <w:rFonts w:ascii="Times New Roman"/>
                      <w:sz w:val="18"/>
                      <w:szCs w:val="18"/>
                    </w:rPr>
                    <w:t>2.5m</w:t>
                  </w:r>
                  <w:r>
                    <w:rPr>
                      <w:rFonts w:ascii="Times New Roman"/>
                      <w:sz w:val="18"/>
                      <w:szCs w:val="18"/>
                      <w:vertAlign w:val="superscript"/>
                    </w:rPr>
                    <w:t>3</w:t>
                  </w:r>
                  <w:r>
                    <w:rPr>
                      <w:rFonts w:ascii="Times New Roman"/>
                      <w:sz w:val="18"/>
                      <w:szCs w:val="18"/>
                    </w:rPr>
                    <w:t>/min</w:t>
                  </w:r>
                  <w:r>
                    <w:rPr>
                      <w:rFonts w:hint="eastAsia" w:ascii="Times New Roman"/>
                      <w:sz w:val="18"/>
                      <w:szCs w:val="18"/>
                    </w:rPr>
                    <w:t>。为无油空压机，不会产生含油废液。</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储运工程</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大车停放区</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位于</w:t>
                  </w:r>
                  <w:r>
                    <w:rPr>
                      <w:rFonts w:hint="eastAsia" w:ascii="Times New Roman"/>
                      <w:sz w:val="18"/>
                      <w:szCs w:val="18"/>
                    </w:rPr>
                    <w:t>拆解车间东侧</w:t>
                  </w:r>
                  <w:r>
                    <w:rPr>
                      <w:rFonts w:ascii="Times New Roman"/>
                      <w:sz w:val="18"/>
                      <w:szCs w:val="18"/>
                    </w:rPr>
                    <w:t>，</w:t>
                  </w:r>
                  <w:r>
                    <w:rPr>
                      <w:rFonts w:hint="eastAsia" w:ascii="Times New Roman"/>
                      <w:sz w:val="18"/>
                      <w:szCs w:val="18"/>
                    </w:rPr>
                    <w:t>共设置8个停车位。</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中小车停放区</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位于</w:t>
                  </w:r>
                  <w:r>
                    <w:rPr>
                      <w:rFonts w:hint="eastAsia" w:ascii="Times New Roman"/>
                      <w:sz w:val="18"/>
                      <w:szCs w:val="18"/>
                    </w:rPr>
                    <w:t>拆解车间东北侧</w:t>
                  </w:r>
                  <w:r>
                    <w:rPr>
                      <w:rFonts w:ascii="Times New Roman"/>
                      <w:sz w:val="18"/>
                      <w:szCs w:val="18"/>
                    </w:rPr>
                    <w:t>，</w:t>
                  </w:r>
                  <w:r>
                    <w:rPr>
                      <w:rFonts w:hint="eastAsia" w:ascii="Times New Roman"/>
                      <w:sz w:val="18"/>
                      <w:szCs w:val="18"/>
                    </w:rPr>
                    <w:t>共设置8</w:t>
                  </w:r>
                  <w:r>
                    <w:rPr>
                      <w:rFonts w:ascii="Times New Roman"/>
                      <w:sz w:val="18"/>
                      <w:szCs w:val="18"/>
                    </w:rPr>
                    <w:t>4</w:t>
                  </w:r>
                  <w:r>
                    <w:rPr>
                      <w:rFonts w:hint="eastAsia" w:ascii="Times New Roman"/>
                      <w:sz w:val="18"/>
                      <w:szCs w:val="18"/>
                    </w:rPr>
                    <w:t>个中小车停放区（2</w:t>
                  </w:r>
                  <w:r>
                    <w:rPr>
                      <w:rFonts w:ascii="Times New Roman"/>
                      <w:sz w:val="18"/>
                      <w:szCs w:val="18"/>
                    </w:rPr>
                    <w:t>28</w:t>
                  </w:r>
                  <w:r>
                    <w:rPr>
                      <w:rFonts w:hint="eastAsia" w:ascii="Times New Roman"/>
                      <w:sz w:val="18"/>
                      <w:szCs w:val="18"/>
                    </w:rPr>
                    <w:t>个车位），小车停放共3层，中车停放共2层。其中新能源汽车停放2</w:t>
                  </w:r>
                  <w:r>
                    <w:rPr>
                      <w:rFonts w:ascii="Times New Roman"/>
                      <w:sz w:val="18"/>
                      <w:szCs w:val="18"/>
                    </w:rPr>
                    <w:t>5</w:t>
                  </w:r>
                  <w:r>
                    <w:rPr>
                      <w:rFonts w:hint="eastAsia" w:ascii="Times New Roman"/>
                      <w:sz w:val="18"/>
                      <w:szCs w:val="18"/>
                    </w:rPr>
                    <w:t>个停放区（7</w:t>
                  </w:r>
                  <w:r>
                    <w:rPr>
                      <w:rFonts w:ascii="Times New Roman"/>
                      <w:sz w:val="18"/>
                      <w:szCs w:val="18"/>
                    </w:rPr>
                    <w:t>5</w:t>
                  </w:r>
                  <w:r>
                    <w:rPr>
                      <w:rFonts w:hint="eastAsia" w:ascii="Times New Roman"/>
                      <w:sz w:val="18"/>
                      <w:szCs w:val="18"/>
                    </w:rPr>
                    <w:t>个车位）、燃油小车停放3</w:t>
                  </w:r>
                  <w:r>
                    <w:rPr>
                      <w:rFonts w:ascii="Times New Roman"/>
                      <w:sz w:val="18"/>
                      <w:szCs w:val="18"/>
                    </w:rPr>
                    <w:t>5</w:t>
                  </w:r>
                  <w:r>
                    <w:rPr>
                      <w:rFonts w:hint="eastAsia" w:ascii="Times New Roman"/>
                      <w:sz w:val="18"/>
                      <w:szCs w:val="18"/>
                    </w:rPr>
                    <w:t>个停放区（1</w:t>
                  </w:r>
                  <w:r>
                    <w:rPr>
                      <w:rFonts w:ascii="Times New Roman"/>
                      <w:sz w:val="18"/>
                      <w:szCs w:val="18"/>
                    </w:rPr>
                    <w:t>05</w:t>
                  </w:r>
                  <w:r>
                    <w:rPr>
                      <w:rFonts w:hint="eastAsia" w:ascii="Times New Roman"/>
                      <w:sz w:val="18"/>
                      <w:szCs w:val="18"/>
                    </w:rPr>
                    <w:t>个车位）、燃油中车停放2</w:t>
                  </w:r>
                  <w:r>
                    <w:rPr>
                      <w:rFonts w:ascii="Times New Roman"/>
                      <w:sz w:val="18"/>
                      <w:szCs w:val="18"/>
                    </w:rPr>
                    <w:t>4</w:t>
                  </w:r>
                  <w:r>
                    <w:rPr>
                      <w:rFonts w:hint="eastAsia" w:ascii="Times New Roman"/>
                      <w:sz w:val="18"/>
                      <w:szCs w:val="18"/>
                    </w:rPr>
                    <w:t>个停放区（4</w:t>
                  </w:r>
                  <w:r>
                    <w:rPr>
                      <w:rFonts w:ascii="Times New Roman"/>
                      <w:sz w:val="18"/>
                      <w:szCs w:val="18"/>
                    </w:rPr>
                    <w:t>8</w:t>
                  </w:r>
                  <w:r>
                    <w:rPr>
                      <w:rFonts w:hint="eastAsia" w:ascii="Times New Roman"/>
                      <w:sz w:val="18"/>
                      <w:szCs w:val="18"/>
                    </w:rPr>
                    <w:t>个车位）。</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原辅料暂存间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位于</w:t>
                  </w:r>
                  <w:r>
                    <w:rPr>
                      <w:rFonts w:hint="eastAsia" w:ascii="Times New Roman"/>
                      <w:sz w:val="18"/>
                      <w:szCs w:val="18"/>
                    </w:rPr>
                    <w:t>成品库房内北侧</w:t>
                  </w:r>
                  <w:r>
                    <w:rPr>
                      <w:rFonts w:ascii="Times New Roman"/>
                      <w:sz w:val="18"/>
                      <w:szCs w:val="18"/>
                    </w:rPr>
                    <w:t>，</w:t>
                  </w:r>
                  <w:r>
                    <w:rPr>
                      <w:rFonts w:hint="eastAsia" w:ascii="Times New Roman"/>
                      <w:sz w:val="18"/>
                      <w:szCs w:val="18"/>
                    </w:rPr>
                    <w:t>共1F，高12m，</w:t>
                  </w:r>
                  <w:r>
                    <w:rPr>
                      <w:rFonts w:ascii="Times New Roman"/>
                      <w:sz w:val="18"/>
                      <w:szCs w:val="18"/>
                    </w:rPr>
                    <w:t>占地面积约50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建筑面积约50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。主要用于存放柴油、润滑油、液压油。</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rPr>
                      <w:rFonts w:ascii="Times New Roman"/>
                      <w:sz w:val="18"/>
                      <w:szCs w:val="18"/>
                    </w:rPr>
                  </w:pPr>
                  <w:r>
                    <w:rPr>
                      <w:rFonts w:hint="eastAsia" w:ascii="Times New Roman"/>
                      <w:sz w:val="18"/>
                      <w:szCs w:val="18"/>
                    </w:rPr>
                    <w:t>成品库房</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ascii="Times New Roman"/>
                      <w:sz w:val="18"/>
                      <w:szCs w:val="18"/>
                    </w:rPr>
                    <w:t>位于</w:t>
                  </w:r>
                  <w:r>
                    <w:rPr>
                      <w:rFonts w:hint="eastAsia" w:ascii="Times New Roman"/>
                      <w:sz w:val="18"/>
                      <w:szCs w:val="18"/>
                    </w:rPr>
                    <w:t>厂区内东北侧</w:t>
                  </w:r>
                  <w:r>
                    <w:rPr>
                      <w:rFonts w:ascii="Times New Roman"/>
                      <w:sz w:val="18"/>
                      <w:szCs w:val="18"/>
                    </w:rPr>
                    <w:t>，</w:t>
                  </w:r>
                  <w:r>
                    <w:rPr>
                      <w:rFonts w:hint="eastAsia" w:ascii="Times New Roman"/>
                      <w:sz w:val="18"/>
                      <w:szCs w:val="18"/>
                    </w:rPr>
                    <w:t>共1F，高12m，</w:t>
                  </w:r>
                  <w:r>
                    <w:rPr>
                      <w:rFonts w:ascii="Times New Roman"/>
                      <w:sz w:val="18"/>
                      <w:szCs w:val="18"/>
                    </w:rPr>
                    <w:t>占地面积约</w:t>
                  </w:r>
                  <w:r>
                    <w:rPr>
                      <w:rFonts w:hint="eastAsia" w:ascii="Times New Roman"/>
                      <w:sz w:val="18"/>
                      <w:szCs w:val="18"/>
                    </w:rPr>
                    <w:t>1625m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w:t>
                  </w:r>
                  <w:r>
                    <w:rPr>
                      <w:rFonts w:hint="eastAsia" w:ascii="Times New Roman"/>
                      <w:sz w:val="18"/>
                      <w:szCs w:val="18"/>
                    </w:rPr>
                    <w:t>1625m</w:t>
                  </w:r>
                  <w:r>
                    <w:rPr>
                      <w:rFonts w:hint="eastAsia" w:ascii="Times New Roman"/>
                      <w:sz w:val="18"/>
                      <w:szCs w:val="18"/>
                      <w:vertAlign w:val="superscript"/>
                    </w:rPr>
                    <w:t>2</w:t>
                  </w:r>
                  <w:r>
                    <w:rPr>
                      <w:rFonts w:hint="eastAsia" w:ascii="Times New Roman"/>
                      <w:sz w:val="18"/>
                      <w:szCs w:val="18"/>
                    </w:rPr>
                    <w:t>。主要分为玻璃暂存区（</w:t>
                  </w:r>
                  <w:r>
                    <w:rPr>
                      <w:rFonts w:ascii="Times New Roman"/>
                      <w:sz w:val="18"/>
                      <w:szCs w:val="18"/>
                    </w:rPr>
                    <w:t>80.425</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）、橡胶暂存区（</w:t>
                  </w:r>
                  <w:r>
                    <w:rPr>
                      <w:rFonts w:ascii="Times New Roman"/>
                      <w:sz w:val="18"/>
                      <w:szCs w:val="18"/>
                    </w:rPr>
                    <w:t>51.58</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）、有色金属暂存区（</w:t>
                  </w:r>
                  <w:r>
                    <w:rPr>
                      <w:rFonts w:ascii="Times New Roman"/>
                      <w:sz w:val="18"/>
                      <w:szCs w:val="18"/>
                    </w:rPr>
                    <w:t>88.18</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）、塑料暂存区（</w:t>
                  </w:r>
                  <w:r>
                    <w:rPr>
                      <w:rFonts w:ascii="Times New Roman"/>
                      <w:sz w:val="18"/>
                      <w:szCs w:val="18"/>
                    </w:rPr>
                    <w:t>80.42</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）、五大总成及可用零部件暂存区（</w:t>
                  </w:r>
                  <w:r>
                    <w:rPr>
                      <w:rFonts w:ascii="Times New Roman"/>
                      <w:sz w:val="18"/>
                      <w:szCs w:val="18"/>
                    </w:rPr>
                    <w:t>104.27</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）和钢材暂存区（1</w:t>
                  </w:r>
                  <w:r>
                    <w:rPr>
                      <w:rFonts w:ascii="Times New Roman"/>
                      <w:sz w:val="18"/>
                      <w:szCs w:val="18"/>
                    </w:rPr>
                    <w:t>263.95</w:t>
                  </w:r>
                  <w:r>
                    <w:rPr>
                      <w:rFonts w:hint="eastAsia" w:ascii="Times New Roman"/>
                      <w:sz w:val="18"/>
                      <w:szCs w:val="18"/>
                    </w:rPr>
                    <w:t xml:space="preserve"> m</w:t>
                  </w:r>
                  <w:r>
                    <w:rPr>
                      <w:rFonts w:hint="eastAsia" w:ascii="Times New Roman"/>
                      <w:sz w:val="18"/>
                      <w:szCs w:val="18"/>
                      <w:vertAlign w:val="superscript"/>
                    </w:rPr>
                    <w:t>2</w:t>
                  </w:r>
                  <w:r>
                    <w:rPr>
                      <w:rFonts w:hint="eastAsia" w:ascii="Times New Roman"/>
                      <w:sz w:val="18"/>
                      <w:szCs w:val="18"/>
                    </w:rPr>
                    <w:t>）。主要用于存放报废汽车拆解过程产生的玻璃、橡胶、有色金属、塑料、五大总成及可用零部件、钢材等。采取一般防渗措施。</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环保工程</w:t>
                  </w: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废气治理</w:t>
                  </w:r>
                </w:p>
              </w:tc>
              <w:tc>
                <w:tcPr>
                  <w:tcW w:w="362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rFonts w:hAnsi="宋体"/>
                      <w:sz w:val="18"/>
                      <w:szCs w:val="18"/>
                    </w:rPr>
                  </w:pPr>
                  <w:r>
                    <w:rPr>
                      <w:rFonts w:hint="eastAsia" w:hAnsi="宋体"/>
                      <w:sz w:val="18"/>
                      <w:szCs w:val="18"/>
                    </w:rPr>
                    <w:t>①油液挥发废气经集气罩收集（收集效率80%）后经二级活性炭吸附处理（处理效率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w:t>
                  </w:r>
                </w:p>
                <w:p>
                  <w:pPr>
                    <w:spacing w:line="240" w:lineRule="exact"/>
                    <w:ind w:firstLine="360" w:firstLineChars="200"/>
                    <w:rPr>
                      <w:rFonts w:hAnsi="宋体"/>
                      <w:sz w:val="18"/>
                      <w:szCs w:val="18"/>
                    </w:rPr>
                  </w:pPr>
                  <w:r>
                    <w:rPr>
                      <w:rFonts w:hint="eastAsia" w:hAnsi="宋体"/>
                      <w:sz w:val="18"/>
                      <w:szCs w:val="18"/>
                    </w:rPr>
                    <w:t>②切割废气经集气罩收集（收集效率80%）后经布袋除尘器处理（颗粒物处理效率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5</w:t>
                  </w:r>
                  <w:r>
                    <w:rPr>
                      <w:rFonts w:hint="eastAsia" w:hAnsi="宋体"/>
                      <w:sz w:val="18"/>
                      <w:szCs w:val="18"/>
                    </w:rPr>
                    <w:t>m的DA00</w:t>
                  </w:r>
                  <w:r>
                    <w:rPr>
                      <w:rFonts w:hAnsi="宋体"/>
                      <w:sz w:val="18"/>
                      <w:szCs w:val="18"/>
                    </w:rPr>
                    <w:t>2</w:t>
                  </w:r>
                  <w:r>
                    <w:rPr>
                      <w:rFonts w:hint="eastAsia" w:hAnsi="宋体"/>
                      <w:sz w:val="18"/>
                      <w:szCs w:val="18"/>
                    </w:rPr>
                    <w:t>排气筒排放。</w:t>
                  </w:r>
                </w:p>
                <w:p>
                  <w:pPr>
                    <w:spacing w:line="240" w:lineRule="exact"/>
                    <w:ind w:firstLine="360" w:firstLineChars="200"/>
                    <w:rPr>
                      <w:rFonts w:hAnsi="宋体"/>
                      <w:sz w:val="18"/>
                      <w:szCs w:val="18"/>
                    </w:rPr>
                  </w:pPr>
                  <w:r>
                    <w:rPr>
                      <w:rFonts w:hint="eastAsia" w:hAnsi="宋体"/>
                      <w:sz w:val="18"/>
                      <w:szCs w:val="18"/>
                    </w:rPr>
                    <w:t>③破碎废气经集气罩收集（收集效率80%）后经布袋除尘器处理（颗粒物处理效率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4</w:t>
                  </w:r>
                  <w:r>
                    <w:rPr>
                      <w:rFonts w:hint="eastAsia" w:hAnsi="宋体"/>
                      <w:sz w:val="18"/>
                      <w:szCs w:val="18"/>
                    </w:rPr>
                    <w:t>m的DA00</w:t>
                  </w:r>
                  <w:r>
                    <w:rPr>
                      <w:rFonts w:hAnsi="宋体"/>
                      <w:sz w:val="18"/>
                      <w:szCs w:val="18"/>
                    </w:rPr>
                    <w:t>3</w:t>
                  </w:r>
                  <w:r>
                    <w:rPr>
                      <w:rFonts w:hint="eastAsia" w:hAnsi="宋体"/>
                      <w:sz w:val="18"/>
                      <w:szCs w:val="18"/>
                    </w:rPr>
                    <w:t>排气筒排放。</w:t>
                  </w:r>
                </w:p>
                <w:p>
                  <w:pPr>
                    <w:adjustRightInd w:val="0"/>
                    <w:snapToGrid w:val="0"/>
                    <w:spacing w:line="240" w:lineRule="exact"/>
                    <w:ind w:firstLine="360" w:firstLineChars="200"/>
                    <w:jc w:val="left"/>
                    <w:rPr>
                      <w:rFonts w:hAnsi="宋体"/>
                      <w:sz w:val="18"/>
                      <w:szCs w:val="18"/>
                    </w:rPr>
                  </w:pPr>
                  <w:r>
                    <w:rPr>
                      <w:rFonts w:hint="eastAsia" w:hAnsi="宋体"/>
                      <w:sz w:val="18"/>
                      <w:szCs w:val="18"/>
                    </w:rPr>
                    <w:t>④污水处理站密闭，产生的臭气经收集后引至业务用房屋顶。</w:t>
                  </w:r>
                </w:p>
                <w:p>
                  <w:pPr>
                    <w:adjustRightInd w:val="0"/>
                    <w:snapToGrid w:val="0"/>
                    <w:spacing w:line="240" w:lineRule="exact"/>
                    <w:ind w:firstLine="360" w:firstLineChars="200"/>
                    <w:jc w:val="left"/>
                    <w:rPr>
                      <w:rFonts w:hAnsi="宋体"/>
                      <w:sz w:val="18"/>
                      <w:szCs w:val="18"/>
                    </w:rPr>
                  </w:pPr>
                  <w:r>
                    <w:rPr>
                      <w:rFonts w:hint="eastAsia" w:hAnsi="宋体"/>
                      <w:sz w:val="18"/>
                      <w:szCs w:val="18"/>
                    </w:rPr>
                    <w:t>⑤食堂废气通过集气罩收集后经油烟净化器处理后经管道引至办公楼屋顶排放。</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废水治理</w:t>
                  </w:r>
                </w:p>
              </w:tc>
              <w:tc>
                <w:tcPr>
                  <w:tcW w:w="3622" w:type="pct"/>
                  <w:tcBorders>
                    <w:top w:val="single" w:color="auto" w:sz="4" w:space="0"/>
                    <w:left w:val="single" w:color="auto" w:sz="4" w:space="0"/>
                    <w:bottom w:val="single" w:color="auto" w:sz="4" w:space="0"/>
                    <w:right w:val="single" w:color="auto" w:sz="4" w:space="0"/>
                  </w:tcBorders>
                  <w:vAlign w:val="center"/>
                </w:tcPr>
                <w:p>
                  <w:pPr>
                    <w:spacing w:line="240" w:lineRule="exact"/>
                    <w:ind w:firstLine="360" w:firstLineChars="200"/>
                    <w:rPr>
                      <w:sz w:val="18"/>
                      <w:szCs w:val="18"/>
                    </w:rPr>
                  </w:pPr>
                  <w:r>
                    <w:rPr>
                      <w:rFonts w:eastAsiaTheme="minorEastAsia"/>
                      <w:kern w:val="0"/>
                      <w:sz w:val="18"/>
                      <w:szCs w:val="18"/>
                    </w:rPr>
                    <w:t>拟建项目将新建1座处理能力为20m</w:t>
                  </w:r>
                  <w:r>
                    <w:rPr>
                      <w:rFonts w:eastAsiaTheme="minorEastAsia"/>
                      <w:kern w:val="0"/>
                      <w:sz w:val="18"/>
                      <w:szCs w:val="18"/>
                      <w:vertAlign w:val="superscript"/>
                    </w:rPr>
                    <w:t>3</w:t>
                  </w:r>
                  <w:r>
                    <w:rPr>
                      <w:rFonts w:eastAsiaTheme="minorEastAsia"/>
                      <w:kern w:val="0"/>
                      <w:sz w:val="18"/>
                      <w:szCs w:val="18"/>
                    </w:rPr>
                    <w:t>/d的污水处理站，位于</w:t>
                  </w:r>
                  <w:r>
                    <w:rPr>
                      <w:rFonts w:hint="eastAsia" w:eastAsiaTheme="minorEastAsia"/>
                      <w:sz w:val="18"/>
                      <w:szCs w:val="18"/>
                    </w:rPr>
                    <w:t>厂区内东南侧，</w:t>
                  </w:r>
                  <w:r>
                    <w:rPr>
                      <w:rFonts w:eastAsiaTheme="minorEastAsia"/>
                      <w:kern w:val="0"/>
                      <w:sz w:val="18"/>
                      <w:szCs w:val="18"/>
                    </w:rPr>
                    <w:t>采用“均质+隔油+絮凝沉淀+过滤”处理工艺。</w:t>
                  </w:r>
                  <w:r>
                    <w:rPr>
                      <w:rFonts w:hint="eastAsia" w:eastAsiaTheme="minorEastAsia"/>
                      <w:kern w:val="0"/>
                      <w:sz w:val="18"/>
                      <w:szCs w:val="18"/>
                    </w:rPr>
                    <w:t>厂区内所有废水一并</w:t>
                  </w:r>
                  <w:r>
                    <w:rPr>
                      <w:rFonts w:eastAsiaTheme="minorEastAsia"/>
                      <w:kern w:val="0"/>
                      <w:sz w:val="18"/>
                      <w:szCs w:val="18"/>
                    </w:rPr>
                    <w:t>进入新建污水处理站处理达</w:t>
                  </w:r>
                  <w:r>
                    <w:rPr>
                      <w:rFonts w:hint="eastAsia" w:eastAsiaTheme="minorEastAsia"/>
                      <w:kern w:val="0"/>
                      <w:sz w:val="18"/>
                      <w:szCs w:val="18"/>
                    </w:rPr>
                    <w:t>《污水综合排放标准》（GB8978-1996）三级排放标准（其中氨氮、总氮、总磷参照执行《污水排入城镇下水道水质标准》（GB/T31962-2015））</w:t>
                  </w:r>
                  <w:r>
                    <w:rPr>
                      <w:rFonts w:eastAsiaTheme="minorEastAsia"/>
                      <w:kern w:val="0"/>
                      <w:sz w:val="18"/>
                      <w:szCs w:val="18"/>
                    </w:rPr>
                    <w:t>后进入</w:t>
                  </w:r>
                  <w:r>
                    <w:rPr>
                      <w:rFonts w:hint="eastAsia" w:eastAsiaTheme="minorEastAsia"/>
                      <w:kern w:val="0"/>
                      <w:sz w:val="18"/>
                      <w:szCs w:val="18"/>
                    </w:rPr>
                    <w:t>双桥园区</w:t>
                  </w:r>
                  <w:r>
                    <w:rPr>
                      <w:rFonts w:eastAsiaTheme="minorEastAsia"/>
                      <w:kern w:val="0"/>
                      <w:sz w:val="18"/>
                      <w:szCs w:val="18"/>
                    </w:rPr>
                    <w:t>污水处理厂</w:t>
                  </w:r>
                  <w:r>
                    <w:rPr>
                      <w:rFonts w:hint="eastAsia" w:eastAsiaTheme="minorEastAsia"/>
                      <w:kern w:val="0"/>
                      <w:sz w:val="18"/>
                      <w:szCs w:val="18"/>
                    </w:rPr>
                    <w:t>近期</w:t>
                  </w:r>
                  <w:r>
                    <w:rPr>
                      <w:rFonts w:eastAsiaTheme="minorEastAsia"/>
                      <w:kern w:val="0"/>
                      <w:sz w:val="18"/>
                      <w:szCs w:val="18"/>
                    </w:rPr>
                    <w:t>进一步处理达《城镇污水处理厂污染物排放标准》（GB18918-2002）一级B标后排入</w:t>
                  </w:r>
                  <w:r>
                    <w:rPr>
                      <w:rFonts w:hint="eastAsia" w:eastAsiaTheme="minorEastAsia"/>
                      <w:kern w:val="0"/>
                      <w:sz w:val="18"/>
                      <w:szCs w:val="18"/>
                    </w:rPr>
                    <w:t>苦水河，远期待园区污水处理厂提标改造后</w:t>
                  </w:r>
                  <w:r>
                    <w:rPr>
                      <w:rFonts w:eastAsiaTheme="minorEastAsia"/>
                      <w:kern w:val="0"/>
                      <w:sz w:val="18"/>
                      <w:szCs w:val="18"/>
                    </w:rPr>
                    <w:t>进一步处理达《城镇污水处理厂污染物排放标准》（GB18918-2002）一级</w:t>
                  </w:r>
                  <w:r>
                    <w:rPr>
                      <w:rFonts w:hint="eastAsia" w:eastAsiaTheme="minorEastAsia"/>
                      <w:kern w:val="0"/>
                      <w:sz w:val="18"/>
                      <w:szCs w:val="18"/>
                    </w:rPr>
                    <w:t>A</w:t>
                  </w:r>
                  <w:r>
                    <w:rPr>
                      <w:rFonts w:eastAsiaTheme="minorEastAsia"/>
                      <w:kern w:val="0"/>
                      <w:sz w:val="18"/>
                      <w:szCs w:val="18"/>
                    </w:rPr>
                    <w:t>标后排入</w:t>
                  </w:r>
                  <w:r>
                    <w:rPr>
                      <w:rFonts w:hint="eastAsia" w:eastAsiaTheme="minorEastAsia"/>
                      <w:kern w:val="0"/>
                      <w:sz w:val="18"/>
                      <w:szCs w:val="18"/>
                    </w:rPr>
                    <w:t>苦水河。</w:t>
                  </w:r>
                </w:p>
              </w:tc>
              <w:tc>
                <w:tcPr>
                  <w:tcW w:w="495"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r>
                    <w:rPr>
                      <w:rFonts w:ascii="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24" w:after="24"/>
                    <w:rPr>
                      <w:rFonts w:ascii="Times New Roman"/>
                      <w:sz w:val="18"/>
                      <w:szCs w:val="18"/>
                    </w:rPr>
                  </w:pPr>
                  <w:r>
                    <w:rPr>
                      <w:rFonts w:hint="eastAsia" w:ascii="Times New Roman"/>
                      <w:sz w:val="18"/>
                      <w:szCs w:val="18"/>
                    </w:rPr>
                    <w:t>一般工业固废暂存间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exact"/>
                    <w:ind w:firstLine="360" w:firstLineChars="200"/>
                    <w:rPr>
                      <w:rFonts w:ascii="Times New Roman"/>
                      <w:sz w:val="18"/>
                      <w:szCs w:val="18"/>
                    </w:rPr>
                  </w:pPr>
                  <w:r>
                    <w:rPr>
                      <w:rFonts w:ascii="Times New Roman"/>
                      <w:sz w:val="18"/>
                      <w:szCs w:val="18"/>
                    </w:rPr>
                    <w:t>位于</w:t>
                  </w:r>
                  <w:r>
                    <w:rPr>
                      <w:rFonts w:hint="eastAsia" w:ascii="Times New Roman"/>
                      <w:sz w:val="18"/>
                      <w:szCs w:val="18"/>
                    </w:rPr>
                    <w:t>拆解车间内西北侧</w:t>
                  </w:r>
                  <w:r>
                    <w:rPr>
                      <w:rFonts w:ascii="Times New Roman"/>
                      <w:sz w:val="18"/>
                      <w:szCs w:val="18"/>
                    </w:rPr>
                    <w:t>，</w:t>
                  </w:r>
                  <w:r>
                    <w:rPr>
                      <w:rFonts w:hint="eastAsia" w:ascii="Times New Roman"/>
                      <w:sz w:val="18"/>
                      <w:szCs w:val="18"/>
                    </w:rPr>
                    <w:t>共1F，高12m，</w:t>
                  </w:r>
                  <w:r>
                    <w:rPr>
                      <w:rFonts w:ascii="Times New Roman"/>
                      <w:sz w:val="18"/>
                      <w:szCs w:val="18"/>
                    </w:rPr>
                    <w:t>占地面积约280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建筑面积约280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。主要用于存放报废汽车拆解过程产生的一般工业固废，包括：废液化气罐、引爆后的安全气囊、废制冷剂、布袋除尘器截留粉尘、</w:t>
                  </w:r>
                  <w:r>
                    <w:rPr>
                      <w:rFonts w:hint="eastAsia"/>
                      <w:bCs/>
                      <w:sz w:val="18"/>
                      <w:szCs w:val="18"/>
                    </w:rPr>
                    <w:t>其他废物（破碎的玻璃、轮胎、轮毂、塑料等）</w:t>
                  </w:r>
                  <w:r>
                    <w:rPr>
                      <w:rFonts w:hint="eastAsia" w:ascii="Times New Roman"/>
                      <w:sz w:val="18"/>
                      <w:szCs w:val="18"/>
                    </w:rPr>
                    <w:t>。采取一般防渗措施。</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24" w:after="24"/>
                    <w:rPr>
                      <w:rFonts w:ascii="Times New Roman"/>
                      <w:sz w:val="18"/>
                      <w:szCs w:val="18"/>
                    </w:rPr>
                  </w:pPr>
                  <w:r>
                    <w:rPr>
                      <w:rFonts w:hint="eastAsia" w:ascii="Times New Roman"/>
                      <w:sz w:val="18"/>
                      <w:szCs w:val="18"/>
                    </w:rPr>
                    <w:t>动力蓄电池贮存区</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exact"/>
                    <w:ind w:firstLine="360" w:firstLineChars="200"/>
                    <w:rPr>
                      <w:rFonts w:ascii="Times New Roman"/>
                      <w:sz w:val="18"/>
                      <w:szCs w:val="18"/>
                    </w:rPr>
                  </w:pPr>
                  <w:r>
                    <w:rPr>
                      <w:rFonts w:ascii="Times New Roman"/>
                      <w:sz w:val="18"/>
                      <w:szCs w:val="18"/>
                    </w:rPr>
                    <w:t>位于</w:t>
                  </w:r>
                  <w:r>
                    <w:rPr>
                      <w:rFonts w:hint="eastAsia" w:ascii="Times New Roman"/>
                      <w:sz w:val="18"/>
                      <w:szCs w:val="18"/>
                    </w:rPr>
                    <w:t>拆解车间内东北侧</w:t>
                  </w:r>
                  <w:r>
                    <w:rPr>
                      <w:rFonts w:ascii="Times New Roman"/>
                      <w:sz w:val="18"/>
                      <w:szCs w:val="18"/>
                    </w:rPr>
                    <w:t>，</w:t>
                  </w:r>
                  <w:r>
                    <w:rPr>
                      <w:rFonts w:hint="eastAsia" w:ascii="Times New Roman"/>
                      <w:sz w:val="18"/>
                      <w:szCs w:val="18"/>
                    </w:rPr>
                    <w:t>共1F，高12m，</w:t>
                  </w:r>
                  <w:r>
                    <w:rPr>
                      <w:rFonts w:ascii="Times New Roman"/>
                      <w:sz w:val="18"/>
                      <w:szCs w:val="18"/>
                    </w:rPr>
                    <w:t>占地面积约90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w:t>
                  </w:r>
                  <w:r>
                    <w:rPr>
                      <w:rFonts w:ascii="Times New Roman"/>
                      <w:sz w:val="18"/>
                      <w:szCs w:val="18"/>
                    </w:rPr>
                    <w:t>建筑面积约90</w:t>
                  </w:r>
                  <w:r>
                    <w:rPr>
                      <w:rFonts w:hint="eastAsia" w:ascii="Times New Roman"/>
                      <w:sz w:val="18"/>
                      <w:szCs w:val="18"/>
                    </w:rPr>
                    <w:t>m</w:t>
                  </w:r>
                  <w:r>
                    <w:rPr>
                      <w:rFonts w:hint="eastAsia" w:ascii="Times New Roman"/>
                      <w:sz w:val="18"/>
                      <w:szCs w:val="18"/>
                      <w:vertAlign w:val="superscript"/>
                    </w:rPr>
                    <w:t>2</w:t>
                  </w:r>
                  <w:r>
                    <w:rPr>
                      <w:rFonts w:hint="eastAsia" w:ascii="Times New Roman"/>
                      <w:sz w:val="18"/>
                      <w:szCs w:val="18"/>
                    </w:rPr>
                    <w:t>。主要用于存放废旧动力蓄电池（不包含铅蓄电池），地面应采用环氧地坪等硬化措施，地面应做防酸、防腐、防渗、硬化及绝缘处理。</w:t>
                  </w:r>
                </w:p>
              </w:tc>
              <w:tc>
                <w:tcPr>
                  <w:tcW w:w="495" w:type="pct"/>
                  <w:tcBorders>
                    <w:top w:val="single" w:color="auto" w:sz="4" w:space="0"/>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417" w:type="pct"/>
                  <w:vMerge w:val="continue"/>
                  <w:tcBorders>
                    <w:left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66" w:type="pct"/>
                  <w:tcBorders>
                    <w:top w:val="single" w:color="auto" w:sz="4" w:space="0"/>
                    <w:left w:val="single" w:color="auto" w:sz="4" w:space="0"/>
                    <w:bottom w:val="single" w:color="auto" w:sz="4" w:space="0"/>
                    <w:right w:val="single" w:color="auto" w:sz="4" w:space="0"/>
                  </w:tcBorders>
                  <w:vAlign w:val="center"/>
                </w:tcPr>
                <w:p>
                  <w:pPr>
                    <w:pStyle w:val="36"/>
                    <w:spacing w:before="24" w:after="24"/>
                    <w:rPr>
                      <w:rFonts w:ascii="Times New Roman"/>
                      <w:sz w:val="18"/>
                      <w:szCs w:val="18"/>
                    </w:rPr>
                  </w:pPr>
                  <w:r>
                    <w:rPr>
                      <w:rFonts w:hint="eastAsia" w:ascii="Times New Roman"/>
                      <w:sz w:val="18"/>
                      <w:szCs w:val="18"/>
                    </w:rPr>
                    <w:t>危险废物暂存间</w:t>
                  </w:r>
                </w:p>
              </w:tc>
              <w:tc>
                <w:tcPr>
                  <w:tcW w:w="3622" w:type="pct"/>
                  <w:tcBorders>
                    <w:top w:val="single" w:color="auto" w:sz="4" w:space="0"/>
                    <w:left w:val="single" w:color="auto" w:sz="4" w:space="0"/>
                    <w:bottom w:val="single" w:color="auto" w:sz="4" w:space="0"/>
                    <w:right w:val="single" w:color="auto" w:sz="4" w:space="0"/>
                  </w:tcBorders>
                  <w:vAlign w:val="center"/>
                </w:tcPr>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位于厂区内西北侧，共5个，1F，高</w:t>
                  </w:r>
                  <w:r>
                    <w:rPr>
                      <w:rFonts w:ascii="Times New Roman"/>
                      <w:sz w:val="18"/>
                      <w:szCs w:val="18"/>
                    </w:rPr>
                    <w:t>3.6</w:t>
                  </w:r>
                  <w:r>
                    <w:rPr>
                      <w:rFonts w:hint="eastAsia" w:ascii="Times New Roman"/>
                      <w:sz w:val="18"/>
                      <w:szCs w:val="18"/>
                    </w:rPr>
                    <w:t>m，建筑面积总共为</w:t>
                  </w:r>
                  <w:r>
                    <w:rPr>
                      <w:rFonts w:ascii="Times New Roman"/>
                      <w:sz w:val="18"/>
                      <w:szCs w:val="18"/>
                    </w:rPr>
                    <w:t>140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危废暂存间一：建筑面积为</w:t>
                  </w:r>
                  <w:r>
                    <w:rPr>
                      <w:rFonts w:ascii="Times New Roman"/>
                      <w:sz w:val="18"/>
                      <w:szCs w:val="18"/>
                    </w:rPr>
                    <w:t>20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，主要用于存放废铅蓄电池。</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危废暂存间二：建筑面积为</w:t>
                  </w:r>
                  <w:r>
                    <w:rPr>
                      <w:rFonts w:ascii="Times New Roman"/>
                      <w:sz w:val="18"/>
                      <w:szCs w:val="18"/>
                    </w:rPr>
                    <w:t>20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，主要用于存放含多氯联苯的废电容器。</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危废暂存间三：建筑面积为</w:t>
                  </w:r>
                  <w:r>
                    <w:rPr>
                      <w:rFonts w:ascii="Times New Roman"/>
                      <w:sz w:val="18"/>
                      <w:szCs w:val="18"/>
                    </w:rPr>
                    <w:t>20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，主要用于存放废尾气净化催化剂。</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危废暂存间四：建筑面积为</w:t>
                  </w:r>
                  <w:r>
                    <w:rPr>
                      <w:rFonts w:ascii="Times New Roman"/>
                      <w:sz w:val="18"/>
                      <w:szCs w:val="18"/>
                    </w:rPr>
                    <w:t>20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，主要用于存放废矿物油与含矿物油废物、机油滤清器、油箱。</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危废暂存间五：建筑面积为</w:t>
                  </w:r>
                  <w:r>
                    <w:rPr>
                      <w:rFonts w:ascii="Times New Roman"/>
                      <w:sz w:val="18"/>
                      <w:szCs w:val="18"/>
                    </w:rPr>
                    <w:t>20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，主要用于存放废电路板及其元件。</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危废暂存间六：建筑面积为</w:t>
                  </w:r>
                  <w:r>
                    <w:rPr>
                      <w:rFonts w:ascii="Times New Roman"/>
                      <w:sz w:val="18"/>
                      <w:szCs w:val="18"/>
                    </w:rPr>
                    <w:t>40</w:t>
                  </w:r>
                  <w:r>
                    <w:rPr>
                      <w:rFonts w:hint="eastAsia" w:ascii="Times New Roman"/>
                      <w:sz w:val="18"/>
                      <w:szCs w:val="18"/>
                    </w:rPr>
                    <w:t>m</w:t>
                  </w:r>
                  <w:r>
                    <w:rPr>
                      <w:rFonts w:ascii="Times New Roman"/>
                      <w:sz w:val="18"/>
                      <w:szCs w:val="18"/>
                      <w:vertAlign w:val="superscript"/>
                    </w:rPr>
                    <w:t>2</w:t>
                  </w:r>
                  <w:r>
                    <w:rPr>
                      <w:rFonts w:hint="eastAsia" w:ascii="Times New Roman"/>
                      <w:sz w:val="18"/>
                      <w:szCs w:val="18"/>
                    </w:rPr>
                    <w:t>，主要用于存放废石棉片、含汞废物。</w:t>
                  </w:r>
                </w:p>
                <w:p>
                  <w:pPr>
                    <w:pStyle w:val="36"/>
                    <w:spacing w:beforeLines="0" w:afterLines="0" w:line="240" w:lineRule="exact"/>
                    <w:ind w:firstLine="360" w:firstLineChars="200"/>
                    <w:jc w:val="both"/>
                    <w:rPr>
                      <w:rFonts w:ascii="Times New Roman"/>
                      <w:sz w:val="18"/>
                      <w:szCs w:val="18"/>
                    </w:rPr>
                  </w:pPr>
                  <w:r>
                    <w:rPr>
                      <w:rFonts w:hint="eastAsia" w:ascii="Times New Roman"/>
                      <w:sz w:val="18"/>
                      <w:szCs w:val="18"/>
                    </w:rPr>
                    <w:t>采取“四防”（防风、防雨、防晒、防渗漏）措施，地面和墙体（不低于1.2m）应采取防腐、防渗措施。危险废物贮存区应设置液体导流和收集装置，地面应无液体积聚；不同种类的危险废物应单独收集、分类存放，中间有明显间隔；贮存场所应设置警示标识；铅蓄电池的贮存区的地面应做防酸、防腐、防渗及硬化处理。</w:t>
                  </w:r>
                </w:p>
              </w:tc>
              <w:tc>
                <w:tcPr>
                  <w:tcW w:w="495" w:type="pct"/>
                  <w:tcBorders>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ascii="Times New Roman"/>
                      <w:sz w:val="18"/>
                      <w:szCs w:val="18"/>
                    </w:rPr>
                    <w:t>新建</w:t>
                  </w:r>
                </w:p>
              </w:tc>
            </w:tr>
          </w:tbl>
          <w:p>
            <w:pPr>
              <w:spacing w:line="480" w:lineRule="exact"/>
              <w:rPr>
                <w:b/>
                <w:sz w:val="24"/>
              </w:rPr>
            </w:pPr>
            <w:r>
              <w:rPr>
                <w:rFonts w:hint="eastAsia"/>
                <w:b/>
                <w:sz w:val="24"/>
              </w:rPr>
              <w:t>2.1.</w:t>
            </w:r>
            <w:r>
              <w:rPr>
                <w:b/>
                <w:sz w:val="24"/>
              </w:rPr>
              <w:t>3</w:t>
            </w:r>
            <w:r>
              <w:rPr>
                <w:rFonts w:hint="eastAsia"/>
                <w:b/>
                <w:sz w:val="24"/>
              </w:rPr>
              <w:t>主要产品及产能</w:t>
            </w:r>
          </w:p>
          <w:p>
            <w:pPr>
              <w:spacing w:line="480" w:lineRule="exact"/>
              <w:ind w:firstLine="480" w:firstLineChars="200"/>
              <w:rPr>
                <w:bCs/>
                <w:sz w:val="24"/>
              </w:rPr>
            </w:pPr>
            <w:r>
              <w:rPr>
                <w:rFonts w:hint="eastAsia"/>
                <w:bCs/>
                <w:sz w:val="24"/>
              </w:rPr>
              <w:t>拟建项目拆解方案</w:t>
            </w:r>
            <w:r>
              <w:rPr>
                <w:bCs/>
                <w:sz w:val="24"/>
              </w:rPr>
              <w:t>详见下表</w:t>
            </w:r>
            <w:r>
              <w:rPr>
                <w:rFonts w:hint="eastAsia"/>
                <w:bCs/>
                <w:sz w:val="24"/>
              </w:rPr>
              <w:t>2.1.</w:t>
            </w:r>
            <w:r>
              <w:rPr>
                <w:bCs/>
                <w:sz w:val="24"/>
              </w:rPr>
              <w:t>3</w:t>
            </w:r>
            <w:r>
              <w:rPr>
                <w:rFonts w:hint="eastAsia"/>
                <w:bCs/>
                <w:sz w:val="24"/>
              </w:rPr>
              <w:t>-1。拟建项目回收方案见表2.1.</w:t>
            </w:r>
            <w:r>
              <w:rPr>
                <w:bCs/>
                <w:sz w:val="24"/>
              </w:rPr>
              <w:t>3</w:t>
            </w:r>
            <w:r>
              <w:rPr>
                <w:rFonts w:hint="eastAsia"/>
                <w:bCs/>
                <w:sz w:val="24"/>
              </w:rPr>
              <w:t>-</w:t>
            </w:r>
            <w:r>
              <w:rPr>
                <w:bCs/>
                <w:sz w:val="24"/>
              </w:rPr>
              <w:t>2</w:t>
            </w:r>
            <w:r>
              <w:rPr>
                <w:rFonts w:hint="eastAsia"/>
                <w:bCs/>
                <w:sz w:val="24"/>
              </w:rPr>
              <w:t>~2.1.</w:t>
            </w:r>
            <w:r>
              <w:rPr>
                <w:bCs/>
                <w:sz w:val="24"/>
              </w:rPr>
              <w:t>3</w:t>
            </w:r>
            <w:r>
              <w:rPr>
                <w:rFonts w:hint="eastAsia"/>
                <w:bCs/>
                <w:sz w:val="24"/>
              </w:rPr>
              <w:t>-</w:t>
            </w:r>
            <w:r>
              <w:rPr>
                <w:bCs/>
                <w:sz w:val="24"/>
              </w:rPr>
              <w:t>4</w:t>
            </w:r>
            <w:r>
              <w:rPr>
                <w:rFonts w:hint="eastAsia"/>
                <w:bCs/>
                <w:sz w:val="24"/>
              </w:rPr>
              <w:t>。</w:t>
            </w:r>
          </w:p>
          <w:p>
            <w:pPr>
              <w:spacing w:line="480" w:lineRule="exact"/>
              <w:ind w:firstLine="480" w:firstLineChars="200"/>
              <w:rPr>
                <w:bCs/>
                <w:sz w:val="24"/>
              </w:rPr>
            </w:pPr>
            <w:r>
              <w:rPr>
                <w:rFonts w:hint="eastAsia"/>
                <w:bCs/>
                <w:sz w:val="24"/>
              </w:rPr>
              <w:t>（1）拟建项目拆解方案</w:t>
            </w:r>
          </w:p>
          <w:p>
            <w:pPr>
              <w:spacing w:line="500" w:lineRule="exact"/>
              <w:ind w:firstLine="360" w:firstLineChars="200"/>
              <w:jc w:val="center"/>
              <w:rPr>
                <w:sz w:val="18"/>
                <w:szCs w:val="18"/>
              </w:rPr>
            </w:pPr>
            <w:r>
              <w:rPr>
                <w:sz w:val="18"/>
                <w:szCs w:val="18"/>
              </w:rPr>
              <w:t>表</w:t>
            </w:r>
            <w:r>
              <w:rPr>
                <w:rFonts w:hint="eastAsia"/>
                <w:sz w:val="18"/>
                <w:szCs w:val="18"/>
              </w:rPr>
              <w:t>2.1.</w:t>
            </w:r>
            <w:r>
              <w:rPr>
                <w:sz w:val="18"/>
                <w:szCs w:val="18"/>
              </w:rPr>
              <w:t>3</w:t>
            </w:r>
            <w:r>
              <w:rPr>
                <w:rFonts w:hint="eastAsia"/>
                <w:sz w:val="18"/>
                <w:szCs w:val="18"/>
              </w:rPr>
              <w:t>-1拟建项目拆解方案</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3"/>
              <w:gridCol w:w="953"/>
              <w:gridCol w:w="637"/>
              <w:gridCol w:w="850"/>
              <w:gridCol w:w="850"/>
              <w:gridCol w:w="1001"/>
              <w:gridCol w:w="992"/>
              <w:gridCol w:w="17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906" w:type="dxa"/>
                  <w:gridSpan w:val="2"/>
                  <w:shd w:val="clear" w:color="auto" w:fill="auto"/>
                  <w:vAlign w:val="center"/>
                </w:tcPr>
                <w:p>
                  <w:pPr>
                    <w:widowControl/>
                    <w:spacing w:line="240" w:lineRule="exact"/>
                    <w:jc w:val="center"/>
                    <w:rPr>
                      <w:kern w:val="0"/>
                      <w:sz w:val="18"/>
                      <w:szCs w:val="18"/>
                    </w:rPr>
                  </w:pPr>
                  <w:r>
                    <w:rPr>
                      <w:kern w:val="0"/>
                      <w:sz w:val="18"/>
                      <w:szCs w:val="18"/>
                    </w:rPr>
                    <w:t>原材料名称</w:t>
                  </w:r>
                </w:p>
              </w:tc>
              <w:tc>
                <w:tcPr>
                  <w:tcW w:w="637" w:type="dxa"/>
                  <w:shd w:val="clear" w:color="auto" w:fill="auto"/>
                  <w:vAlign w:val="center"/>
                </w:tcPr>
                <w:p>
                  <w:pPr>
                    <w:widowControl/>
                    <w:spacing w:line="240" w:lineRule="exact"/>
                    <w:jc w:val="center"/>
                    <w:rPr>
                      <w:kern w:val="0"/>
                      <w:sz w:val="18"/>
                      <w:szCs w:val="18"/>
                    </w:rPr>
                  </w:pPr>
                  <w:r>
                    <w:rPr>
                      <w:kern w:val="0"/>
                      <w:sz w:val="18"/>
                      <w:szCs w:val="18"/>
                    </w:rPr>
                    <w:t>单位</w:t>
                  </w:r>
                </w:p>
              </w:tc>
              <w:tc>
                <w:tcPr>
                  <w:tcW w:w="850" w:type="dxa"/>
                  <w:shd w:val="clear" w:color="auto" w:fill="auto"/>
                  <w:vAlign w:val="center"/>
                </w:tcPr>
                <w:p>
                  <w:pPr>
                    <w:widowControl/>
                    <w:spacing w:line="240" w:lineRule="exact"/>
                    <w:jc w:val="center"/>
                    <w:rPr>
                      <w:kern w:val="0"/>
                      <w:sz w:val="18"/>
                      <w:szCs w:val="18"/>
                    </w:rPr>
                  </w:pPr>
                  <w:r>
                    <w:rPr>
                      <w:kern w:val="0"/>
                      <w:sz w:val="18"/>
                      <w:szCs w:val="18"/>
                    </w:rPr>
                    <w:t>年用量</w:t>
                  </w:r>
                </w:p>
              </w:tc>
              <w:tc>
                <w:tcPr>
                  <w:tcW w:w="850" w:type="dxa"/>
                  <w:shd w:val="clear" w:color="auto" w:fill="auto"/>
                  <w:vAlign w:val="center"/>
                </w:tcPr>
                <w:p>
                  <w:pPr>
                    <w:widowControl/>
                    <w:spacing w:line="240" w:lineRule="exact"/>
                    <w:jc w:val="center"/>
                    <w:rPr>
                      <w:kern w:val="0"/>
                      <w:sz w:val="18"/>
                      <w:szCs w:val="18"/>
                    </w:rPr>
                  </w:pPr>
                  <w:r>
                    <w:rPr>
                      <w:kern w:val="0"/>
                      <w:sz w:val="18"/>
                      <w:szCs w:val="18"/>
                    </w:rPr>
                    <w:t>形态</w:t>
                  </w:r>
                </w:p>
              </w:tc>
              <w:tc>
                <w:tcPr>
                  <w:tcW w:w="1001" w:type="dxa"/>
                  <w:shd w:val="clear" w:color="auto" w:fill="auto"/>
                  <w:vAlign w:val="center"/>
                </w:tcPr>
                <w:p>
                  <w:pPr>
                    <w:widowControl/>
                    <w:spacing w:line="240" w:lineRule="exact"/>
                    <w:jc w:val="center"/>
                    <w:rPr>
                      <w:kern w:val="0"/>
                      <w:sz w:val="18"/>
                      <w:szCs w:val="18"/>
                    </w:rPr>
                  </w:pPr>
                  <w:r>
                    <w:rPr>
                      <w:kern w:val="0"/>
                      <w:sz w:val="18"/>
                      <w:szCs w:val="18"/>
                    </w:rPr>
                    <w:t>材料标准及规格</w:t>
                  </w:r>
                </w:p>
              </w:tc>
              <w:tc>
                <w:tcPr>
                  <w:tcW w:w="992" w:type="dxa"/>
                  <w:shd w:val="clear" w:color="auto" w:fill="auto"/>
                  <w:vAlign w:val="center"/>
                </w:tcPr>
                <w:p>
                  <w:pPr>
                    <w:widowControl/>
                    <w:spacing w:line="240" w:lineRule="exact"/>
                    <w:jc w:val="center"/>
                    <w:rPr>
                      <w:kern w:val="0"/>
                      <w:sz w:val="18"/>
                      <w:szCs w:val="18"/>
                    </w:rPr>
                  </w:pPr>
                  <w:r>
                    <w:rPr>
                      <w:kern w:val="0"/>
                      <w:sz w:val="18"/>
                      <w:szCs w:val="18"/>
                    </w:rPr>
                    <w:t>备注</w:t>
                  </w:r>
                </w:p>
              </w:tc>
              <w:tc>
                <w:tcPr>
                  <w:tcW w:w="1703" w:type="dxa"/>
                  <w:vAlign w:val="center"/>
                </w:tcPr>
                <w:p>
                  <w:pPr>
                    <w:widowControl/>
                    <w:spacing w:line="240" w:lineRule="exact"/>
                    <w:jc w:val="center"/>
                    <w:rPr>
                      <w:kern w:val="0"/>
                      <w:sz w:val="18"/>
                      <w:szCs w:val="18"/>
                    </w:rPr>
                  </w:pPr>
                  <w:r>
                    <w:rPr>
                      <w:rFonts w:hint="eastAsia"/>
                      <w:kern w:val="0"/>
                      <w:sz w:val="18"/>
                      <w:szCs w:val="18"/>
                    </w:rPr>
                    <w:t>生产线设置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906" w:type="dxa"/>
                  <w:gridSpan w:val="2"/>
                  <w:shd w:val="clear" w:color="auto" w:fill="auto"/>
                  <w:vAlign w:val="center"/>
                </w:tcPr>
                <w:p>
                  <w:pPr>
                    <w:widowControl/>
                    <w:spacing w:line="240" w:lineRule="exact"/>
                    <w:jc w:val="center"/>
                    <w:rPr>
                      <w:kern w:val="0"/>
                      <w:sz w:val="18"/>
                      <w:szCs w:val="18"/>
                    </w:rPr>
                  </w:pPr>
                  <w:r>
                    <w:rPr>
                      <w:kern w:val="0"/>
                      <w:sz w:val="18"/>
                      <w:szCs w:val="18"/>
                    </w:rPr>
                    <w:t>报废电动汽车</w:t>
                  </w:r>
                </w:p>
              </w:tc>
              <w:tc>
                <w:tcPr>
                  <w:tcW w:w="637" w:type="dxa"/>
                  <w:shd w:val="clear" w:color="auto" w:fill="auto"/>
                  <w:vAlign w:val="center"/>
                </w:tcPr>
                <w:p>
                  <w:pPr>
                    <w:widowControl/>
                    <w:spacing w:line="240" w:lineRule="exact"/>
                    <w:jc w:val="center"/>
                    <w:rPr>
                      <w:kern w:val="0"/>
                      <w:sz w:val="18"/>
                      <w:szCs w:val="18"/>
                    </w:rPr>
                  </w:pPr>
                  <w:r>
                    <w:rPr>
                      <w:kern w:val="0"/>
                      <w:sz w:val="18"/>
                      <w:szCs w:val="18"/>
                    </w:rPr>
                    <w:t>辆/a</w:t>
                  </w:r>
                </w:p>
              </w:tc>
              <w:tc>
                <w:tcPr>
                  <w:tcW w:w="850" w:type="dxa"/>
                  <w:shd w:val="clear" w:color="auto" w:fill="auto"/>
                  <w:vAlign w:val="center"/>
                </w:tcPr>
                <w:p>
                  <w:pPr>
                    <w:widowControl/>
                    <w:spacing w:line="240" w:lineRule="exact"/>
                    <w:jc w:val="center"/>
                    <w:rPr>
                      <w:kern w:val="0"/>
                      <w:sz w:val="18"/>
                      <w:szCs w:val="18"/>
                    </w:rPr>
                  </w:pPr>
                  <w:r>
                    <w:rPr>
                      <w:kern w:val="0"/>
                      <w:sz w:val="18"/>
                      <w:szCs w:val="18"/>
                    </w:rPr>
                    <w:t>7500</w:t>
                  </w:r>
                </w:p>
              </w:tc>
              <w:tc>
                <w:tcPr>
                  <w:tcW w:w="850" w:type="dxa"/>
                  <w:shd w:val="clear" w:color="auto" w:fill="auto"/>
                  <w:vAlign w:val="center"/>
                </w:tcPr>
                <w:p>
                  <w:pPr>
                    <w:widowControl/>
                    <w:spacing w:line="240" w:lineRule="exact"/>
                    <w:jc w:val="center"/>
                    <w:rPr>
                      <w:kern w:val="0"/>
                      <w:sz w:val="18"/>
                      <w:szCs w:val="18"/>
                    </w:rPr>
                  </w:pPr>
                  <w:r>
                    <w:rPr>
                      <w:kern w:val="0"/>
                      <w:sz w:val="18"/>
                      <w:szCs w:val="18"/>
                    </w:rPr>
                    <w:t>固态</w:t>
                  </w:r>
                </w:p>
              </w:tc>
              <w:tc>
                <w:tcPr>
                  <w:tcW w:w="1001" w:type="dxa"/>
                  <w:shd w:val="clear" w:color="auto" w:fill="auto"/>
                  <w:vAlign w:val="center"/>
                </w:tcPr>
                <w:p>
                  <w:pPr>
                    <w:widowControl/>
                    <w:spacing w:line="240" w:lineRule="exact"/>
                    <w:jc w:val="center"/>
                    <w:rPr>
                      <w:kern w:val="0"/>
                      <w:sz w:val="18"/>
                      <w:szCs w:val="18"/>
                    </w:rPr>
                  </w:pPr>
                  <w:r>
                    <w:rPr>
                      <w:kern w:val="0"/>
                      <w:sz w:val="18"/>
                      <w:szCs w:val="18"/>
                    </w:rPr>
                    <w:t>1.8t/辆</w:t>
                  </w:r>
                </w:p>
              </w:tc>
              <w:tc>
                <w:tcPr>
                  <w:tcW w:w="992" w:type="dxa"/>
                  <w:shd w:val="clear" w:color="auto" w:fill="auto"/>
                  <w:vAlign w:val="center"/>
                </w:tcPr>
                <w:p>
                  <w:pPr>
                    <w:widowControl/>
                    <w:spacing w:line="240" w:lineRule="exact"/>
                    <w:jc w:val="center"/>
                    <w:rPr>
                      <w:kern w:val="0"/>
                      <w:sz w:val="18"/>
                      <w:szCs w:val="18"/>
                    </w:rPr>
                  </w:pPr>
                  <w:r>
                    <w:rPr>
                      <w:kern w:val="0"/>
                      <w:sz w:val="18"/>
                      <w:szCs w:val="18"/>
                    </w:rPr>
                    <w:t>总重13500t</w:t>
                  </w:r>
                </w:p>
              </w:tc>
              <w:tc>
                <w:tcPr>
                  <w:tcW w:w="1703" w:type="dxa"/>
                  <w:vAlign w:val="center"/>
                </w:tcPr>
                <w:p>
                  <w:pPr>
                    <w:widowControl/>
                    <w:spacing w:line="240" w:lineRule="exact"/>
                    <w:jc w:val="center"/>
                    <w:rPr>
                      <w:kern w:val="0"/>
                      <w:sz w:val="18"/>
                      <w:szCs w:val="18"/>
                    </w:rPr>
                  </w:pPr>
                  <w:r>
                    <w:rPr>
                      <w:rFonts w:hint="eastAsia"/>
                      <w:kern w:val="0"/>
                      <w:sz w:val="18"/>
                      <w:szCs w:val="18"/>
                    </w:rPr>
                    <w:t>新能源汽车拆解生产线+燃油小车精细化流水式拆解生产线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953" w:type="dxa"/>
                  <w:vMerge w:val="restart"/>
                  <w:shd w:val="clear" w:color="auto" w:fill="auto"/>
                  <w:vAlign w:val="center"/>
                </w:tcPr>
                <w:p>
                  <w:pPr>
                    <w:widowControl/>
                    <w:spacing w:line="240" w:lineRule="exact"/>
                    <w:jc w:val="center"/>
                    <w:rPr>
                      <w:kern w:val="0"/>
                      <w:sz w:val="18"/>
                      <w:szCs w:val="18"/>
                    </w:rPr>
                  </w:pPr>
                  <w:r>
                    <w:rPr>
                      <w:rFonts w:hint="eastAsia"/>
                      <w:kern w:val="0"/>
                      <w:sz w:val="18"/>
                      <w:szCs w:val="18"/>
                    </w:rPr>
                    <w:t>传统燃油报废车</w:t>
                  </w:r>
                </w:p>
              </w:tc>
              <w:tc>
                <w:tcPr>
                  <w:tcW w:w="953" w:type="dxa"/>
                  <w:shd w:val="clear" w:color="auto" w:fill="auto"/>
                  <w:vAlign w:val="center"/>
                </w:tcPr>
                <w:p>
                  <w:pPr>
                    <w:widowControl/>
                    <w:spacing w:line="240" w:lineRule="exact"/>
                    <w:jc w:val="center"/>
                    <w:rPr>
                      <w:kern w:val="0"/>
                      <w:sz w:val="18"/>
                      <w:szCs w:val="18"/>
                    </w:rPr>
                  </w:pPr>
                  <w:r>
                    <w:rPr>
                      <w:kern w:val="0"/>
                      <w:sz w:val="18"/>
                      <w:szCs w:val="18"/>
                    </w:rPr>
                    <w:t>小型</w:t>
                  </w:r>
                </w:p>
              </w:tc>
              <w:tc>
                <w:tcPr>
                  <w:tcW w:w="637" w:type="dxa"/>
                  <w:shd w:val="clear" w:color="auto" w:fill="auto"/>
                  <w:vAlign w:val="center"/>
                </w:tcPr>
                <w:p>
                  <w:pPr>
                    <w:widowControl/>
                    <w:spacing w:line="240" w:lineRule="exact"/>
                    <w:jc w:val="center"/>
                    <w:rPr>
                      <w:kern w:val="0"/>
                      <w:sz w:val="18"/>
                      <w:szCs w:val="18"/>
                    </w:rPr>
                  </w:pPr>
                  <w:r>
                    <w:rPr>
                      <w:kern w:val="0"/>
                      <w:sz w:val="18"/>
                      <w:szCs w:val="18"/>
                    </w:rPr>
                    <w:t>辆/a</w:t>
                  </w:r>
                </w:p>
              </w:tc>
              <w:tc>
                <w:tcPr>
                  <w:tcW w:w="850" w:type="dxa"/>
                  <w:shd w:val="clear" w:color="auto" w:fill="auto"/>
                  <w:vAlign w:val="center"/>
                </w:tcPr>
                <w:p>
                  <w:pPr>
                    <w:widowControl/>
                    <w:spacing w:line="240" w:lineRule="exact"/>
                    <w:jc w:val="center"/>
                    <w:rPr>
                      <w:kern w:val="0"/>
                      <w:sz w:val="18"/>
                      <w:szCs w:val="18"/>
                    </w:rPr>
                  </w:pPr>
                  <w:r>
                    <w:rPr>
                      <w:kern w:val="0"/>
                      <w:sz w:val="18"/>
                      <w:szCs w:val="18"/>
                    </w:rPr>
                    <w:t>10500</w:t>
                  </w:r>
                </w:p>
              </w:tc>
              <w:tc>
                <w:tcPr>
                  <w:tcW w:w="850" w:type="dxa"/>
                  <w:shd w:val="clear" w:color="auto" w:fill="auto"/>
                  <w:vAlign w:val="center"/>
                </w:tcPr>
                <w:p>
                  <w:pPr>
                    <w:widowControl/>
                    <w:spacing w:line="240" w:lineRule="exact"/>
                    <w:jc w:val="center"/>
                    <w:rPr>
                      <w:kern w:val="0"/>
                      <w:sz w:val="18"/>
                      <w:szCs w:val="18"/>
                    </w:rPr>
                  </w:pPr>
                  <w:r>
                    <w:rPr>
                      <w:kern w:val="0"/>
                      <w:sz w:val="18"/>
                      <w:szCs w:val="18"/>
                    </w:rPr>
                    <w:t>固态</w:t>
                  </w:r>
                </w:p>
              </w:tc>
              <w:tc>
                <w:tcPr>
                  <w:tcW w:w="1001" w:type="dxa"/>
                  <w:shd w:val="clear" w:color="auto" w:fill="auto"/>
                  <w:vAlign w:val="center"/>
                </w:tcPr>
                <w:p>
                  <w:pPr>
                    <w:widowControl/>
                    <w:spacing w:line="240" w:lineRule="exact"/>
                    <w:jc w:val="center"/>
                    <w:rPr>
                      <w:kern w:val="0"/>
                      <w:sz w:val="18"/>
                      <w:szCs w:val="18"/>
                    </w:rPr>
                  </w:pPr>
                  <w:r>
                    <w:rPr>
                      <w:kern w:val="0"/>
                      <w:sz w:val="18"/>
                      <w:szCs w:val="18"/>
                    </w:rPr>
                    <w:t>1.5t/辆</w:t>
                  </w:r>
                </w:p>
              </w:tc>
              <w:tc>
                <w:tcPr>
                  <w:tcW w:w="992" w:type="dxa"/>
                  <w:shd w:val="clear" w:color="auto" w:fill="auto"/>
                  <w:noWrap/>
                  <w:vAlign w:val="center"/>
                </w:tcPr>
                <w:p>
                  <w:pPr>
                    <w:widowControl/>
                    <w:spacing w:line="240" w:lineRule="exact"/>
                    <w:jc w:val="center"/>
                    <w:rPr>
                      <w:kern w:val="0"/>
                      <w:sz w:val="18"/>
                      <w:szCs w:val="18"/>
                    </w:rPr>
                  </w:pPr>
                  <w:r>
                    <w:rPr>
                      <w:kern w:val="0"/>
                      <w:sz w:val="18"/>
                      <w:szCs w:val="18"/>
                    </w:rPr>
                    <w:t>总重15750t</w:t>
                  </w:r>
                </w:p>
              </w:tc>
              <w:tc>
                <w:tcPr>
                  <w:tcW w:w="1703" w:type="dxa"/>
                  <w:vAlign w:val="center"/>
                </w:tcPr>
                <w:p>
                  <w:pPr>
                    <w:widowControl/>
                    <w:spacing w:line="240" w:lineRule="exact"/>
                    <w:jc w:val="center"/>
                    <w:rPr>
                      <w:kern w:val="0"/>
                      <w:sz w:val="18"/>
                      <w:szCs w:val="18"/>
                    </w:rPr>
                  </w:pPr>
                  <w:r>
                    <w:rPr>
                      <w:rFonts w:hint="eastAsia"/>
                      <w:kern w:val="0"/>
                      <w:sz w:val="18"/>
                      <w:szCs w:val="18"/>
                    </w:rPr>
                    <w:t>燃油小车精细化流水式拆解生产线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953" w:type="dxa"/>
                  <w:vMerge w:val="continue"/>
                  <w:vAlign w:val="center"/>
                </w:tcPr>
                <w:p>
                  <w:pPr>
                    <w:widowControl/>
                    <w:spacing w:line="240" w:lineRule="exact"/>
                    <w:jc w:val="center"/>
                    <w:rPr>
                      <w:kern w:val="0"/>
                      <w:sz w:val="18"/>
                      <w:szCs w:val="18"/>
                    </w:rPr>
                  </w:pPr>
                </w:p>
              </w:tc>
              <w:tc>
                <w:tcPr>
                  <w:tcW w:w="953" w:type="dxa"/>
                  <w:shd w:val="clear" w:color="auto" w:fill="auto"/>
                  <w:vAlign w:val="center"/>
                </w:tcPr>
                <w:p>
                  <w:pPr>
                    <w:widowControl/>
                    <w:spacing w:line="240" w:lineRule="exact"/>
                    <w:jc w:val="center"/>
                    <w:rPr>
                      <w:kern w:val="0"/>
                      <w:sz w:val="18"/>
                      <w:szCs w:val="18"/>
                    </w:rPr>
                  </w:pPr>
                  <w:r>
                    <w:rPr>
                      <w:kern w:val="0"/>
                      <w:sz w:val="18"/>
                      <w:szCs w:val="18"/>
                    </w:rPr>
                    <w:t>中型</w:t>
                  </w:r>
                </w:p>
              </w:tc>
              <w:tc>
                <w:tcPr>
                  <w:tcW w:w="637" w:type="dxa"/>
                  <w:shd w:val="clear" w:color="auto" w:fill="auto"/>
                  <w:vAlign w:val="center"/>
                </w:tcPr>
                <w:p>
                  <w:pPr>
                    <w:widowControl/>
                    <w:spacing w:line="240" w:lineRule="exact"/>
                    <w:jc w:val="center"/>
                    <w:rPr>
                      <w:kern w:val="0"/>
                      <w:sz w:val="18"/>
                      <w:szCs w:val="18"/>
                    </w:rPr>
                  </w:pPr>
                  <w:r>
                    <w:rPr>
                      <w:kern w:val="0"/>
                      <w:sz w:val="18"/>
                      <w:szCs w:val="18"/>
                    </w:rPr>
                    <w:t>辆/a</w:t>
                  </w:r>
                </w:p>
              </w:tc>
              <w:tc>
                <w:tcPr>
                  <w:tcW w:w="850" w:type="dxa"/>
                  <w:shd w:val="clear" w:color="auto" w:fill="auto"/>
                  <w:vAlign w:val="center"/>
                </w:tcPr>
                <w:p>
                  <w:pPr>
                    <w:widowControl/>
                    <w:spacing w:line="240" w:lineRule="exact"/>
                    <w:jc w:val="center"/>
                    <w:rPr>
                      <w:kern w:val="0"/>
                      <w:sz w:val="18"/>
                      <w:szCs w:val="18"/>
                    </w:rPr>
                  </w:pPr>
                  <w:r>
                    <w:rPr>
                      <w:kern w:val="0"/>
                      <w:sz w:val="18"/>
                      <w:szCs w:val="18"/>
                    </w:rPr>
                    <w:t>7500</w:t>
                  </w:r>
                </w:p>
              </w:tc>
              <w:tc>
                <w:tcPr>
                  <w:tcW w:w="850" w:type="dxa"/>
                  <w:shd w:val="clear" w:color="auto" w:fill="auto"/>
                  <w:vAlign w:val="center"/>
                </w:tcPr>
                <w:p>
                  <w:pPr>
                    <w:widowControl/>
                    <w:spacing w:line="240" w:lineRule="exact"/>
                    <w:jc w:val="center"/>
                    <w:rPr>
                      <w:kern w:val="0"/>
                      <w:sz w:val="18"/>
                      <w:szCs w:val="18"/>
                    </w:rPr>
                  </w:pPr>
                  <w:r>
                    <w:rPr>
                      <w:kern w:val="0"/>
                      <w:sz w:val="18"/>
                      <w:szCs w:val="18"/>
                    </w:rPr>
                    <w:t>固态</w:t>
                  </w:r>
                </w:p>
              </w:tc>
              <w:tc>
                <w:tcPr>
                  <w:tcW w:w="1001" w:type="dxa"/>
                  <w:shd w:val="clear" w:color="auto" w:fill="auto"/>
                  <w:vAlign w:val="center"/>
                </w:tcPr>
                <w:p>
                  <w:pPr>
                    <w:widowControl/>
                    <w:spacing w:line="240" w:lineRule="exact"/>
                    <w:jc w:val="center"/>
                    <w:rPr>
                      <w:kern w:val="0"/>
                      <w:sz w:val="18"/>
                      <w:szCs w:val="18"/>
                    </w:rPr>
                  </w:pPr>
                  <w:r>
                    <w:rPr>
                      <w:kern w:val="0"/>
                      <w:sz w:val="18"/>
                      <w:szCs w:val="18"/>
                    </w:rPr>
                    <w:t>3t/辆</w:t>
                  </w:r>
                </w:p>
              </w:tc>
              <w:tc>
                <w:tcPr>
                  <w:tcW w:w="992" w:type="dxa"/>
                  <w:shd w:val="clear" w:color="auto" w:fill="auto"/>
                  <w:noWrap/>
                  <w:vAlign w:val="center"/>
                </w:tcPr>
                <w:p>
                  <w:pPr>
                    <w:widowControl/>
                    <w:spacing w:line="240" w:lineRule="exact"/>
                    <w:jc w:val="center"/>
                    <w:rPr>
                      <w:kern w:val="0"/>
                      <w:sz w:val="18"/>
                      <w:szCs w:val="18"/>
                    </w:rPr>
                  </w:pPr>
                  <w:r>
                    <w:rPr>
                      <w:kern w:val="0"/>
                      <w:sz w:val="18"/>
                      <w:szCs w:val="18"/>
                    </w:rPr>
                    <w:t>总重22500t</w:t>
                  </w:r>
                </w:p>
              </w:tc>
              <w:tc>
                <w:tcPr>
                  <w:tcW w:w="1703" w:type="dxa"/>
                  <w:vMerge w:val="restart"/>
                  <w:vAlign w:val="center"/>
                </w:tcPr>
                <w:p>
                  <w:pPr>
                    <w:widowControl/>
                    <w:spacing w:line="240" w:lineRule="exact"/>
                    <w:jc w:val="center"/>
                    <w:rPr>
                      <w:kern w:val="0"/>
                      <w:sz w:val="18"/>
                      <w:szCs w:val="18"/>
                    </w:rPr>
                  </w:pPr>
                  <w:r>
                    <w:rPr>
                      <w:rFonts w:hint="eastAsia"/>
                      <w:kern w:val="0"/>
                      <w:sz w:val="18"/>
                      <w:szCs w:val="18"/>
                    </w:rPr>
                    <w:t>燃油大车拆解生产线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953" w:type="dxa"/>
                  <w:vMerge w:val="continue"/>
                  <w:vAlign w:val="center"/>
                </w:tcPr>
                <w:p>
                  <w:pPr>
                    <w:widowControl/>
                    <w:spacing w:line="240" w:lineRule="exact"/>
                    <w:jc w:val="center"/>
                    <w:rPr>
                      <w:kern w:val="0"/>
                      <w:sz w:val="18"/>
                      <w:szCs w:val="18"/>
                    </w:rPr>
                  </w:pPr>
                </w:p>
              </w:tc>
              <w:tc>
                <w:tcPr>
                  <w:tcW w:w="953" w:type="dxa"/>
                  <w:shd w:val="clear" w:color="auto" w:fill="auto"/>
                  <w:vAlign w:val="center"/>
                </w:tcPr>
                <w:p>
                  <w:pPr>
                    <w:widowControl/>
                    <w:spacing w:line="240" w:lineRule="exact"/>
                    <w:jc w:val="center"/>
                    <w:rPr>
                      <w:kern w:val="0"/>
                      <w:sz w:val="18"/>
                      <w:szCs w:val="18"/>
                    </w:rPr>
                  </w:pPr>
                  <w:r>
                    <w:rPr>
                      <w:kern w:val="0"/>
                      <w:sz w:val="18"/>
                      <w:szCs w:val="18"/>
                    </w:rPr>
                    <w:t>大型</w:t>
                  </w:r>
                </w:p>
              </w:tc>
              <w:tc>
                <w:tcPr>
                  <w:tcW w:w="637" w:type="dxa"/>
                  <w:shd w:val="clear" w:color="auto" w:fill="auto"/>
                  <w:vAlign w:val="center"/>
                </w:tcPr>
                <w:p>
                  <w:pPr>
                    <w:widowControl/>
                    <w:spacing w:line="240" w:lineRule="exact"/>
                    <w:jc w:val="center"/>
                    <w:rPr>
                      <w:kern w:val="0"/>
                      <w:sz w:val="18"/>
                      <w:szCs w:val="18"/>
                    </w:rPr>
                  </w:pPr>
                  <w:r>
                    <w:rPr>
                      <w:kern w:val="0"/>
                      <w:sz w:val="18"/>
                      <w:szCs w:val="18"/>
                    </w:rPr>
                    <w:t>辆/a</w:t>
                  </w:r>
                </w:p>
              </w:tc>
              <w:tc>
                <w:tcPr>
                  <w:tcW w:w="850" w:type="dxa"/>
                  <w:shd w:val="clear" w:color="auto" w:fill="auto"/>
                  <w:vAlign w:val="center"/>
                </w:tcPr>
                <w:p>
                  <w:pPr>
                    <w:widowControl/>
                    <w:spacing w:line="240" w:lineRule="exact"/>
                    <w:jc w:val="center"/>
                    <w:rPr>
                      <w:kern w:val="0"/>
                      <w:sz w:val="18"/>
                      <w:szCs w:val="18"/>
                    </w:rPr>
                  </w:pPr>
                  <w:r>
                    <w:rPr>
                      <w:kern w:val="0"/>
                      <w:sz w:val="18"/>
                      <w:szCs w:val="18"/>
                    </w:rPr>
                    <w:t>4500</w:t>
                  </w:r>
                </w:p>
              </w:tc>
              <w:tc>
                <w:tcPr>
                  <w:tcW w:w="850" w:type="dxa"/>
                  <w:shd w:val="clear" w:color="auto" w:fill="auto"/>
                  <w:vAlign w:val="center"/>
                </w:tcPr>
                <w:p>
                  <w:pPr>
                    <w:widowControl/>
                    <w:spacing w:line="240" w:lineRule="exact"/>
                    <w:jc w:val="center"/>
                    <w:rPr>
                      <w:kern w:val="0"/>
                      <w:sz w:val="18"/>
                      <w:szCs w:val="18"/>
                    </w:rPr>
                  </w:pPr>
                  <w:r>
                    <w:rPr>
                      <w:kern w:val="0"/>
                      <w:sz w:val="18"/>
                      <w:szCs w:val="18"/>
                    </w:rPr>
                    <w:t>固态</w:t>
                  </w:r>
                </w:p>
              </w:tc>
              <w:tc>
                <w:tcPr>
                  <w:tcW w:w="1001" w:type="dxa"/>
                  <w:shd w:val="clear" w:color="auto" w:fill="auto"/>
                  <w:vAlign w:val="center"/>
                </w:tcPr>
                <w:p>
                  <w:pPr>
                    <w:widowControl/>
                    <w:spacing w:line="240" w:lineRule="exact"/>
                    <w:jc w:val="center"/>
                    <w:rPr>
                      <w:kern w:val="0"/>
                      <w:sz w:val="18"/>
                      <w:szCs w:val="18"/>
                    </w:rPr>
                  </w:pPr>
                  <w:r>
                    <w:rPr>
                      <w:kern w:val="0"/>
                      <w:sz w:val="18"/>
                      <w:szCs w:val="18"/>
                    </w:rPr>
                    <w:t>5t/辆</w:t>
                  </w:r>
                </w:p>
              </w:tc>
              <w:tc>
                <w:tcPr>
                  <w:tcW w:w="992" w:type="dxa"/>
                  <w:shd w:val="clear" w:color="auto" w:fill="auto"/>
                  <w:noWrap/>
                  <w:vAlign w:val="center"/>
                </w:tcPr>
                <w:p>
                  <w:pPr>
                    <w:widowControl/>
                    <w:spacing w:line="240" w:lineRule="exact"/>
                    <w:jc w:val="center"/>
                    <w:rPr>
                      <w:kern w:val="0"/>
                      <w:sz w:val="18"/>
                      <w:szCs w:val="18"/>
                    </w:rPr>
                  </w:pPr>
                  <w:r>
                    <w:rPr>
                      <w:kern w:val="0"/>
                      <w:sz w:val="18"/>
                      <w:szCs w:val="18"/>
                    </w:rPr>
                    <w:t>总重22500t</w:t>
                  </w:r>
                </w:p>
              </w:tc>
              <w:tc>
                <w:tcPr>
                  <w:tcW w:w="1703" w:type="dxa"/>
                  <w:vMerge w:val="continue"/>
                  <w:vAlign w:val="center"/>
                </w:tcPr>
                <w:p>
                  <w:pPr>
                    <w:widowControl/>
                    <w:spacing w:line="240" w:lineRule="exact"/>
                    <w:jc w:val="center"/>
                    <w:rPr>
                      <w:kern w:val="0"/>
                      <w:sz w:val="18"/>
                      <w:szCs w:val="18"/>
                    </w:rPr>
                  </w:pPr>
                </w:p>
              </w:tc>
            </w:tr>
          </w:tbl>
          <w:p>
            <w:pPr>
              <w:spacing w:line="480" w:lineRule="exact"/>
              <w:ind w:firstLine="480" w:firstLineChars="200"/>
              <w:rPr>
                <w:bCs/>
                <w:sz w:val="24"/>
              </w:rPr>
            </w:pPr>
            <w:r>
              <w:rPr>
                <w:rFonts w:hint="eastAsia"/>
                <w:sz w:val="24"/>
              </w:rPr>
              <w:t>根据业主提供资料，报废汽车主要来源于大足区及周边区县，最后具体范围由商委统筹规划。拟建项目仅接收一般性质使用车辆的拆解，不接收槽罐车、危险化学品运输车等特殊装备车辆。企业主要是接收或收购达到国家机动车强制报废标准的机动车进行拆解（不对拆解下的零部件进行精细拆解及清洗，也不涉及废油加工）。</w:t>
            </w:r>
          </w:p>
          <w:p>
            <w:pPr>
              <w:spacing w:line="480" w:lineRule="exact"/>
              <w:ind w:firstLine="480" w:firstLineChars="200"/>
              <w:rPr>
                <w:bCs/>
                <w:sz w:val="24"/>
              </w:rPr>
            </w:pPr>
            <w:r>
              <w:rPr>
                <w:rFonts w:hint="eastAsia"/>
                <w:bCs/>
                <w:sz w:val="24"/>
              </w:rPr>
              <w:t>（2）拟建项目回收方案</w:t>
            </w:r>
          </w:p>
          <w:p>
            <w:pPr>
              <w:spacing w:line="480" w:lineRule="exact"/>
              <w:ind w:firstLine="480" w:firstLineChars="200"/>
              <w:rPr>
                <w:bCs/>
                <w:sz w:val="24"/>
              </w:rPr>
            </w:pPr>
            <w:r>
              <w:rPr>
                <w:rFonts w:hint="eastAsia"/>
                <w:bCs/>
                <w:sz w:val="24"/>
              </w:rPr>
              <w:t>由于项目的特殊性，拆解所得的废弃物同时也是项目的主要产品，项目报废汽车拆解生产线产品方案为报废车辆拆解下来的各种可回收的物品和零部件，即本项目的产品包括钢铁、有色金属、塑料、玻璃、总成和可用零部件等，建设单位将各种类可回收利用部件进行分类收集，并根据其用途、性质进行外售相关单位回收利用；项目汽车拆解各类可回收的物品和零部件作为本项目产品。</w:t>
            </w:r>
          </w:p>
          <w:p>
            <w:pPr>
              <w:pStyle w:val="128"/>
              <w:spacing w:line="480" w:lineRule="exact"/>
              <w:ind w:firstLine="480"/>
            </w:pPr>
            <w:r>
              <w:rPr>
                <w:rFonts w:hint="eastAsia"/>
              </w:rPr>
              <w:t>1）车辆基本构造</w:t>
            </w:r>
          </w:p>
          <w:p>
            <w:pPr>
              <w:pStyle w:val="128"/>
              <w:spacing w:line="480" w:lineRule="exact"/>
              <w:ind w:firstLine="480"/>
            </w:pPr>
            <w:r>
              <w:rPr>
                <w:rFonts w:hint="eastAsia"/>
              </w:rPr>
              <w:t>本项目拆解车辆分为废电动汽车和废传统燃料机动车。电动汽车根据</w:t>
            </w:r>
            <w:r>
              <w:t>报废汽车回收拆解企业技术规范》（GB22128-2019）</w:t>
            </w:r>
            <w:r>
              <w:rPr>
                <w:rFonts w:hint="eastAsia"/>
              </w:rPr>
              <w:t>定义“电动汽车为纯电动汽车、混合动力（电动）汽车、燃料电池电动汽车的总称”，传统燃料机动车主要为小轿车、客车、货车。</w:t>
            </w:r>
          </w:p>
          <w:p>
            <w:pPr>
              <w:pStyle w:val="128"/>
              <w:spacing w:line="480" w:lineRule="exact"/>
              <w:ind w:firstLine="480"/>
            </w:pPr>
            <w:r>
              <w:rPr>
                <w:rFonts w:hint="eastAsia"/>
              </w:rPr>
              <w:t>根据《汽车报废拆解和材料回收利用》中相关资料，本次工程拆解的基本构造都是由发动机、底盘、电气设备、车身四大部分组成，详见下表。</w:t>
            </w:r>
          </w:p>
          <w:p>
            <w:pPr>
              <w:pStyle w:val="128"/>
              <w:spacing w:line="240" w:lineRule="exact"/>
              <w:ind w:firstLine="0" w:firstLineChars="0"/>
              <w:jc w:val="center"/>
              <w:rPr>
                <w:rFonts w:cs="Times New Roman"/>
                <w:sz w:val="18"/>
                <w:szCs w:val="18"/>
              </w:rPr>
            </w:pPr>
          </w:p>
          <w:p>
            <w:pPr>
              <w:pStyle w:val="128"/>
              <w:spacing w:line="240" w:lineRule="exact"/>
              <w:ind w:firstLine="0" w:firstLineChars="0"/>
              <w:jc w:val="center"/>
              <w:rPr>
                <w:rFonts w:cs="Times New Roman"/>
                <w:sz w:val="18"/>
                <w:szCs w:val="18"/>
              </w:rPr>
            </w:pPr>
            <w:r>
              <w:rPr>
                <w:rFonts w:cs="Times New Roman"/>
                <w:sz w:val="18"/>
                <w:szCs w:val="18"/>
              </w:rPr>
              <w:t>表2.1.4</w:t>
            </w:r>
            <w:r>
              <w:rPr>
                <w:rFonts w:hint="eastAsia" w:cs="Times New Roman"/>
                <w:sz w:val="18"/>
                <w:szCs w:val="18"/>
              </w:rPr>
              <w:t>-</w:t>
            </w:r>
            <w:r>
              <w:rPr>
                <w:rFonts w:cs="Times New Roman"/>
                <w:sz w:val="18"/>
                <w:szCs w:val="18"/>
              </w:rPr>
              <w:t xml:space="preserve">2 </w:t>
            </w:r>
            <w:r>
              <w:rPr>
                <w:rFonts w:hint="eastAsia" w:cs="Times New Roman"/>
                <w:sz w:val="18"/>
                <w:szCs w:val="18"/>
              </w:rPr>
              <w:t>拆解汽车组成</w:t>
            </w:r>
            <w:r>
              <w:rPr>
                <w:rFonts w:cs="Times New Roman"/>
                <w:sz w:val="18"/>
                <w:szCs w:val="18"/>
              </w:rPr>
              <w:t>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56"/>
              <w:gridCol w:w="282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8" w:type="dxa"/>
                  <w:gridSpan w:val="2"/>
                  <w:vAlign w:val="center"/>
                </w:tcPr>
                <w:p>
                  <w:pPr>
                    <w:pStyle w:val="128"/>
                    <w:spacing w:line="240" w:lineRule="exact"/>
                    <w:ind w:firstLine="0" w:firstLineChars="0"/>
                    <w:jc w:val="center"/>
                    <w:rPr>
                      <w:rFonts w:cs="Times New Roman"/>
                      <w:sz w:val="18"/>
                      <w:szCs w:val="18"/>
                    </w:rPr>
                  </w:pPr>
                  <w:r>
                    <w:rPr>
                      <w:rFonts w:cs="Times New Roman"/>
                      <w:sz w:val="18"/>
                      <w:szCs w:val="18"/>
                    </w:rPr>
                    <w:t>基本构造</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主要组成</w:t>
                  </w:r>
                </w:p>
              </w:tc>
              <w:tc>
                <w:tcPr>
                  <w:tcW w:w="2688"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8" w:type="dxa"/>
                  <w:gridSpan w:val="2"/>
                  <w:vAlign w:val="center"/>
                </w:tcPr>
                <w:p>
                  <w:pPr>
                    <w:pStyle w:val="128"/>
                    <w:spacing w:line="240" w:lineRule="exact"/>
                    <w:ind w:firstLine="0" w:firstLineChars="0"/>
                    <w:jc w:val="center"/>
                    <w:rPr>
                      <w:rFonts w:cs="Times New Roman"/>
                      <w:sz w:val="18"/>
                      <w:szCs w:val="18"/>
                    </w:rPr>
                  </w:pPr>
                  <w:r>
                    <w:rPr>
                      <w:rFonts w:hint="eastAsia" w:cs="Times New Roman"/>
                      <w:sz w:val="18"/>
                      <w:szCs w:val="18"/>
                    </w:rPr>
                    <w:t>发动机</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发动机</w:t>
                  </w:r>
                </w:p>
              </w:tc>
              <w:tc>
                <w:tcPr>
                  <w:tcW w:w="2688" w:type="dxa"/>
                  <w:vMerge w:val="restart"/>
                  <w:vAlign w:val="center"/>
                </w:tcPr>
                <w:p>
                  <w:pPr>
                    <w:pStyle w:val="128"/>
                    <w:spacing w:line="240" w:lineRule="exact"/>
                    <w:ind w:firstLine="0" w:firstLineChars="0"/>
                    <w:jc w:val="center"/>
                    <w:rPr>
                      <w:rFonts w:cs="Times New Roman"/>
                      <w:sz w:val="18"/>
                      <w:szCs w:val="18"/>
                    </w:rPr>
                  </w:pP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vAlign w:val="center"/>
                </w:tcPr>
                <w:p>
                  <w:pPr>
                    <w:pStyle w:val="128"/>
                    <w:spacing w:line="240" w:lineRule="exact"/>
                    <w:ind w:firstLine="0" w:firstLineChars="0"/>
                    <w:jc w:val="center"/>
                    <w:rPr>
                      <w:rFonts w:cs="Times New Roman"/>
                      <w:sz w:val="18"/>
                      <w:szCs w:val="18"/>
                    </w:rPr>
                  </w:pPr>
                  <w:r>
                    <w:rPr>
                      <w:rFonts w:hint="eastAsia" w:cs="Times New Roman"/>
                      <w:sz w:val="18"/>
                      <w:szCs w:val="18"/>
                    </w:rPr>
                    <w:t>底盘</w:t>
                  </w: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传动系</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离合器、变速器、万向节、传动轴和驱动桥等</w:t>
                  </w:r>
                </w:p>
              </w:tc>
              <w:tc>
                <w:tcPr>
                  <w:tcW w:w="2688" w:type="dxa"/>
                  <w:vMerge w:val="continue"/>
                  <w:vAlign w:val="center"/>
                </w:tcPr>
                <w:p>
                  <w:pPr>
                    <w:pStyle w:val="128"/>
                    <w:spacing w:line="240" w:lineRule="exact"/>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vAlign w:val="center"/>
                </w:tcPr>
                <w:p>
                  <w:pPr>
                    <w:pStyle w:val="128"/>
                    <w:spacing w:line="240" w:lineRule="exact"/>
                    <w:ind w:firstLine="0" w:firstLineChars="0"/>
                    <w:jc w:val="center"/>
                    <w:rPr>
                      <w:rFonts w:cs="Times New Roman"/>
                      <w:sz w:val="18"/>
                      <w:szCs w:val="18"/>
                    </w:rPr>
                  </w:pP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行驶系</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车架、车桥、悬架和车轮等</w:t>
                  </w:r>
                </w:p>
              </w:tc>
              <w:tc>
                <w:tcPr>
                  <w:tcW w:w="2688"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vAlign w:val="center"/>
                </w:tcPr>
                <w:p>
                  <w:pPr>
                    <w:pStyle w:val="128"/>
                    <w:spacing w:line="240" w:lineRule="exact"/>
                    <w:ind w:firstLine="0" w:firstLineChars="0"/>
                    <w:jc w:val="center"/>
                    <w:rPr>
                      <w:rFonts w:cs="Times New Roman"/>
                      <w:sz w:val="18"/>
                      <w:szCs w:val="18"/>
                    </w:rPr>
                  </w:pP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转向系</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转向操作系统、转向器等</w:t>
                  </w:r>
                </w:p>
              </w:tc>
              <w:tc>
                <w:tcPr>
                  <w:tcW w:w="2688"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vAlign w:val="center"/>
                </w:tcPr>
                <w:p>
                  <w:pPr>
                    <w:pStyle w:val="128"/>
                    <w:spacing w:line="240" w:lineRule="exact"/>
                    <w:ind w:firstLine="0" w:firstLineChars="0"/>
                    <w:jc w:val="center"/>
                    <w:rPr>
                      <w:rFonts w:cs="Times New Roman"/>
                      <w:sz w:val="18"/>
                      <w:szCs w:val="18"/>
                    </w:rPr>
                  </w:pP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制动系</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制动操纵机构和制动器</w:t>
                  </w:r>
                </w:p>
              </w:tc>
              <w:tc>
                <w:tcPr>
                  <w:tcW w:w="2688"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8" w:type="dxa"/>
                  <w:gridSpan w:val="2"/>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车身</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车身壳体、车门、车窗、车前钣制件、车身内外装饰件和车身附件、座椅以及通风、暖气、冷气、空气调节装置等。</w:t>
                  </w:r>
                </w:p>
              </w:tc>
              <w:tc>
                <w:tcPr>
                  <w:tcW w:w="2688"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车身安装在底盘的车架上，用以驾驶员、旅客乘坐或装载货物；轿车、客车的车身一般是整体结构，货车车身一般由驾驶室和货箱两部分组成。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restart"/>
                  <w:vAlign w:val="center"/>
                </w:tcPr>
                <w:p>
                  <w:pPr>
                    <w:pStyle w:val="128"/>
                    <w:spacing w:line="240" w:lineRule="exact"/>
                    <w:ind w:firstLine="0" w:firstLineChars="0"/>
                    <w:jc w:val="center"/>
                    <w:rPr>
                      <w:rFonts w:cs="Times New Roman"/>
                      <w:sz w:val="18"/>
                      <w:szCs w:val="18"/>
                    </w:rPr>
                  </w:pPr>
                  <w:r>
                    <w:rPr>
                      <w:rFonts w:hint="eastAsia" w:cs="Times New Roman"/>
                      <w:sz w:val="18"/>
                      <w:szCs w:val="18"/>
                    </w:rPr>
                    <w:t>电气设备</w:t>
                  </w: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电源</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蓄电池、发电机、马达</w:t>
                  </w:r>
                </w:p>
              </w:tc>
              <w:tc>
                <w:tcPr>
                  <w:tcW w:w="2688" w:type="dxa"/>
                  <w:vAlign w:val="center"/>
                </w:tcPr>
                <w:p>
                  <w:pPr>
                    <w:pStyle w:val="128"/>
                    <w:spacing w:line="240" w:lineRule="exact"/>
                    <w:ind w:firstLine="0" w:firstLineChars="0"/>
                    <w:jc w:val="center"/>
                    <w:rPr>
                      <w:rFonts w:cs="Times New Roman"/>
                      <w:sz w:val="18"/>
                      <w:szCs w:val="18"/>
                    </w:rPr>
                  </w:pPr>
                  <w:r>
                    <w:rPr>
                      <w:rFonts w:hint="eastAsia"/>
                      <w:sz w:val="18"/>
                      <w:szCs w:val="18"/>
                    </w:rPr>
                    <w:t>电动汽车的动力蓄电池；传统燃料机动车蓄电池为铅蓄电池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vMerge w:val="continue"/>
                  <w:vAlign w:val="center"/>
                </w:tcPr>
                <w:p>
                  <w:pPr>
                    <w:pStyle w:val="128"/>
                    <w:spacing w:line="240" w:lineRule="exact"/>
                    <w:ind w:firstLine="0" w:firstLineChars="0"/>
                    <w:jc w:val="center"/>
                    <w:rPr>
                      <w:rFonts w:cs="Times New Roman"/>
                      <w:sz w:val="18"/>
                      <w:szCs w:val="18"/>
                    </w:rPr>
                  </w:pPr>
                </w:p>
              </w:tc>
              <w:tc>
                <w:tcPr>
                  <w:tcW w:w="1843"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用电设备</w:t>
                  </w:r>
                </w:p>
              </w:tc>
              <w:tc>
                <w:tcPr>
                  <w:tcW w:w="2977" w:type="dxa"/>
                  <w:vAlign w:val="center"/>
                </w:tcPr>
                <w:p>
                  <w:pPr>
                    <w:pStyle w:val="128"/>
                    <w:spacing w:line="240" w:lineRule="exact"/>
                    <w:ind w:firstLine="0" w:firstLineChars="0"/>
                    <w:jc w:val="center"/>
                    <w:rPr>
                      <w:rFonts w:cs="Times New Roman"/>
                      <w:sz w:val="18"/>
                      <w:szCs w:val="18"/>
                    </w:rPr>
                  </w:pPr>
                  <w:r>
                    <w:rPr>
                      <w:rFonts w:hint="eastAsia" w:cs="Times New Roman"/>
                      <w:sz w:val="18"/>
                      <w:szCs w:val="18"/>
                    </w:rPr>
                    <w:t>发动机的</w:t>
                  </w:r>
                  <w:r>
                    <w:rPr>
                      <w:rFonts w:hint="eastAsia" w:cs="Times New Roman"/>
                      <w:sz w:val="18"/>
                      <w:szCs w:val="18"/>
                      <w:lang w:eastAsia="zh-CN"/>
                    </w:rPr>
                    <w:t>启动</w:t>
                  </w:r>
                  <w:r>
                    <w:rPr>
                      <w:rFonts w:hint="eastAsia" w:cs="Times New Roman"/>
                      <w:sz w:val="18"/>
                      <w:szCs w:val="18"/>
                    </w:rPr>
                    <w:t>系、汽油机的点火系和其它用电装置</w:t>
                  </w:r>
                </w:p>
              </w:tc>
              <w:tc>
                <w:tcPr>
                  <w:tcW w:w="2688" w:type="dxa"/>
                  <w:vAlign w:val="center"/>
                </w:tcPr>
                <w:p>
                  <w:pPr>
                    <w:pStyle w:val="128"/>
                    <w:spacing w:line="240" w:lineRule="exact"/>
                    <w:ind w:firstLine="0" w:firstLineChars="0"/>
                    <w:jc w:val="center"/>
                    <w:rPr>
                      <w:rFonts w:cs="Times New Roman"/>
                      <w:sz w:val="18"/>
                      <w:szCs w:val="18"/>
                    </w:rPr>
                  </w:pPr>
                </w:p>
              </w:tc>
            </w:tr>
          </w:tbl>
          <w:p>
            <w:pPr>
              <w:pStyle w:val="128"/>
              <w:ind w:firstLine="480"/>
            </w:pPr>
            <w:r>
              <w:rPr>
                <w:rFonts w:hint="eastAsia"/>
              </w:rPr>
              <w:t>2）拆解机动车回收情况</w:t>
            </w:r>
          </w:p>
          <w:p>
            <w:pPr>
              <w:pStyle w:val="128"/>
              <w:ind w:firstLine="480"/>
            </w:pPr>
            <w:r>
              <w:rPr>
                <w:rFonts w:hint="eastAsia"/>
              </w:rPr>
              <w:t>拆解机动车产生的物品分为可回收利用和不可利用两部分，主要组成见下表。</w:t>
            </w:r>
          </w:p>
          <w:p>
            <w:pPr>
              <w:pStyle w:val="128"/>
              <w:spacing w:line="240" w:lineRule="exact"/>
              <w:ind w:firstLine="0" w:firstLineChars="0"/>
              <w:jc w:val="center"/>
              <w:rPr>
                <w:rFonts w:cs="Times New Roman"/>
                <w:sz w:val="18"/>
                <w:szCs w:val="18"/>
              </w:rPr>
            </w:pPr>
            <w:r>
              <w:rPr>
                <w:rFonts w:cs="Times New Roman"/>
                <w:sz w:val="18"/>
                <w:szCs w:val="18"/>
              </w:rPr>
              <w:t>表2.1.4</w:t>
            </w:r>
            <w:r>
              <w:rPr>
                <w:rFonts w:hint="eastAsia" w:cs="Times New Roman"/>
                <w:sz w:val="18"/>
                <w:szCs w:val="18"/>
              </w:rPr>
              <w:t>-</w:t>
            </w:r>
            <w:r>
              <w:rPr>
                <w:rFonts w:cs="Times New Roman"/>
                <w:sz w:val="18"/>
                <w:szCs w:val="18"/>
              </w:rPr>
              <w:t xml:space="preserve">3   </w:t>
            </w:r>
            <w:r>
              <w:rPr>
                <w:rFonts w:hint="eastAsia" w:cs="Times New Roman"/>
                <w:sz w:val="18"/>
                <w:szCs w:val="18"/>
              </w:rPr>
              <w:t>拆解汽车回收情况</w:t>
            </w:r>
            <w:r>
              <w:rPr>
                <w:rFonts w:cs="Times New Roman"/>
                <w:sz w:val="18"/>
                <w:szCs w:val="18"/>
              </w:rPr>
              <w:t>一览表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134"/>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8" w:type="dxa"/>
                  <w:gridSpan w:val="2"/>
                  <w:vAlign w:val="center"/>
                </w:tcPr>
                <w:p>
                  <w:pPr>
                    <w:pStyle w:val="128"/>
                    <w:spacing w:line="240" w:lineRule="auto"/>
                    <w:ind w:firstLine="0" w:firstLineChars="0"/>
                    <w:jc w:val="center"/>
                    <w:rPr>
                      <w:rFonts w:cs="Times New Roman"/>
                      <w:sz w:val="18"/>
                      <w:szCs w:val="18"/>
                    </w:rPr>
                  </w:pPr>
                  <w:r>
                    <w:rPr>
                      <w:rFonts w:cs="Times New Roman"/>
                      <w:sz w:val="18"/>
                      <w:szCs w:val="18"/>
                    </w:rPr>
                    <w:t>类别</w:t>
                  </w:r>
                </w:p>
              </w:tc>
              <w:tc>
                <w:tcPr>
                  <w:tcW w:w="5935" w:type="dxa"/>
                  <w:vAlign w:val="center"/>
                </w:tcPr>
                <w:p>
                  <w:pPr>
                    <w:pStyle w:val="128"/>
                    <w:spacing w:line="240" w:lineRule="auto"/>
                    <w:ind w:firstLine="0" w:firstLineChars="0"/>
                    <w:jc w:val="center"/>
                    <w:rPr>
                      <w:rFonts w:cs="Times New Roman"/>
                      <w:sz w:val="18"/>
                      <w:szCs w:val="18"/>
                    </w:rPr>
                  </w:pPr>
                  <w:r>
                    <w:rPr>
                      <w:rFonts w:hint="eastAsia" w:cs="Times New Roman"/>
                      <w:sz w:val="18"/>
                      <w:szCs w:val="18"/>
                    </w:rPr>
                    <w:t>主要组成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pStyle w:val="128"/>
                    <w:spacing w:line="240" w:lineRule="auto"/>
                    <w:ind w:firstLine="0" w:firstLineChars="0"/>
                    <w:jc w:val="center"/>
                    <w:rPr>
                      <w:rFonts w:cs="Times New Roman"/>
                      <w:sz w:val="18"/>
                      <w:szCs w:val="18"/>
                    </w:rPr>
                  </w:pPr>
                  <w:r>
                    <w:rPr>
                      <w:rFonts w:hint="eastAsia" w:cs="Times New Roman"/>
                      <w:sz w:val="18"/>
                      <w:szCs w:val="18"/>
                    </w:rPr>
                    <w:t>可回收利用</w:t>
                  </w:r>
                </w:p>
              </w:tc>
              <w:tc>
                <w:tcPr>
                  <w:tcW w:w="1134" w:type="dxa"/>
                  <w:vAlign w:val="center"/>
                </w:tcPr>
                <w:p>
                  <w:pPr>
                    <w:pStyle w:val="128"/>
                    <w:spacing w:line="240" w:lineRule="auto"/>
                    <w:ind w:firstLine="0" w:firstLineChars="0"/>
                    <w:jc w:val="center"/>
                    <w:rPr>
                      <w:rFonts w:cs="Times New Roman"/>
                      <w:sz w:val="18"/>
                      <w:szCs w:val="18"/>
                    </w:rPr>
                  </w:pPr>
                  <w:r>
                    <w:rPr>
                      <w:rFonts w:hint="eastAsia" w:cs="Times New Roman"/>
                      <w:sz w:val="18"/>
                      <w:szCs w:val="18"/>
                    </w:rPr>
                    <w:t>可用材料</w:t>
                  </w:r>
                </w:p>
              </w:tc>
              <w:tc>
                <w:tcPr>
                  <w:tcW w:w="5935" w:type="dxa"/>
                  <w:vAlign w:val="center"/>
                </w:tcPr>
                <w:p>
                  <w:pPr>
                    <w:pStyle w:val="128"/>
                    <w:spacing w:line="240" w:lineRule="auto"/>
                    <w:ind w:firstLine="0" w:firstLineChars="0"/>
                    <w:rPr>
                      <w:rFonts w:cs="Times New Roman"/>
                      <w:sz w:val="18"/>
                      <w:szCs w:val="18"/>
                    </w:rPr>
                  </w:pPr>
                  <w:r>
                    <w:rPr>
                      <w:rFonts w:hint="eastAsia"/>
                      <w:sz w:val="18"/>
                      <w:szCs w:val="18"/>
                    </w:rPr>
                    <w:t>玻璃、橡胶、有色金属、塑料、钢材等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restart"/>
                  <w:vAlign w:val="center"/>
                </w:tcPr>
                <w:p>
                  <w:pPr>
                    <w:pStyle w:val="128"/>
                    <w:spacing w:line="240" w:lineRule="auto"/>
                    <w:ind w:firstLine="0" w:firstLineChars="0"/>
                    <w:jc w:val="center"/>
                    <w:rPr>
                      <w:rFonts w:cs="Times New Roman"/>
                      <w:sz w:val="18"/>
                      <w:szCs w:val="18"/>
                    </w:rPr>
                  </w:pPr>
                  <w:r>
                    <w:rPr>
                      <w:rFonts w:hint="eastAsia" w:cs="Times New Roman"/>
                      <w:sz w:val="18"/>
                      <w:szCs w:val="18"/>
                    </w:rPr>
                    <w:t>不可回收利用</w:t>
                  </w:r>
                </w:p>
              </w:tc>
              <w:tc>
                <w:tcPr>
                  <w:tcW w:w="1134" w:type="dxa"/>
                  <w:vAlign w:val="center"/>
                </w:tcPr>
                <w:p>
                  <w:pPr>
                    <w:pStyle w:val="128"/>
                    <w:spacing w:line="240" w:lineRule="auto"/>
                    <w:ind w:firstLine="0" w:firstLineChars="0"/>
                    <w:jc w:val="center"/>
                    <w:rPr>
                      <w:rFonts w:cs="Times New Roman"/>
                      <w:sz w:val="18"/>
                      <w:szCs w:val="18"/>
                    </w:rPr>
                  </w:pPr>
                  <w:r>
                    <w:rPr>
                      <w:rFonts w:hint="eastAsia" w:cs="Times New Roman"/>
                      <w:sz w:val="18"/>
                      <w:szCs w:val="18"/>
                    </w:rPr>
                    <w:t>危险废物</w:t>
                  </w:r>
                </w:p>
              </w:tc>
              <w:tc>
                <w:tcPr>
                  <w:tcW w:w="5935" w:type="dxa"/>
                  <w:vAlign w:val="center"/>
                </w:tcPr>
                <w:p>
                  <w:pPr>
                    <w:pStyle w:val="128"/>
                    <w:spacing w:line="240" w:lineRule="auto"/>
                    <w:ind w:firstLine="0" w:firstLineChars="0"/>
                    <w:rPr>
                      <w:rFonts w:cs="Times New Roman"/>
                      <w:sz w:val="18"/>
                      <w:szCs w:val="18"/>
                    </w:rPr>
                  </w:pPr>
                  <w:r>
                    <w:rPr>
                      <w:rFonts w:hint="eastAsia" w:cs="Times New Roman"/>
                      <w:sz w:val="18"/>
                      <w:szCs w:val="18"/>
                    </w:rPr>
                    <w:t>废铅蓄电池、含多氯联苯的废电容器、废尾气催化剂、废矿物油与含矿物油废物、废电路板及其元件、废机油滤清器、废油箱、石棉废物、含汞废物、污水处理站污泥、废含油抹布及劳保用品、废活性炭、沾染危化品的废包装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Merge w:val="continue"/>
                  <w:vAlign w:val="center"/>
                </w:tcPr>
                <w:p>
                  <w:pPr>
                    <w:pStyle w:val="128"/>
                    <w:spacing w:line="240" w:lineRule="auto"/>
                    <w:ind w:firstLine="0" w:firstLineChars="0"/>
                    <w:jc w:val="center"/>
                    <w:rPr>
                      <w:rFonts w:cs="Times New Roman"/>
                      <w:sz w:val="18"/>
                      <w:szCs w:val="18"/>
                    </w:rPr>
                  </w:pPr>
                </w:p>
              </w:tc>
              <w:tc>
                <w:tcPr>
                  <w:tcW w:w="1134" w:type="dxa"/>
                  <w:vAlign w:val="center"/>
                </w:tcPr>
                <w:p>
                  <w:pPr>
                    <w:pStyle w:val="128"/>
                    <w:spacing w:line="240" w:lineRule="auto"/>
                    <w:ind w:firstLine="0" w:firstLineChars="0"/>
                    <w:jc w:val="center"/>
                    <w:rPr>
                      <w:rFonts w:cs="Times New Roman"/>
                      <w:sz w:val="18"/>
                      <w:szCs w:val="18"/>
                    </w:rPr>
                  </w:pPr>
                  <w:r>
                    <w:rPr>
                      <w:rFonts w:hint="eastAsia" w:cs="Times New Roman"/>
                      <w:sz w:val="18"/>
                      <w:szCs w:val="18"/>
                    </w:rPr>
                    <w:t>一般固废</w:t>
                  </w:r>
                </w:p>
              </w:tc>
              <w:tc>
                <w:tcPr>
                  <w:tcW w:w="5935" w:type="dxa"/>
                  <w:vAlign w:val="center"/>
                </w:tcPr>
                <w:p>
                  <w:pPr>
                    <w:pStyle w:val="128"/>
                    <w:spacing w:line="240" w:lineRule="auto"/>
                    <w:ind w:firstLine="0" w:firstLineChars="0"/>
                    <w:rPr>
                      <w:rFonts w:cs="Times New Roman"/>
                      <w:sz w:val="18"/>
                      <w:szCs w:val="18"/>
                    </w:rPr>
                  </w:pPr>
                  <w:r>
                    <w:rPr>
                      <w:rFonts w:hint="eastAsia" w:cs="Times New Roman"/>
                      <w:sz w:val="18"/>
                      <w:szCs w:val="18"/>
                    </w:rPr>
                    <w:t>废旧动力蓄电池（不包含铅蓄电池）、废液化气罐、引爆后的安全气囊、废制冷剂、布袋除尘器截留粉尘</w:t>
                  </w:r>
                  <w:r>
                    <w:rPr>
                      <w:rFonts w:hint="eastAsia"/>
                      <w:bCs/>
                      <w:sz w:val="18"/>
                      <w:szCs w:val="18"/>
                    </w:rPr>
                    <w:t>、其他废物（破碎的玻璃、轮胎、轮毂、塑料等）</w:t>
                  </w:r>
                </w:p>
              </w:tc>
            </w:tr>
          </w:tbl>
          <w:p>
            <w:pPr>
              <w:pStyle w:val="128"/>
              <w:spacing w:line="240" w:lineRule="auto"/>
              <w:ind w:firstLine="0" w:firstLineChars="0"/>
              <w:rPr>
                <w:rFonts w:ascii="宋体" w:hAnsi="宋体" w:cs="Times New Roman"/>
                <w:sz w:val="18"/>
                <w:szCs w:val="18"/>
              </w:rPr>
            </w:pPr>
            <w:r>
              <w:rPr>
                <w:rFonts w:hint="eastAsia"/>
                <w:sz w:val="18"/>
                <w:szCs w:val="18"/>
              </w:rPr>
              <w:t>备注：</w:t>
            </w:r>
            <w:r>
              <w:rPr>
                <w:rFonts w:hint="eastAsia" w:ascii="宋体" w:hAnsi="宋体" w:cs="Times New Roman"/>
                <w:sz w:val="18"/>
                <w:szCs w:val="18"/>
              </w:rPr>
              <w:t>①部分车刹车片、离合器盘等用到陶瓷材料，保险杠前方与车壳之间设置有泡沫材料。</w:t>
            </w:r>
          </w:p>
          <w:p>
            <w:pPr>
              <w:pStyle w:val="128"/>
              <w:spacing w:line="240" w:lineRule="auto"/>
              <w:ind w:firstLine="0" w:firstLineChars="0"/>
              <w:rPr>
                <w:sz w:val="18"/>
                <w:szCs w:val="18"/>
              </w:rPr>
            </w:pPr>
          </w:p>
          <w:p>
            <w:pPr>
              <w:pStyle w:val="68"/>
              <w:spacing w:line="480" w:lineRule="exact"/>
              <w:ind w:firstLine="480" w:firstLineChars="200"/>
              <w:rPr>
                <w:rFonts w:hAnsi="宋体"/>
                <w:color w:val="auto"/>
              </w:rPr>
            </w:pPr>
            <w:r>
              <w:rPr>
                <w:rFonts w:hAnsi="宋体"/>
                <w:color w:val="auto"/>
              </w:rPr>
              <w:t>项目汽车拆解产品方案详见表</w:t>
            </w:r>
            <w:r>
              <w:rPr>
                <w:rFonts w:ascii="Times New Roman" w:cs="Times New Roman"/>
                <w:color w:val="auto"/>
              </w:rPr>
              <w:t>2.1.4-4</w:t>
            </w:r>
            <w:r>
              <w:rPr>
                <w:rFonts w:hAnsi="宋体"/>
                <w:color w:val="auto"/>
              </w:rPr>
              <w:t>。</w:t>
            </w:r>
          </w:p>
          <w:p>
            <w:pPr>
              <w:adjustRightInd w:val="0"/>
              <w:snapToGrid w:val="0"/>
              <w:jc w:val="center"/>
              <w:rPr>
                <w:sz w:val="18"/>
                <w:szCs w:val="18"/>
              </w:rPr>
            </w:pPr>
            <w:r>
              <w:rPr>
                <w:sz w:val="18"/>
                <w:szCs w:val="18"/>
              </w:rPr>
              <w:t>表2.1.4-4  项目汽车拆解产品方案一览表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
              <w:gridCol w:w="674"/>
              <w:gridCol w:w="1141"/>
              <w:gridCol w:w="1133"/>
              <w:gridCol w:w="1120"/>
              <w:gridCol w:w="1104"/>
              <w:gridCol w:w="1093"/>
              <w:gridCol w:w="885"/>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Merge w:val="restart"/>
                  <w:vAlign w:val="center"/>
                </w:tcPr>
                <w:p>
                  <w:pPr>
                    <w:autoSpaceDE w:val="0"/>
                    <w:autoSpaceDN w:val="0"/>
                    <w:adjustRightInd w:val="0"/>
                    <w:rPr>
                      <w:kern w:val="0"/>
                      <w:sz w:val="18"/>
                      <w:szCs w:val="18"/>
                    </w:rPr>
                  </w:pPr>
                  <w:r>
                    <w:rPr>
                      <w:kern w:val="0"/>
                      <w:sz w:val="18"/>
                      <w:szCs w:val="18"/>
                    </w:rPr>
                    <w:t>序号</w:t>
                  </w:r>
                </w:p>
              </w:tc>
              <w:tc>
                <w:tcPr>
                  <w:tcW w:w="1144" w:type="pct"/>
                  <w:gridSpan w:val="2"/>
                  <w:vMerge w:val="restart"/>
                  <w:vAlign w:val="center"/>
                </w:tcPr>
                <w:p>
                  <w:pPr>
                    <w:autoSpaceDE w:val="0"/>
                    <w:autoSpaceDN w:val="0"/>
                    <w:adjustRightInd w:val="0"/>
                    <w:jc w:val="center"/>
                    <w:rPr>
                      <w:kern w:val="0"/>
                      <w:sz w:val="18"/>
                      <w:szCs w:val="18"/>
                    </w:rPr>
                  </w:pPr>
                  <w:r>
                    <w:rPr>
                      <w:kern w:val="0"/>
                      <w:sz w:val="18"/>
                      <w:szCs w:val="18"/>
                    </w:rPr>
                    <w:t>废产品名称</w:t>
                  </w:r>
                </w:p>
              </w:tc>
              <w:tc>
                <w:tcPr>
                  <w:tcW w:w="2805" w:type="pct"/>
                  <w:gridSpan w:val="4"/>
                  <w:vAlign w:val="center"/>
                </w:tcPr>
                <w:p>
                  <w:pPr>
                    <w:autoSpaceDE w:val="0"/>
                    <w:autoSpaceDN w:val="0"/>
                    <w:adjustRightInd w:val="0"/>
                    <w:jc w:val="center"/>
                    <w:rPr>
                      <w:kern w:val="0"/>
                      <w:sz w:val="18"/>
                      <w:szCs w:val="18"/>
                    </w:rPr>
                  </w:pPr>
                  <w:r>
                    <w:rPr>
                      <w:sz w:val="18"/>
                      <w:szCs w:val="18"/>
                    </w:rPr>
                    <w:t>报废汽车类型及拆解量</w:t>
                  </w:r>
                  <w:r>
                    <w:rPr>
                      <w:kern w:val="0"/>
                      <w:sz w:val="18"/>
                      <w:szCs w:val="18"/>
                    </w:rPr>
                    <w:t>（t/a）</w:t>
                  </w:r>
                </w:p>
              </w:tc>
              <w:tc>
                <w:tcPr>
                  <w:tcW w:w="558" w:type="pct"/>
                  <w:vMerge w:val="restart"/>
                  <w:vAlign w:val="center"/>
                </w:tcPr>
                <w:p>
                  <w:pPr>
                    <w:autoSpaceDE w:val="0"/>
                    <w:autoSpaceDN w:val="0"/>
                    <w:adjustRightInd w:val="0"/>
                    <w:jc w:val="center"/>
                    <w:rPr>
                      <w:kern w:val="0"/>
                      <w:sz w:val="18"/>
                      <w:szCs w:val="18"/>
                    </w:rPr>
                  </w:pPr>
                  <w:r>
                    <w:rPr>
                      <w:kern w:val="0"/>
                      <w:sz w:val="18"/>
                      <w:szCs w:val="18"/>
                    </w:rPr>
                    <w:t>合计</w:t>
                  </w:r>
                </w:p>
              </w:tc>
              <w:tc>
                <w:tcPr>
                  <w:tcW w:w="255" w:type="pct"/>
                  <w:vMerge w:val="restart"/>
                  <w:vAlign w:val="center"/>
                </w:tcPr>
                <w:p>
                  <w:pPr>
                    <w:autoSpaceDE w:val="0"/>
                    <w:autoSpaceDN w:val="0"/>
                    <w:adjustRightInd w:val="0"/>
                    <w:jc w:val="center"/>
                    <w:rPr>
                      <w:kern w:val="0"/>
                      <w:sz w:val="18"/>
                      <w:szCs w:val="18"/>
                    </w:rPr>
                  </w:pPr>
                  <w:r>
                    <w:rPr>
                      <w:kern w:val="0"/>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38" w:type="pct"/>
                  <w:vMerge w:val="continue"/>
                  <w:vAlign w:val="center"/>
                </w:tcPr>
                <w:p>
                  <w:pPr>
                    <w:autoSpaceDE w:val="0"/>
                    <w:autoSpaceDN w:val="0"/>
                    <w:adjustRightInd w:val="0"/>
                    <w:jc w:val="center"/>
                    <w:rPr>
                      <w:kern w:val="0"/>
                      <w:sz w:val="18"/>
                      <w:szCs w:val="18"/>
                    </w:rPr>
                  </w:pPr>
                </w:p>
              </w:tc>
              <w:tc>
                <w:tcPr>
                  <w:tcW w:w="1144" w:type="pct"/>
                  <w:gridSpan w:val="2"/>
                  <w:vMerge w:val="continue"/>
                  <w:vAlign w:val="center"/>
                </w:tcPr>
                <w:p>
                  <w:pPr>
                    <w:autoSpaceDE w:val="0"/>
                    <w:autoSpaceDN w:val="0"/>
                    <w:adjustRightInd w:val="0"/>
                    <w:jc w:val="center"/>
                    <w:rPr>
                      <w:kern w:val="0"/>
                      <w:sz w:val="18"/>
                      <w:szCs w:val="18"/>
                    </w:rPr>
                  </w:pPr>
                </w:p>
              </w:tc>
              <w:tc>
                <w:tcPr>
                  <w:tcW w:w="714" w:type="pct"/>
                  <w:tcBorders>
                    <w:right w:val="single" w:color="auto" w:sz="2" w:space="0"/>
                  </w:tcBorders>
                  <w:vAlign w:val="center"/>
                </w:tcPr>
                <w:p>
                  <w:pPr>
                    <w:contextualSpacing/>
                    <w:jc w:val="center"/>
                    <w:rPr>
                      <w:sz w:val="18"/>
                      <w:szCs w:val="18"/>
                    </w:rPr>
                  </w:pPr>
                  <w:r>
                    <w:rPr>
                      <w:rFonts w:hint="eastAsia"/>
                      <w:sz w:val="18"/>
                      <w:szCs w:val="18"/>
                    </w:rPr>
                    <w:t>电动汽车</w:t>
                  </w:r>
                </w:p>
                <w:p>
                  <w:pPr>
                    <w:contextualSpacing/>
                    <w:jc w:val="center"/>
                    <w:rPr>
                      <w:sz w:val="18"/>
                      <w:szCs w:val="18"/>
                    </w:rPr>
                  </w:pPr>
                  <w:r>
                    <w:rPr>
                      <w:sz w:val="18"/>
                      <w:szCs w:val="18"/>
                    </w:rPr>
                    <w:t>75</w:t>
                  </w:r>
                  <w:r>
                    <w:rPr>
                      <w:rFonts w:hint="eastAsia"/>
                      <w:sz w:val="18"/>
                      <w:szCs w:val="18"/>
                    </w:rPr>
                    <w:t>00辆/年</w:t>
                  </w:r>
                </w:p>
              </w:tc>
              <w:tc>
                <w:tcPr>
                  <w:tcW w:w="706" w:type="pct"/>
                  <w:tcBorders>
                    <w:left w:val="single" w:color="auto" w:sz="2" w:space="0"/>
                  </w:tcBorders>
                  <w:vAlign w:val="center"/>
                </w:tcPr>
                <w:p>
                  <w:pPr>
                    <w:contextualSpacing/>
                    <w:jc w:val="center"/>
                    <w:rPr>
                      <w:sz w:val="18"/>
                      <w:szCs w:val="18"/>
                    </w:rPr>
                  </w:pPr>
                  <w:r>
                    <w:rPr>
                      <w:sz w:val="18"/>
                      <w:szCs w:val="18"/>
                    </w:rPr>
                    <w:t>小轿车</w:t>
                  </w:r>
                </w:p>
                <w:p>
                  <w:pPr>
                    <w:contextualSpacing/>
                    <w:jc w:val="center"/>
                    <w:rPr>
                      <w:sz w:val="18"/>
                      <w:szCs w:val="18"/>
                    </w:rPr>
                  </w:pPr>
                  <w:r>
                    <w:rPr>
                      <w:sz w:val="18"/>
                      <w:szCs w:val="18"/>
                    </w:rPr>
                    <w:t>10500辆/年</w:t>
                  </w:r>
                </w:p>
              </w:tc>
              <w:tc>
                <w:tcPr>
                  <w:tcW w:w="696" w:type="pct"/>
                  <w:vAlign w:val="center"/>
                </w:tcPr>
                <w:p>
                  <w:pPr>
                    <w:contextualSpacing/>
                    <w:jc w:val="center"/>
                    <w:rPr>
                      <w:sz w:val="18"/>
                      <w:szCs w:val="18"/>
                    </w:rPr>
                  </w:pPr>
                  <w:r>
                    <w:rPr>
                      <w:sz w:val="18"/>
                      <w:szCs w:val="18"/>
                    </w:rPr>
                    <w:t>中型车</w:t>
                  </w:r>
                </w:p>
                <w:p>
                  <w:pPr>
                    <w:contextualSpacing/>
                    <w:jc w:val="center"/>
                    <w:rPr>
                      <w:sz w:val="18"/>
                      <w:szCs w:val="18"/>
                    </w:rPr>
                  </w:pPr>
                  <w:r>
                    <w:rPr>
                      <w:sz w:val="18"/>
                      <w:szCs w:val="18"/>
                    </w:rPr>
                    <w:t>7500辆/年</w:t>
                  </w:r>
                </w:p>
              </w:tc>
              <w:tc>
                <w:tcPr>
                  <w:tcW w:w="689" w:type="pct"/>
                  <w:vAlign w:val="center"/>
                </w:tcPr>
                <w:p>
                  <w:pPr>
                    <w:contextualSpacing/>
                    <w:jc w:val="center"/>
                    <w:rPr>
                      <w:sz w:val="18"/>
                      <w:szCs w:val="18"/>
                    </w:rPr>
                  </w:pPr>
                  <w:r>
                    <w:rPr>
                      <w:sz w:val="18"/>
                      <w:szCs w:val="18"/>
                    </w:rPr>
                    <w:t>大型车</w:t>
                  </w:r>
                </w:p>
                <w:p>
                  <w:pPr>
                    <w:contextualSpacing/>
                    <w:jc w:val="center"/>
                    <w:rPr>
                      <w:sz w:val="18"/>
                      <w:szCs w:val="18"/>
                    </w:rPr>
                  </w:pPr>
                  <w:r>
                    <w:rPr>
                      <w:sz w:val="18"/>
                      <w:szCs w:val="18"/>
                    </w:rPr>
                    <w:t>4500辆/年</w:t>
                  </w:r>
                </w:p>
              </w:tc>
              <w:tc>
                <w:tcPr>
                  <w:tcW w:w="558" w:type="pct"/>
                  <w:vMerge w:val="continue"/>
                  <w:vAlign w:val="center"/>
                </w:tcPr>
                <w:p>
                  <w:pPr>
                    <w:autoSpaceDE w:val="0"/>
                    <w:autoSpaceDN w:val="0"/>
                    <w:adjustRightInd w:val="0"/>
                    <w:jc w:val="center"/>
                    <w:rPr>
                      <w:kern w:val="0"/>
                      <w:sz w:val="18"/>
                      <w:szCs w:val="18"/>
                    </w:rPr>
                  </w:pPr>
                </w:p>
              </w:tc>
              <w:tc>
                <w:tcPr>
                  <w:tcW w:w="255" w:type="pct"/>
                  <w:vMerge w:val="continue"/>
                  <w:vAlign w:val="center"/>
                </w:tcPr>
                <w:p>
                  <w:pPr>
                    <w:autoSpaceDE w:val="0"/>
                    <w:autoSpaceDN w:val="0"/>
                    <w:adjustRightIn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8" w:type="pct"/>
                  <w:vAlign w:val="center"/>
                </w:tcPr>
                <w:p>
                  <w:pPr>
                    <w:autoSpaceDE w:val="0"/>
                    <w:autoSpaceDN w:val="0"/>
                    <w:adjustRightInd w:val="0"/>
                    <w:jc w:val="center"/>
                    <w:rPr>
                      <w:kern w:val="0"/>
                      <w:sz w:val="18"/>
                      <w:szCs w:val="18"/>
                    </w:rPr>
                  </w:pPr>
                  <w:r>
                    <w:rPr>
                      <w:kern w:val="0"/>
                      <w:sz w:val="18"/>
                      <w:szCs w:val="18"/>
                    </w:rPr>
                    <w:t>1</w:t>
                  </w:r>
                </w:p>
              </w:tc>
              <w:tc>
                <w:tcPr>
                  <w:tcW w:w="1144" w:type="pct"/>
                  <w:gridSpan w:val="2"/>
                  <w:vAlign w:val="center"/>
                </w:tcPr>
                <w:p>
                  <w:pPr>
                    <w:autoSpaceDE w:val="0"/>
                    <w:autoSpaceDN w:val="0"/>
                    <w:adjustRightInd w:val="0"/>
                    <w:jc w:val="center"/>
                    <w:rPr>
                      <w:kern w:val="0"/>
                      <w:sz w:val="18"/>
                      <w:szCs w:val="18"/>
                    </w:rPr>
                  </w:pPr>
                  <w:r>
                    <w:rPr>
                      <w:kern w:val="0"/>
                      <w:sz w:val="18"/>
                      <w:szCs w:val="18"/>
                    </w:rPr>
                    <w:t>钢铁（车身、驾驶室、底盘、大梁、货箱、轮毂等）</w:t>
                  </w:r>
                </w:p>
              </w:tc>
              <w:tc>
                <w:tcPr>
                  <w:tcW w:w="714" w:type="pct"/>
                  <w:tcBorders>
                    <w:right w:val="single" w:color="auto" w:sz="2" w:space="0"/>
                  </w:tcBorders>
                  <w:vAlign w:val="center"/>
                </w:tcPr>
                <w:p>
                  <w:pPr>
                    <w:widowControl/>
                    <w:jc w:val="center"/>
                    <w:rPr>
                      <w:kern w:val="0"/>
                      <w:sz w:val="18"/>
                      <w:szCs w:val="18"/>
                    </w:rPr>
                  </w:pPr>
                  <w:r>
                    <w:rPr>
                      <w:sz w:val="18"/>
                      <w:szCs w:val="18"/>
                    </w:rPr>
                    <w:t>7290</w:t>
                  </w:r>
                </w:p>
              </w:tc>
              <w:tc>
                <w:tcPr>
                  <w:tcW w:w="706" w:type="pct"/>
                  <w:tcBorders>
                    <w:left w:val="single" w:color="auto" w:sz="2" w:space="0"/>
                  </w:tcBorders>
                  <w:vAlign w:val="center"/>
                </w:tcPr>
                <w:p>
                  <w:pPr>
                    <w:widowControl/>
                    <w:jc w:val="center"/>
                    <w:rPr>
                      <w:rFonts w:eastAsia="等线"/>
                      <w:kern w:val="0"/>
                      <w:sz w:val="18"/>
                      <w:szCs w:val="18"/>
                    </w:rPr>
                  </w:pPr>
                  <w:r>
                    <w:rPr>
                      <w:sz w:val="18"/>
                      <w:szCs w:val="18"/>
                    </w:rPr>
                    <w:t>10237.5</w:t>
                  </w:r>
                </w:p>
              </w:tc>
              <w:tc>
                <w:tcPr>
                  <w:tcW w:w="696" w:type="pct"/>
                  <w:vAlign w:val="center"/>
                </w:tcPr>
                <w:p>
                  <w:pPr>
                    <w:widowControl/>
                    <w:jc w:val="center"/>
                    <w:textAlignment w:val="center"/>
                    <w:rPr>
                      <w:kern w:val="0"/>
                      <w:sz w:val="18"/>
                      <w:szCs w:val="18"/>
                    </w:rPr>
                  </w:pPr>
                  <w:r>
                    <w:rPr>
                      <w:sz w:val="18"/>
                      <w:szCs w:val="18"/>
                    </w:rPr>
                    <w:t>16875</w:t>
                  </w:r>
                </w:p>
              </w:tc>
              <w:tc>
                <w:tcPr>
                  <w:tcW w:w="689" w:type="pct"/>
                  <w:vAlign w:val="center"/>
                </w:tcPr>
                <w:p>
                  <w:pPr>
                    <w:widowControl/>
                    <w:jc w:val="center"/>
                    <w:textAlignment w:val="center"/>
                    <w:rPr>
                      <w:kern w:val="0"/>
                      <w:sz w:val="18"/>
                      <w:szCs w:val="18"/>
                    </w:rPr>
                  </w:pPr>
                  <w:r>
                    <w:rPr>
                      <w:sz w:val="18"/>
                      <w:szCs w:val="18"/>
                    </w:rPr>
                    <w:t>16875</w:t>
                  </w:r>
                </w:p>
              </w:tc>
              <w:tc>
                <w:tcPr>
                  <w:tcW w:w="558" w:type="pct"/>
                  <w:vAlign w:val="center"/>
                </w:tcPr>
                <w:p>
                  <w:pPr>
                    <w:widowControl/>
                    <w:jc w:val="center"/>
                    <w:rPr>
                      <w:rFonts w:eastAsia="等线"/>
                      <w:kern w:val="0"/>
                      <w:sz w:val="18"/>
                      <w:szCs w:val="18"/>
                    </w:rPr>
                  </w:pPr>
                  <w:r>
                    <w:rPr>
                      <w:sz w:val="18"/>
                      <w:szCs w:val="18"/>
                    </w:rPr>
                    <w:t>51277.5</w:t>
                  </w:r>
                </w:p>
              </w:tc>
              <w:tc>
                <w:tcPr>
                  <w:tcW w:w="255" w:type="pct"/>
                  <w:vMerge w:val="restart"/>
                  <w:vAlign w:val="center"/>
                </w:tcPr>
                <w:p>
                  <w:pPr>
                    <w:widowControl/>
                    <w:jc w:val="center"/>
                    <w:textAlignment w:val="center"/>
                    <w:rPr>
                      <w:kern w:val="0"/>
                      <w:sz w:val="18"/>
                      <w:szCs w:val="18"/>
                    </w:rPr>
                  </w:pPr>
                  <w:r>
                    <w:rPr>
                      <w:kern w:val="0"/>
                      <w:sz w:val="18"/>
                      <w:szCs w:val="18"/>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2</w:t>
                  </w:r>
                </w:p>
              </w:tc>
              <w:tc>
                <w:tcPr>
                  <w:tcW w:w="425" w:type="pct"/>
                  <w:vMerge w:val="restart"/>
                  <w:vAlign w:val="center"/>
                </w:tcPr>
                <w:p>
                  <w:pPr>
                    <w:autoSpaceDE w:val="0"/>
                    <w:autoSpaceDN w:val="0"/>
                    <w:adjustRightInd w:val="0"/>
                    <w:jc w:val="center"/>
                    <w:rPr>
                      <w:kern w:val="0"/>
                      <w:sz w:val="18"/>
                      <w:szCs w:val="18"/>
                    </w:rPr>
                  </w:pPr>
                  <w:r>
                    <w:rPr>
                      <w:kern w:val="0"/>
                      <w:sz w:val="18"/>
                      <w:szCs w:val="18"/>
                    </w:rPr>
                    <w:t>有色金属</w:t>
                  </w:r>
                </w:p>
              </w:tc>
              <w:tc>
                <w:tcPr>
                  <w:tcW w:w="719" w:type="pct"/>
                  <w:vAlign w:val="center"/>
                </w:tcPr>
                <w:p>
                  <w:pPr>
                    <w:widowControl/>
                    <w:jc w:val="center"/>
                    <w:rPr>
                      <w:kern w:val="0"/>
                      <w:sz w:val="18"/>
                      <w:szCs w:val="18"/>
                    </w:rPr>
                  </w:pPr>
                  <w:r>
                    <w:rPr>
                      <w:rFonts w:hint="eastAsia"/>
                      <w:sz w:val="18"/>
                      <w:szCs w:val="18"/>
                    </w:rPr>
                    <w:t>铝</w:t>
                  </w:r>
                </w:p>
              </w:tc>
              <w:tc>
                <w:tcPr>
                  <w:tcW w:w="714" w:type="pct"/>
                  <w:tcBorders>
                    <w:right w:val="single" w:color="auto" w:sz="2" w:space="0"/>
                  </w:tcBorders>
                  <w:vAlign w:val="center"/>
                </w:tcPr>
                <w:p>
                  <w:pPr>
                    <w:jc w:val="center"/>
                    <w:rPr>
                      <w:sz w:val="18"/>
                      <w:szCs w:val="18"/>
                    </w:rPr>
                  </w:pPr>
                  <w:r>
                    <w:rPr>
                      <w:sz w:val="18"/>
                      <w:szCs w:val="18"/>
                    </w:rPr>
                    <w:t>383.4</w:t>
                  </w:r>
                </w:p>
              </w:tc>
              <w:tc>
                <w:tcPr>
                  <w:tcW w:w="706" w:type="pct"/>
                  <w:tcBorders>
                    <w:left w:val="single" w:color="auto" w:sz="2" w:space="0"/>
                  </w:tcBorders>
                  <w:vAlign w:val="center"/>
                </w:tcPr>
                <w:p>
                  <w:pPr>
                    <w:widowControl/>
                    <w:jc w:val="center"/>
                    <w:rPr>
                      <w:kern w:val="0"/>
                      <w:sz w:val="18"/>
                      <w:szCs w:val="18"/>
                    </w:rPr>
                  </w:pPr>
                  <w:r>
                    <w:rPr>
                      <w:sz w:val="18"/>
                      <w:szCs w:val="18"/>
                    </w:rPr>
                    <w:t>559.12</w:t>
                  </w:r>
                </w:p>
              </w:tc>
              <w:tc>
                <w:tcPr>
                  <w:tcW w:w="696" w:type="pct"/>
                  <w:vAlign w:val="center"/>
                </w:tcPr>
                <w:p>
                  <w:pPr>
                    <w:widowControl/>
                    <w:jc w:val="center"/>
                    <w:rPr>
                      <w:kern w:val="0"/>
                      <w:sz w:val="18"/>
                      <w:szCs w:val="18"/>
                    </w:rPr>
                  </w:pPr>
                  <w:r>
                    <w:rPr>
                      <w:sz w:val="18"/>
                      <w:szCs w:val="18"/>
                    </w:rPr>
                    <w:t>798.75</w:t>
                  </w:r>
                </w:p>
              </w:tc>
              <w:tc>
                <w:tcPr>
                  <w:tcW w:w="689" w:type="pct"/>
                  <w:vAlign w:val="center"/>
                </w:tcPr>
                <w:p>
                  <w:pPr>
                    <w:widowControl/>
                    <w:jc w:val="center"/>
                    <w:rPr>
                      <w:kern w:val="0"/>
                      <w:sz w:val="18"/>
                      <w:szCs w:val="18"/>
                    </w:rPr>
                  </w:pPr>
                  <w:r>
                    <w:rPr>
                      <w:sz w:val="18"/>
                      <w:szCs w:val="18"/>
                    </w:rPr>
                    <w:t>798.75</w:t>
                  </w:r>
                </w:p>
              </w:tc>
              <w:tc>
                <w:tcPr>
                  <w:tcW w:w="558" w:type="pct"/>
                  <w:vAlign w:val="center"/>
                </w:tcPr>
                <w:p>
                  <w:pPr>
                    <w:widowControl/>
                    <w:jc w:val="center"/>
                    <w:rPr>
                      <w:kern w:val="0"/>
                      <w:sz w:val="18"/>
                      <w:szCs w:val="18"/>
                    </w:rPr>
                  </w:pPr>
                  <w:r>
                    <w:rPr>
                      <w:sz w:val="18"/>
                      <w:szCs w:val="18"/>
                    </w:rPr>
                    <w:t>2540.02</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3</w:t>
                  </w:r>
                </w:p>
              </w:tc>
              <w:tc>
                <w:tcPr>
                  <w:tcW w:w="425" w:type="pct"/>
                  <w:vMerge w:val="continue"/>
                  <w:vAlign w:val="center"/>
                </w:tcPr>
                <w:p>
                  <w:pPr>
                    <w:autoSpaceDE w:val="0"/>
                    <w:autoSpaceDN w:val="0"/>
                    <w:adjustRightInd w:val="0"/>
                    <w:jc w:val="center"/>
                    <w:rPr>
                      <w:kern w:val="0"/>
                      <w:sz w:val="18"/>
                      <w:szCs w:val="18"/>
                    </w:rPr>
                  </w:pPr>
                </w:p>
              </w:tc>
              <w:tc>
                <w:tcPr>
                  <w:tcW w:w="719" w:type="pct"/>
                  <w:vAlign w:val="center"/>
                </w:tcPr>
                <w:p>
                  <w:pPr>
                    <w:jc w:val="center"/>
                    <w:rPr>
                      <w:sz w:val="18"/>
                      <w:szCs w:val="18"/>
                    </w:rPr>
                  </w:pPr>
                  <w:r>
                    <w:rPr>
                      <w:rFonts w:hint="eastAsia"/>
                      <w:sz w:val="18"/>
                      <w:szCs w:val="18"/>
                    </w:rPr>
                    <w:t>铜</w:t>
                  </w:r>
                </w:p>
              </w:tc>
              <w:tc>
                <w:tcPr>
                  <w:tcW w:w="714" w:type="pct"/>
                  <w:tcBorders>
                    <w:right w:val="single" w:color="auto" w:sz="2" w:space="0"/>
                  </w:tcBorders>
                  <w:vAlign w:val="center"/>
                </w:tcPr>
                <w:p>
                  <w:pPr>
                    <w:jc w:val="center"/>
                    <w:rPr>
                      <w:sz w:val="18"/>
                      <w:szCs w:val="18"/>
                    </w:rPr>
                  </w:pPr>
                  <w:r>
                    <w:rPr>
                      <w:sz w:val="18"/>
                      <w:szCs w:val="18"/>
                    </w:rPr>
                    <w:t>113.4</w:t>
                  </w:r>
                </w:p>
              </w:tc>
              <w:tc>
                <w:tcPr>
                  <w:tcW w:w="706" w:type="pct"/>
                  <w:tcBorders>
                    <w:left w:val="single" w:color="auto" w:sz="2" w:space="0"/>
                  </w:tcBorders>
                  <w:vAlign w:val="center"/>
                </w:tcPr>
                <w:p>
                  <w:pPr>
                    <w:jc w:val="center"/>
                    <w:rPr>
                      <w:sz w:val="18"/>
                      <w:szCs w:val="18"/>
                    </w:rPr>
                  </w:pPr>
                  <w:r>
                    <w:rPr>
                      <w:sz w:val="18"/>
                      <w:szCs w:val="18"/>
                    </w:rPr>
                    <w:t>165.38</w:t>
                  </w:r>
                </w:p>
              </w:tc>
              <w:tc>
                <w:tcPr>
                  <w:tcW w:w="696" w:type="pct"/>
                  <w:vAlign w:val="center"/>
                </w:tcPr>
                <w:p>
                  <w:pPr>
                    <w:widowControl/>
                    <w:jc w:val="center"/>
                    <w:rPr>
                      <w:kern w:val="0"/>
                      <w:sz w:val="18"/>
                      <w:szCs w:val="18"/>
                    </w:rPr>
                  </w:pPr>
                  <w:r>
                    <w:rPr>
                      <w:sz w:val="18"/>
                      <w:szCs w:val="18"/>
                    </w:rPr>
                    <w:t>236.25</w:t>
                  </w:r>
                </w:p>
              </w:tc>
              <w:tc>
                <w:tcPr>
                  <w:tcW w:w="689" w:type="pct"/>
                  <w:vAlign w:val="center"/>
                </w:tcPr>
                <w:p>
                  <w:pPr>
                    <w:widowControl/>
                    <w:jc w:val="center"/>
                    <w:rPr>
                      <w:kern w:val="0"/>
                      <w:sz w:val="18"/>
                      <w:szCs w:val="18"/>
                    </w:rPr>
                  </w:pPr>
                  <w:r>
                    <w:rPr>
                      <w:sz w:val="18"/>
                      <w:szCs w:val="18"/>
                    </w:rPr>
                    <w:t>236.25</w:t>
                  </w:r>
                </w:p>
              </w:tc>
              <w:tc>
                <w:tcPr>
                  <w:tcW w:w="558" w:type="pct"/>
                  <w:vAlign w:val="center"/>
                </w:tcPr>
                <w:p>
                  <w:pPr>
                    <w:jc w:val="center"/>
                    <w:rPr>
                      <w:sz w:val="18"/>
                      <w:szCs w:val="18"/>
                    </w:rPr>
                  </w:pPr>
                  <w:r>
                    <w:rPr>
                      <w:sz w:val="18"/>
                      <w:szCs w:val="18"/>
                    </w:rPr>
                    <w:t>751.28</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4</w:t>
                  </w:r>
                </w:p>
              </w:tc>
              <w:tc>
                <w:tcPr>
                  <w:tcW w:w="425" w:type="pct"/>
                  <w:vMerge w:val="continue"/>
                  <w:vAlign w:val="center"/>
                </w:tcPr>
                <w:p>
                  <w:pPr>
                    <w:autoSpaceDE w:val="0"/>
                    <w:autoSpaceDN w:val="0"/>
                    <w:adjustRightInd w:val="0"/>
                    <w:jc w:val="center"/>
                    <w:rPr>
                      <w:kern w:val="0"/>
                      <w:sz w:val="18"/>
                      <w:szCs w:val="18"/>
                    </w:rPr>
                  </w:pPr>
                </w:p>
              </w:tc>
              <w:tc>
                <w:tcPr>
                  <w:tcW w:w="719" w:type="pct"/>
                  <w:vAlign w:val="center"/>
                </w:tcPr>
                <w:p>
                  <w:pPr>
                    <w:jc w:val="center"/>
                    <w:rPr>
                      <w:sz w:val="18"/>
                      <w:szCs w:val="18"/>
                    </w:rPr>
                  </w:pPr>
                  <w:r>
                    <w:rPr>
                      <w:rFonts w:hint="eastAsia"/>
                      <w:sz w:val="18"/>
                      <w:szCs w:val="18"/>
                    </w:rPr>
                    <w:t>其它</w:t>
                  </w:r>
                </w:p>
              </w:tc>
              <w:tc>
                <w:tcPr>
                  <w:tcW w:w="714" w:type="pct"/>
                  <w:tcBorders>
                    <w:right w:val="single" w:color="auto" w:sz="2" w:space="0"/>
                  </w:tcBorders>
                  <w:vAlign w:val="center"/>
                </w:tcPr>
                <w:p>
                  <w:pPr>
                    <w:jc w:val="center"/>
                    <w:rPr>
                      <w:sz w:val="18"/>
                      <w:szCs w:val="18"/>
                    </w:rPr>
                  </w:pPr>
                  <w:r>
                    <w:rPr>
                      <w:sz w:val="18"/>
                      <w:szCs w:val="18"/>
                    </w:rPr>
                    <w:t>43.2</w:t>
                  </w:r>
                </w:p>
              </w:tc>
              <w:tc>
                <w:tcPr>
                  <w:tcW w:w="706" w:type="pct"/>
                  <w:tcBorders>
                    <w:left w:val="single" w:color="auto" w:sz="2" w:space="0"/>
                  </w:tcBorders>
                  <w:vAlign w:val="center"/>
                </w:tcPr>
                <w:p>
                  <w:pPr>
                    <w:jc w:val="center"/>
                    <w:rPr>
                      <w:sz w:val="18"/>
                      <w:szCs w:val="18"/>
                    </w:rPr>
                  </w:pPr>
                  <w:r>
                    <w:rPr>
                      <w:sz w:val="18"/>
                      <w:szCs w:val="18"/>
                    </w:rPr>
                    <w:t>63</w:t>
                  </w:r>
                </w:p>
              </w:tc>
              <w:tc>
                <w:tcPr>
                  <w:tcW w:w="696" w:type="pct"/>
                  <w:vAlign w:val="center"/>
                </w:tcPr>
                <w:p>
                  <w:pPr>
                    <w:widowControl/>
                    <w:jc w:val="center"/>
                    <w:rPr>
                      <w:kern w:val="0"/>
                      <w:sz w:val="18"/>
                      <w:szCs w:val="18"/>
                    </w:rPr>
                  </w:pPr>
                  <w:r>
                    <w:rPr>
                      <w:sz w:val="18"/>
                      <w:szCs w:val="18"/>
                    </w:rPr>
                    <w:t>90</w:t>
                  </w:r>
                </w:p>
              </w:tc>
              <w:tc>
                <w:tcPr>
                  <w:tcW w:w="689" w:type="pct"/>
                  <w:vAlign w:val="center"/>
                </w:tcPr>
                <w:p>
                  <w:pPr>
                    <w:widowControl/>
                    <w:jc w:val="center"/>
                    <w:rPr>
                      <w:kern w:val="0"/>
                      <w:sz w:val="18"/>
                      <w:szCs w:val="18"/>
                    </w:rPr>
                  </w:pPr>
                  <w:r>
                    <w:rPr>
                      <w:sz w:val="18"/>
                      <w:szCs w:val="18"/>
                    </w:rPr>
                    <w:t>90</w:t>
                  </w:r>
                </w:p>
              </w:tc>
              <w:tc>
                <w:tcPr>
                  <w:tcW w:w="558" w:type="pct"/>
                  <w:vAlign w:val="center"/>
                </w:tcPr>
                <w:p>
                  <w:pPr>
                    <w:jc w:val="center"/>
                    <w:rPr>
                      <w:sz w:val="18"/>
                      <w:szCs w:val="18"/>
                    </w:rPr>
                  </w:pPr>
                  <w:r>
                    <w:rPr>
                      <w:sz w:val="18"/>
                      <w:szCs w:val="18"/>
                    </w:rPr>
                    <w:t>286.2</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5</w:t>
                  </w:r>
                </w:p>
              </w:tc>
              <w:tc>
                <w:tcPr>
                  <w:tcW w:w="1144" w:type="pct"/>
                  <w:gridSpan w:val="2"/>
                  <w:vAlign w:val="center"/>
                </w:tcPr>
                <w:p>
                  <w:pPr>
                    <w:autoSpaceDE w:val="0"/>
                    <w:autoSpaceDN w:val="0"/>
                    <w:adjustRightInd w:val="0"/>
                    <w:jc w:val="center"/>
                    <w:rPr>
                      <w:kern w:val="0"/>
                      <w:sz w:val="18"/>
                      <w:szCs w:val="18"/>
                    </w:rPr>
                  </w:pPr>
                  <w:r>
                    <w:rPr>
                      <w:kern w:val="0"/>
                      <w:sz w:val="18"/>
                      <w:szCs w:val="18"/>
                    </w:rPr>
                    <w:t>塑料（外饰件后壳、灯罩、仪表盘等）</w:t>
                  </w:r>
                </w:p>
              </w:tc>
              <w:tc>
                <w:tcPr>
                  <w:tcW w:w="714" w:type="pct"/>
                  <w:tcBorders>
                    <w:right w:val="single" w:color="auto" w:sz="2" w:space="0"/>
                  </w:tcBorders>
                  <w:vAlign w:val="center"/>
                </w:tcPr>
                <w:p>
                  <w:pPr>
                    <w:jc w:val="center"/>
                    <w:rPr>
                      <w:sz w:val="18"/>
                      <w:szCs w:val="18"/>
                    </w:rPr>
                  </w:pPr>
                  <w:r>
                    <w:rPr>
                      <w:sz w:val="18"/>
                      <w:szCs w:val="18"/>
                    </w:rPr>
                    <w:t>810</w:t>
                  </w:r>
                </w:p>
              </w:tc>
              <w:tc>
                <w:tcPr>
                  <w:tcW w:w="706" w:type="pct"/>
                  <w:tcBorders>
                    <w:left w:val="single" w:color="auto" w:sz="2" w:space="0"/>
                  </w:tcBorders>
                  <w:vAlign w:val="center"/>
                </w:tcPr>
                <w:p>
                  <w:pPr>
                    <w:widowControl/>
                    <w:jc w:val="center"/>
                    <w:rPr>
                      <w:kern w:val="0"/>
                      <w:sz w:val="18"/>
                      <w:szCs w:val="18"/>
                    </w:rPr>
                  </w:pPr>
                  <w:r>
                    <w:rPr>
                      <w:sz w:val="18"/>
                      <w:szCs w:val="18"/>
                    </w:rPr>
                    <w:t>1102.5</w:t>
                  </w:r>
                </w:p>
              </w:tc>
              <w:tc>
                <w:tcPr>
                  <w:tcW w:w="696" w:type="pct"/>
                  <w:vAlign w:val="center"/>
                </w:tcPr>
                <w:p>
                  <w:pPr>
                    <w:widowControl/>
                    <w:jc w:val="center"/>
                    <w:rPr>
                      <w:kern w:val="0"/>
                      <w:sz w:val="18"/>
                      <w:szCs w:val="18"/>
                    </w:rPr>
                  </w:pPr>
                  <w:r>
                    <w:rPr>
                      <w:sz w:val="18"/>
                      <w:szCs w:val="18"/>
                    </w:rPr>
                    <w:t>675</w:t>
                  </w:r>
                </w:p>
              </w:tc>
              <w:tc>
                <w:tcPr>
                  <w:tcW w:w="689" w:type="pct"/>
                  <w:vAlign w:val="center"/>
                </w:tcPr>
                <w:p>
                  <w:pPr>
                    <w:widowControl/>
                    <w:jc w:val="center"/>
                    <w:rPr>
                      <w:kern w:val="0"/>
                      <w:sz w:val="18"/>
                      <w:szCs w:val="18"/>
                    </w:rPr>
                  </w:pPr>
                  <w:r>
                    <w:rPr>
                      <w:sz w:val="18"/>
                      <w:szCs w:val="18"/>
                    </w:rPr>
                    <w:t>675</w:t>
                  </w:r>
                </w:p>
              </w:tc>
              <w:tc>
                <w:tcPr>
                  <w:tcW w:w="558" w:type="pct"/>
                  <w:vAlign w:val="center"/>
                </w:tcPr>
                <w:p>
                  <w:pPr>
                    <w:widowControl/>
                    <w:jc w:val="center"/>
                    <w:rPr>
                      <w:kern w:val="0"/>
                      <w:sz w:val="18"/>
                      <w:szCs w:val="18"/>
                    </w:rPr>
                  </w:pPr>
                  <w:r>
                    <w:rPr>
                      <w:sz w:val="18"/>
                      <w:szCs w:val="18"/>
                    </w:rPr>
                    <w:t>3262.5</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6</w:t>
                  </w:r>
                </w:p>
              </w:tc>
              <w:tc>
                <w:tcPr>
                  <w:tcW w:w="1144" w:type="pct"/>
                  <w:gridSpan w:val="2"/>
                  <w:vAlign w:val="center"/>
                </w:tcPr>
                <w:p>
                  <w:pPr>
                    <w:autoSpaceDE w:val="0"/>
                    <w:autoSpaceDN w:val="0"/>
                    <w:adjustRightInd w:val="0"/>
                    <w:jc w:val="center"/>
                    <w:rPr>
                      <w:kern w:val="0"/>
                      <w:sz w:val="18"/>
                      <w:szCs w:val="18"/>
                    </w:rPr>
                  </w:pPr>
                  <w:r>
                    <w:rPr>
                      <w:kern w:val="0"/>
                      <w:sz w:val="18"/>
                      <w:szCs w:val="18"/>
                    </w:rPr>
                    <w:t>玻璃（车窗玻璃）</w:t>
                  </w:r>
                </w:p>
              </w:tc>
              <w:tc>
                <w:tcPr>
                  <w:tcW w:w="714" w:type="pct"/>
                  <w:tcBorders>
                    <w:right w:val="single" w:color="auto" w:sz="2" w:space="0"/>
                  </w:tcBorders>
                  <w:vAlign w:val="center"/>
                </w:tcPr>
                <w:p>
                  <w:pPr>
                    <w:jc w:val="center"/>
                    <w:rPr>
                      <w:sz w:val="18"/>
                      <w:szCs w:val="18"/>
                    </w:rPr>
                  </w:pPr>
                  <w:r>
                    <w:rPr>
                      <w:sz w:val="18"/>
                      <w:szCs w:val="18"/>
                    </w:rPr>
                    <w:t>270</w:t>
                  </w:r>
                </w:p>
              </w:tc>
              <w:tc>
                <w:tcPr>
                  <w:tcW w:w="706" w:type="pct"/>
                  <w:tcBorders>
                    <w:left w:val="single" w:color="auto" w:sz="2" w:space="0"/>
                  </w:tcBorders>
                  <w:vAlign w:val="center"/>
                </w:tcPr>
                <w:p>
                  <w:pPr>
                    <w:jc w:val="center"/>
                    <w:rPr>
                      <w:sz w:val="18"/>
                      <w:szCs w:val="18"/>
                    </w:rPr>
                  </w:pPr>
                  <w:r>
                    <w:rPr>
                      <w:sz w:val="18"/>
                      <w:szCs w:val="18"/>
                    </w:rPr>
                    <w:t>315</w:t>
                  </w:r>
                </w:p>
              </w:tc>
              <w:tc>
                <w:tcPr>
                  <w:tcW w:w="696" w:type="pct"/>
                  <w:vAlign w:val="center"/>
                </w:tcPr>
                <w:p>
                  <w:pPr>
                    <w:widowControl/>
                    <w:jc w:val="center"/>
                    <w:rPr>
                      <w:kern w:val="0"/>
                      <w:sz w:val="18"/>
                      <w:szCs w:val="18"/>
                    </w:rPr>
                  </w:pPr>
                  <w:r>
                    <w:rPr>
                      <w:sz w:val="18"/>
                      <w:szCs w:val="18"/>
                    </w:rPr>
                    <w:t>450</w:t>
                  </w:r>
                </w:p>
              </w:tc>
              <w:tc>
                <w:tcPr>
                  <w:tcW w:w="689" w:type="pct"/>
                  <w:vAlign w:val="center"/>
                </w:tcPr>
                <w:p>
                  <w:pPr>
                    <w:widowControl/>
                    <w:jc w:val="center"/>
                    <w:rPr>
                      <w:kern w:val="0"/>
                      <w:sz w:val="18"/>
                      <w:szCs w:val="18"/>
                    </w:rPr>
                  </w:pPr>
                  <w:r>
                    <w:rPr>
                      <w:sz w:val="18"/>
                      <w:szCs w:val="18"/>
                    </w:rPr>
                    <w:t>450</w:t>
                  </w:r>
                </w:p>
              </w:tc>
              <w:tc>
                <w:tcPr>
                  <w:tcW w:w="558" w:type="pct"/>
                  <w:vAlign w:val="center"/>
                </w:tcPr>
                <w:p>
                  <w:pPr>
                    <w:jc w:val="center"/>
                    <w:rPr>
                      <w:sz w:val="18"/>
                      <w:szCs w:val="18"/>
                    </w:rPr>
                  </w:pPr>
                  <w:r>
                    <w:rPr>
                      <w:sz w:val="18"/>
                      <w:szCs w:val="18"/>
                    </w:rPr>
                    <w:t>1485</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7</w:t>
                  </w:r>
                </w:p>
              </w:tc>
              <w:tc>
                <w:tcPr>
                  <w:tcW w:w="1144" w:type="pct"/>
                  <w:gridSpan w:val="2"/>
                  <w:vAlign w:val="center"/>
                </w:tcPr>
                <w:p>
                  <w:pPr>
                    <w:autoSpaceDE w:val="0"/>
                    <w:autoSpaceDN w:val="0"/>
                    <w:adjustRightInd w:val="0"/>
                    <w:jc w:val="center"/>
                    <w:rPr>
                      <w:kern w:val="0"/>
                      <w:sz w:val="18"/>
                      <w:szCs w:val="18"/>
                    </w:rPr>
                  </w:pPr>
                  <w:r>
                    <w:rPr>
                      <w:kern w:val="0"/>
                      <w:sz w:val="18"/>
                      <w:szCs w:val="18"/>
                    </w:rPr>
                    <w:t>橡胶（轮胎）</w:t>
                  </w:r>
                </w:p>
              </w:tc>
              <w:tc>
                <w:tcPr>
                  <w:tcW w:w="714" w:type="pct"/>
                  <w:tcBorders>
                    <w:right w:val="single" w:color="auto" w:sz="2" w:space="0"/>
                  </w:tcBorders>
                  <w:vAlign w:val="center"/>
                </w:tcPr>
                <w:p>
                  <w:pPr>
                    <w:jc w:val="center"/>
                    <w:rPr>
                      <w:sz w:val="18"/>
                      <w:szCs w:val="18"/>
                    </w:rPr>
                  </w:pPr>
                  <w:r>
                    <w:rPr>
                      <w:sz w:val="18"/>
                      <w:szCs w:val="18"/>
                    </w:rPr>
                    <w:t>270</w:t>
                  </w:r>
                </w:p>
              </w:tc>
              <w:tc>
                <w:tcPr>
                  <w:tcW w:w="706" w:type="pct"/>
                  <w:tcBorders>
                    <w:left w:val="single" w:color="auto" w:sz="2" w:space="0"/>
                  </w:tcBorders>
                  <w:vAlign w:val="center"/>
                </w:tcPr>
                <w:p>
                  <w:pPr>
                    <w:jc w:val="center"/>
                    <w:rPr>
                      <w:sz w:val="18"/>
                      <w:szCs w:val="18"/>
                    </w:rPr>
                  </w:pPr>
                  <w:r>
                    <w:rPr>
                      <w:sz w:val="18"/>
                      <w:szCs w:val="18"/>
                    </w:rPr>
                    <w:t>472.5</w:t>
                  </w:r>
                </w:p>
              </w:tc>
              <w:tc>
                <w:tcPr>
                  <w:tcW w:w="696" w:type="pct"/>
                  <w:vAlign w:val="center"/>
                </w:tcPr>
                <w:p>
                  <w:pPr>
                    <w:widowControl/>
                    <w:jc w:val="center"/>
                    <w:rPr>
                      <w:kern w:val="0"/>
                      <w:sz w:val="18"/>
                      <w:szCs w:val="18"/>
                    </w:rPr>
                  </w:pPr>
                  <w:r>
                    <w:rPr>
                      <w:sz w:val="18"/>
                      <w:szCs w:val="18"/>
                    </w:rPr>
                    <w:t>675</w:t>
                  </w:r>
                </w:p>
              </w:tc>
              <w:tc>
                <w:tcPr>
                  <w:tcW w:w="689" w:type="pct"/>
                  <w:vAlign w:val="center"/>
                </w:tcPr>
                <w:p>
                  <w:pPr>
                    <w:widowControl/>
                    <w:jc w:val="center"/>
                    <w:rPr>
                      <w:kern w:val="0"/>
                      <w:sz w:val="18"/>
                      <w:szCs w:val="18"/>
                    </w:rPr>
                  </w:pPr>
                  <w:r>
                    <w:rPr>
                      <w:sz w:val="18"/>
                      <w:szCs w:val="18"/>
                    </w:rPr>
                    <w:t>675</w:t>
                  </w:r>
                </w:p>
              </w:tc>
              <w:tc>
                <w:tcPr>
                  <w:tcW w:w="558" w:type="pct"/>
                  <w:vAlign w:val="center"/>
                </w:tcPr>
                <w:p>
                  <w:pPr>
                    <w:jc w:val="center"/>
                    <w:rPr>
                      <w:sz w:val="18"/>
                      <w:szCs w:val="18"/>
                    </w:rPr>
                  </w:pPr>
                  <w:r>
                    <w:rPr>
                      <w:sz w:val="18"/>
                      <w:szCs w:val="18"/>
                    </w:rPr>
                    <w:t>2092.5</w:t>
                  </w:r>
                </w:p>
              </w:tc>
              <w:tc>
                <w:tcPr>
                  <w:tcW w:w="255" w:type="pct"/>
                  <w:vMerge w:val="continue"/>
                  <w:vAlign w:val="center"/>
                </w:tcPr>
                <w:p>
                  <w:pPr>
                    <w:widowControl/>
                    <w:jc w:val="center"/>
                    <w:textAlignment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 w:type="pct"/>
                  <w:vAlign w:val="center"/>
                </w:tcPr>
                <w:p>
                  <w:pPr>
                    <w:autoSpaceDE w:val="0"/>
                    <w:autoSpaceDN w:val="0"/>
                    <w:adjustRightInd w:val="0"/>
                    <w:jc w:val="center"/>
                    <w:rPr>
                      <w:kern w:val="0"/>
                      <w:sz w:val="18"/>
                      <w:szCs w:val="18"/>
                    </w:rPr>
                  </w:pPr>
                  <w:r>
                    <w:rPr>
                      <w:kern w:val="0"/>
                      <w:sz w:val="18"/>
                      <w:szCs w:val="18"/>
                    </w:rPr>
                    <w:t>8</w:t>
                  </w:r>
                </w:p>
              </w:tc>
              <w:tc>
                <w:tcPr>
                  <w:tcW w:w="1144" w:type="pct"/>
                  <w:gridSpan w:val="2"/>
                  <w:vAlign w:val="center"/>
                </w:tcPr>
                <w:p>
                  <w:pPr>
                    <w:autoSpaceDE w:val="0"/>
                    <w:autoSpaceDN w:val="0"/>
                    <w:adjustRightInd w:val="0"/>
                    <w:jc w:val="center"/>
                    <w:rPr>
                      <w:kern w:val="0"/>
                      <w:sz w:val="18"/>
                      <w:szCs w:val="18"/>
                    </w:rPr>
                  </w:pPr>
                  <w:r>
                    <w:rPr>
                      <w:kern w:val="0"/>
                      <w:sz w:val="18"/>
                      <w:szCs w:val="18"/>
                    </w:rPr>
                    <w:t>总成及可用零部件（电线电缆、发动机、变速器等）</w:t>
                  </w:r>
                </w:p>
              </w:tc>
              <w:tc>
                <w:tcPr>
                  <w:tcW w:w="714" w:type="pct"/>
                  <w:tcBorders>
                    <w:right w:val="single" w:color="auto" w:sz="2" w:space="0"/>
                  </w:tcBorders>
                  <w:vAlign w:val="center"/>
                </w:tcPr>
                <w:p>
                  <w:pPr>
                    <w:jc w:val="center"/>
                    <w:rPr>
                      <w:sz w:val="18"/>
                      <w:szCs w:val="18"/>
                    </w:rPr>
                  </w:pPr>
                  <w:r>
                    <w:rPr>
                      <w:sz w:val="18"/>
                      <w:szCs w:val="18"/>
                    </w:rPr>
                    <w:t>270</w:t>
                  </w:r>
                </w:p>
              </w:tc>
              <w:tc>
                <w:tcPr>
                  <w:tcW w:w="706" w:type="pct"/>
                  <w:tcBorders>
                    <w:left w:val="single" w:color="auto" w:sz="2" w:space="0"/>
                  </w:tcBorders>
                  <w:vAlign w:val="center"/>
                </w:tcPr>
                <w:p>
                  <w:pPr>
                    <w:jc w:val="center"/>
                    <w:rPr>
                      <w:sz w:val="18"/>
                      <w:szCs w:val="18"/>
                    </w:rPr>
                  </w:pPr>
                  <w:r>
                    <w:rPr>
                      <w:sz w:val="18"/>
                      <w:szCs w:val="18"/>
                    </w:rPr>
                    <w:t>1260</w:t>
                  </w:r>
                </w:p>
              </w:tc>
              <w:tc>
                <w:tcPr>
                  <w:tcW w:w="696" w:type="pct"/>
                  <w:vAlign w:val="center"/>
                </w:tcPr>
                <w:p>
                  <w:pPr>
                    <w:widowControl/>
                    <w:jc w:val="center"/>
                    <w:rPr>
                      <w:kern w:val="0"/>
                      <w:sz w:val="18"/>
                      <w:szCs w:val="18"/>
                    </w:rPr>
                  </w:pPr>
                  <w:r>
                    <w:rPr>
                      <w:sz w:val="18"/>
                      <w:szCs w:val="18"/>
                    </w:rPr>
                    <w:t>1350</w:t>
                  </w:r>
                </w:p>
              </w:tc>
              <w:tc>
                <w:tcPr>
                  <w:tcW w:w="689" w:type="pct"/>
                  <w:vAlign w:val="center"/>
                </w:tcPr>
                <w:p>
                  <w:pPr>
                    <w:widowControl/>
                    <w:jc w:val="center"/>
                    <w:rPr>
                      <w:kern w:val="0"/>
                      <w:sz w:val="18"/>
                      <w:szCs w:val="18"/>
                    </w:rPr>
                  </w:pPr>
                  <w:r>
                    <w:rPr>
                      <w:sz w:val="18"/>
                      <w:szCs w:val="18"/>
                    </w:rPr>
                    <w:t>1350</w:t>
                  </w:r>
                </w:p>
              </w:tc>
              <w:tc>
                <w:tcPr>
                  <w:tcW w:w="558" w:type="pct"/>
                  <w:vAlign w:val="center"/>
                </w:tcPr>
                <w:p>
                  <w:pPr>
                    <w:jc w:val="center"/>
                    <w:rPr>
                      <w:sz w:val="18"/>
                      <w:szCs w:val="18"/>
                    </w:rPr>
                  </w:pPr>
                  <w:r>
                    <w:rPr>
                      <w:sz w:val="18"/>
                      <w:szCs w:val="18"/>
                    </w:rPr>
                    <w:t>4230</w:t>
                  </w:r>
                </w:p>
              </w:tc>
              <w:tc>
                <w:tcPr>
                  <w:tcW w:w="255" w:type="pct"/>
                  <w:vMerge w:val="continue"/>
                  <w:vAlign w:val="center"/>
                </w:tcPr>
                <w:p>
                  <w:pPr>
                    <w:widowControl/>
                    <w:jc w:val="center"/>
                    <w:textAlignment w:val="center"/>
                    <w:rPr>
                      <w:kern w:val="0"/>
                      <w:sz w:val="18"/>
                      <w:szCs w:val="18"/>
                    </w:rPr>
                  </w:pPr>
                </w:p>
              </w:tc>
            </w:tr>
          </w:tbl>
          <w:p>
            <w:pPr>
              <w:spacing w:line="360" w:lineRule="auto"/>
              <w:ind w:firstLine="480" w:firstLineChars="200"/>
              <w:rPr>
                <w:sz w:val="24"/>
              </w:rPr>
            </w:pPr>
            <w:r>
              <w:rPr>
                <w:sz w:val="24"/>
              </w:rPr>
              <w:t>根据业主提供资料，报废汽车主要来源于大足区及周边区县</w:t>
            </w:r>
            <w:r>
              <w:rPr>
                <w:rFonts w:hint="eastAsia"/>
                <w:sz w:val="24"/>
              </w:rPr>
              <w:t>，最后具体范围</w:t>
            </w:r>
            <w:r>
              <w:rPr>
                <w:sz w:val="24"/>
              </w:rPr>
              <w:t>由商委统筹规划。拟建项目仅接收一般性质使用车辆的拆解，不接收槽罐车、危险化学品运输车等特殊装备车辆。</w:t>
            </w:r>
            <w:r>
              <w:rPr>
                <w:sz w:val="24"/>
                <w:u w:color="F9FBFA"/>
              </w:rPr>
              <w:t>企业主要是接收或收购达到国家机动车强制报废标准的机动车进行拆解（不对拆解下的零部件进行精细拆解及清洗，也不涉及废油加工）。</w:t>
            </w:r>
          </w:p>
          <w:p>
            <w:pPr>
              <w:spacing w:line="460" w:lineRule="exact"/>
              <w:rPr>
                <w:b/>
                <w:sz w:val="24"/>
              </w:rPr>
            </w:pPr>
            <w:r>
              <w:rPr>
                <w:rFonts w:hint="eastAsia"/>
                <w:b/>
                <w:sz w:val="24"/>
              </w:rPr>
              <w:t>2.1.</w:t>
            </w:r>
            <w:r>
              <w:rPr>
                <w:b/>
                <w:sz w:val="24"/>
              </w:rPr>
              <w:t>4</w:t>
            </w:r>
            <w:r>
              <w:rPr>
                <w:rFonts w:hint="eastAsia"/>
                <w:b/>
                <w:sz w:val="24"/>
              </w:rPr>
              <w:t>主要生产设施及设施参数</w:t>
            </w:r>
          </w:p>
          <w:p>
            <w:pPr>
              <w:spacing w:line="460" w:lineRule="exact"/>
              <w:ind w:firstLine="480" w:firstLineChars="200"/>
              <w:rPr>
                <w:bCs/>
                <w:sz w:val="24"/>
              </w:rPr>
            </w:pPr>
            <w:r>
              <w:rPr>
                <w:rFonts w:hint="eastAsia"/>
                <w:bCs/>
                <w:sz w:val="24"/>
              </w:rPr>
              <w:t>拟建项目</w:t>
            </w:r>
            <w:r>
              <w:rPr>
                <w:bCs/>
                <w:sz w:val="24"/>
              </w:rPr>
              <w:t>主要生产设备详见下表</w:t>
            </w:r>
            <w:r>
              <w:rPr>
                <w:rFonts w:hint="eastAsia"/>
                <w:bCs/>
                <w:sz w:val="24"/>
              </w:rPr>
              <w:t>2.1.</w:t>
            </w:r>
            <w:r>
              <w:rPr>
                <w:bCs/>
                <w:sz w:val="24"/>
              </w:rPr>
              <w:t>4</w:t>
            </w:r>
            <w:r>
              <w:rPr>
                <w:rFonts w:hint="eastAsia"/>
                <w:bCs/>
                <w:sz w:val="24"/>
              </w:rPr>
              <w:t>-1</w:t>
            </w:r>
            <w:r>
              <w:rPr>
                <w:bCs/>
                <w:sz w:val="24"/>
              </w:rPr>
              <w:t>。</w:t>
            </w:r>
            <w:r>
              <w:rPr>
                <w:rFonts w:hint="eastAsia"/>
                <w:bCs/>
                <w:sz w:val="24"/>
              </w:rPr>
              <w:t>对照《产业结构调整指导目录（2019年本）》，《部分工业行业淘汰落后生产工艺装备和产品指导目录（2010年本）</w:t>
            </w:r>
            <w:r>
              <w:rPr>
                <w:rFonts w:hint="eastAsia"/>
                <w:bCs/>
                <w:sz w:val="24"/>
                <w:lang w:eastAsia="zh-CN"/>
              </w:rPr>
              <w:t>》《</w:t>
            </w:r>
            <w:r>
              <w:rPr>
                <w:rFonts w:hint="eastAsia"/>
                <w:bCs/>
                <w:sz w:val="24"/>
              </w:rPr>
              <w:t>淘汰落后安全技术装备目录（2015年第一批）等文件》，本项目生产设备均不属于名录中的淘汰落后设备。</w:t>
            </w:r>
          </w:p>
          <w:p>
            <w:pPr>
              <w:spacing w:line="500" w:lineRule="exact"/>
              <w:ind w:firstLine="360" w:firstLineChars="200"/>
              <w:jc w:val="center"/>
              <w:rPr>
                <w:bCs/>
                <w:sz w:val="18"/>
                <w:szCs w:val="18"/>
              </w:rPr>
            </w:pPr>
            <w:r>
              <w:rPr>
                <w:bCs/>
                <w:sz w:val="18"/>
                <w:szCs w:val="18"/>
              </w:rPr>
              <w:t>表</w:t>
            </w:r>
            <w:r>
              <w:rPr>
                <w:rFonts w:hint="eastAsia"/>
                <w:bCs/>
                <w:sz w:val="18"/>
                <w:szCs w:val="18"/>
              </w:rPr>
              <w:t>2.1.7-1拟建项目</w:t>
            </w:r>
            <w:r>
              <w:rPr>
                <w:bCs/>
                <w:sz w:val="18"/>
                <w:szCs w:val="18"/>
              </w:rPr>
              <w:t>设备一览表</w:t>
            </w:r>
          </w:p>
          <w:tbl>
            <w:tblPr>
              <w:tblStyle w:val="21"/>
              <w:tblW w:w="5000" w:type="pct"/>
              <w:jc w:val="center"/>
              <w:tblLayout w:type="fixed"/>
              <w:tblCellMar>
                <w:top w:w="0" w:type="dxa"/>
                <w:left w:w="108" w:type="dxa"/>
                <w:bottom w:w="0" w:type="dxa"/>
                <w:right w:w="108" w:type="dxa"/>
              </w:tblCellMar>
            </w:tblPr>
            <w:tblGrid>
              <w:gridCol w:w="1701"/>
              <w:gridCol w:w="3018"/>
              <w:gridCol w:w="993"/>
              <w:gridCol w:w="1072"/>
              <w:gridCol w:w="1160"/>
            </w:tblGrid>
            <w:tr>
              <w:tblPrEx>
                <w:tblCellMar>
                  <w:top w:w="0" w:type="dxa"/>
                  <w:left w:w="108" w:type="dxa"/>
                  <w:bottom w:w="0" w:type="dxa"/>
                  <w:right w:w="108" w:type="dxa"/>
                </w:tblCellMar>
              </w:tblPrEx>
              <w:trPr>
                <w:trHeight w:val="28" w:hRule="atLeast"/>
                <w:jc w:val="center"/>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功能划分</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设备名称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数量</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单位</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备注</w:t>
                  </w: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sz w:val="18"/>
                      <w:szCs w:val="18"/>
                    </w:rPr>
                    <w:t>新能源动力电池拆解区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数显万用表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绝缘电阻测试仪</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温度检测仪</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验电棒</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钳表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断电阀</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止锁杆</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保险器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专用测试转换接头</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高压绝缘棒</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根</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绝缘吊具</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条</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夹臂</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动力电池绝缘举升车</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龙门举升机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手动堆高车</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电动地牛</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防静电真空抽油机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防静电塑料接口制冷剂回收机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总成拆解区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拆解平台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悬臂吊</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铁质周转箱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动力电池存储区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绝缘货架</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组</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小车预处理区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废油液抽排设备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举升机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废油液存储容器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冷媒回收设备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sz w:val="18"/>
                      <w:szCs w:val="18"/>
                    </w:rPr>
                  </w:pPr>
                  <w:r>
                    <w:rPr>
                      <w:rFonts w:hint="eastAsia" w:ascii="宋体" w:hAnsi="宋体" w:cs="宋体"/>
                      <w:kern w:val="0"/>
                      <w:sz w:val="18"/>
                      <w:szCs w:val="18"/>
                      <w:lang w:bidi="ar"/>
                    </w:rPr>
                    <w:t>精细化拆解区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翻转机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手持式液压剪</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玻璃切割器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悬臂吊</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铁质周转箱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塑料周转箱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车门周转箱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轮胎周转箱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个</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sz w:val="18"/>
                      <w:szCs w:val="18"/>
                    </w:rPr>
                  </w:pPr>
                  <w:r>
                    <w:rPr>
                      <w:rFonts w:hint="eastAsia" w:ascii="宋体" w:hAnsi="宋体" w:cs="宋体"/>
                      <w:kern w:val="0"/>
                      <w:sz w:val="18"/>
                      <w:szCs w:val="18"/>
                      <w:lang w:bidi="ar"/>
                    </w:rPr>
                    <w:t>大车预处理区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大车预处理设备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废油液存储容器</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冷媒回收设备</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sz w:val="18"/>
                      <w:szCs w:val="18"/>
                    </w:rPr>
                  </w:pPr>
                  <w:r>
                    <w:rPr>
                      <w:rFonts w:hint="eastAsia" w:ascii="宋体" w:hAnsi="宋体" w:cs="宋体"/>
                      <w:kern w:val="0"/>
                      <w:sz w:val="18"/>
                      <w:szCs w:val="18"/>
                      <w:lang w:bidi="ar"/>
                    </w:rPr>
                    <w:t>高效拆解</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拆车机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鹰嘴剪+挖机主机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等离子切割机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气囊引爆区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气囊引爆箱</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固定围栏</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打包区</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打包机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辅助工具</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手气动工具</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套</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510" w:hRule="atLeast"/>
                <w:jc w:val="center"/>
              </w:trPr>
              <w:tc>
                <w:tcPr>
                  <w:tcW w:w="1071" w:type="pct"/>
                  <w:vMerge w:val="continue"/>
                  <w:tcBorders>
                    <w:left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小车扒胎机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大车扒胎机</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车辆转运</w:t>
                  </w:r>
                </w:p>
              </w:tc>
              <w:tc>
                <w:tcPr>
                  <w:tcW w:w="18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叉车</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sz w:val="18"/>
                      <w:szCs w:val="18"/>
                    </w:rPr>
                    <w:t>称重区</w:t>
                  </w:r>
                </w:p>
              </w:tc>
              <w:tc>
                <w:tcPr>
                  <w:tcW w:w="189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sz w:val="18"/>
                      <w:szCs w:val="18"/>
                    </w:rPr>
                    <w:t>地磅</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sz w:val="18"/>
                      <w:szCs w:val="18"/>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sz w:val="18"/>
                      <w:szCs w:val="18"/>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 w:hRule="atLeast"/>
                <w:jc w:val="center"/>
              </w:trPr>
              <w:tc>
                <w:tcPr>
                  <w:tcW w:w="10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sz w:val="18"/>
                      <w:szCs w:val="18"/>
                    </w:rPr>
                  </w:pPr>
                  <w:r>
                    <w:rPr>
                      <w:rFonts w:hint="eastAsia"/>
                      <w:bCs/>
                      <w:sz w:val="18"/>
                      <w:szCs w:val="18"/>
                    </w:rPr>
                    <w:t>破碎</w:t>
                  </w:r>
                </w:p>
              </w:tc>
              <w:tc>
                <w:tcPr>
                  <w:tcW w:w="18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bCs/>
                      <w:sz w:val="18"/>
                      <w:szCs w:val="18"/>
                    </w:rPr>
                    <w:t>废钢破碎生产机</w:t>
                  </w:r>
                </w:p>
              </w:tc>
              <w:tc>
                <w:tcPr>
                  <w:tcW w:w="625"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bCs/>
                      <w:sz w:val="18"/>
                      <w:szCs w:val="18"/>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kern w:val="0"/>
                      <w:sz w:val="18"/>
                      <w:szCs w:val="18"/>
                      <w:lang w:bidi="ar"/>
                    </w:rPr>
                  </w:pPr>
                  <w:r>
                    <w:rPr>
                      <w:rFonts w:hint="eastAsia"/>
                      <w:bCs/>
                      <w:sz w:val="18"/>
                      <w:szCs w:val="18"/>
                    </w:rPr>
                    <w:t>台</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18"/>
                      <w:szCs w:val="18"/>
                    </w:rPr>
                  </w:pPr>
                </w:p>
              </w:tc>
            </w:tr>
          </w:tbl>
          <w:p>
            <w:pPr>
              <w:spacing w:line="480" w:lineRule="exact"/>
              <w:rPr>
                <w:b/>
                <w:sz w:val="24"/>
              </w:rPr>
            </w:pPr>
            <w:r>
              <w:rPr>
                <w:b/>
                <w:sz w:val="24"/>
              </w:rPr>
              <w:t>2.</w:t>
            </w:r>
            <w:r>
              <w:rPr>
                <w:rFonts w:hint="eastAsia"/>
                <w:b/>
                <w:sz w:val="24"/>
              </w:rPr>
              <w:t>1.</w:t>
            </w:r>
            <w:r>
              <w:rPr>
                <w:b/>
                <w:sz w:val="24"/>
              </w:rPr>
              <w:t>5</w:t>
            </w:r>
            <w:r>
              <w:rPr>
                <w:rFonts w:hint="eastAsia"/>
                <w:b/>
                <w:sz w:val="24"/>
              </w:rPr>
              <w:t>主要原辅材料及燃料的种类和用量</w:t>
            </w:r>
          </w:p>
          <w:p>
            <w:pPr>
              <w:pStyle w:val="7"/>
              <w:spacing w:line="480" w:lineRule="exact"/>
              <w:ind w:firstLine="480"/>
              <w:rPr>
                <w:sz w:val="24"/>
                <w:szCs w:val="24"/>
              </w:rPr>
            </w:pPr>
            <w:r>
              <w:rPr>
                <w:sz w:val="24"/>
                <w:szCs w:val="24"/>
              </w:rPr>
              <w:t>拟建项目运营期原辅料及动力消耗量见表</w:t>
            </w:r>
            <w:r>
              <w:rPr>
                <w:rFonts w:hint="eastAsia"/>
                <w:bCs w:val="0"/>
                <w:sz w:val="24"/>
              </w:rPr>
              <w:t>2.1.</w:t>
            </w:r>
            <w:r>
              <w:rPr>
                <w:bCs w:val="0"/>
                <w:sz w:val="24"/>
              </w:rPr>
              <w:t>5</w:t>
            </w:r>
            <w:r>
              <w:rPr>
                <w:rFonts w:hint="eastAsia"/>
                <w:bCs w:val="0"/>
                <w:sz w:val="24"/>
              </w:rPr>
              <w:t>-1，拟建项目原辅料性质见表2.1.</w:t>
            </w:r>
            <w:r>
              <w:rPr>
                <w:bCs w:val="0"/>
                <w:sz w:val="24"/>
              </w:rPr>
              <w:t>5</w:t>
            </w:r>
            <w:r>
              <w:rPr>
                <w:rFonts w:hint="eastAsia"/>
                <w:bCs w:val="0"/>
                <w:sz w:val="24"/>
              </w:rPr>
              <w:t>-2</w:t>
            </w:r>
            <w:r>
              <w:rPr>
                <w:rFonts w:hint="eastAsia"/>
                <w:sz w:val="24"/>
                <w:szCs w:val="24"/>
              </w:rPr>
              <w:t>。</w:t>
            </w:r>
          </w:p>
          <w:p>
            <w:pPr>
              <w:spacing w:line="360" w:lineRule="exact"/>
              <w:ind w:firstLine="360" w:firstLineChars="200"/>
              <w:jc w:val="center"/>
              <w:rPr>
                <w:sz w:val="18"/>
                <w:szCs w:val="18"/>
              </w:rPr>
            </w:pPr>
            <w:r>
              <w:rPr>
                <w:sz w:val="18"/>
                <w:szCs w:val="18"/>
              </w:rPr>
              <w:t>表2</w:t>
            </w:r>
            <w:r>
              <w:rPr>
                <w:rFonts w:hint="eastAsia"/>
                <w:sz w:val="18"/>
                <w:szCs w:val="18"/>
              </w:rPr>
              <w:t>.1.</w:t>
            </w:r>
            <w:r>
              <w:rPr>
                <w:sz w:val="18"/>
                <w:szCs w:val="18"/>
              </w:rPr>
              <w:t>5</w:t>
            </w:r>
            <w:r>
              <w:rPr>
                <w:rFonts w:hint="eastAsia"/>
                <w:sz w:val="18"/>
                <w:szCs w:val="18"/>
              </w:rPr>
              <w:t>-</w:t>
            </w:r>
            <w:r>
              <w:rPr>
                <w:sz w:val="18"/>
                <w:szCs w:val="18"/>
              </w:rPr>
              <w:t>1 拟建项目主要原辅材料及动力消耗量一览表</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96"/>
              <w:gridCol w:w="696"/>
              <w:gridCol w:w="580"/>
              <w:gridCol w:w="709"/>
              <w:gridCol w:w="709"/>
              <w:gridCol w:w="850"/>
              <w:gridCol w:w="1002"/>
              <w:gridCol w:w="841"/>
              <w:gridCol w:w="709"/>
              <w:gridCol w:w="11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392" w:type="dxa"/>
                  <w:gridSpan w:val="2"/>
                  <w:shd w:val="clear" w:color="auto" w:fill="auto"/>
                  <w:vAlign w:val="center"/>
                </w:tcPr>
                <w:p>
                  <w:pPr>
                    <w:widowControl/>
                    <w:spacing w:line="240" w:lineRule="exact"/>
                    <w:jc w:val="center"/>
                    <w:rPr>
                      <w:kern w:val="0"/>
                      <w:sz w:val="18"/>
                      <w:szCs w:val="18"/>
                    </w:rPr>
                  </w:pPr>
                  <w:r>
                    <w:rPr>
                      <w:kern w:val="0"/>
                      <w:sz w:val="18"/>
                      <w:szCs w:val="18"/>
                    </w:rPr>
                    <w:t>原材料名称</w:t>
                  </w:r>
                </w:p>
              </w:tc>
              <w:tc>
                <w:tcPr>
                  <w:tcW w:w="580" w:type="dxa"/>
                  <w:shd w:val="clear" w:color="auto" w:fill="auto"/>
                  <w:vAlign w:val="center"/>
                </w:tcPr>
                <w:p>
                  <w:pPr>
                    <w:widowControl/>
                    <w:spacing w:line="240" w:lineRule="exact"/>
                    <w:jc w:val="center"/>
                    <w:rPr>
                      <w:kern w:val="0"/>
                      <w:sz w:val="18"/>
                      <w:szCs w:val="18"/>
                    </w:rPr>
                  </w:pPr>
                  <w:r>
                    <w:rPr>
                      <w:kern w:val="0"/>
                      <w:sz w:val="18"/>
                      <w:szCs w:val="18"/>
                    </w:rPr>
                    <w:t>单位</w:t>
                  </w:r>
                </w:p>
              </w:tc>
              <w:tc>
                <w:tcPr>
                  <w:tcW w:w="709" w:type="dxa"/>
                  <w:shd w:val="clear" w:color="auto" w:fill="auto"/>
                  <w:vAlign w:val="center"/>
                </w:tcPr>
                <w:p>
                  <w:pPr>
                    <w:widowControl/>
                    <w:spacing w:line="240" w:lineRule="exact"/>
                    <w:jc w:val="center"/>
                    <w:rPr>
                      <w:kern w:val="0"/>
                      <w:sz w:val="18"/>
                      <w:szCs w:val="18"/>
                    </w:rPr>
                  </w:pPr>
                  <w:r>
                    <w:rPr>
                      <w:kern w:val="0"/>
                      <w:sz w:val="18"/>
                      <w:szCs w:val="18"/>
                    </w:rPr>
                    <w:t>年用量</w:t>
                  </w:r>
                </w:p>
              </w:tc>
              <w:tc>
                <w:tcPr>
                  <w:tcW w:w="709" w:type="dxa"/>
                  <w:shd w:val="clear" w:color="auto" w:fill="auto"/>
                  <w:vAlign w:val="center"/>
                </w:tcPr>
                <w:p>
                  <w:pPr>
                    <w:widowControl/>
                    <w:spacing w:line="240" w:lineRule="exact"/>
                    <w:jc w:val="center"/>
                    <w:rPr>
                      <w:kern w:val="0"/>
                      <w:sz w:val="18"/>
                      <w:szCs w:val="18"/>
                    </w:rPr>
                  </w:pPr>
                  <w:r>
                    <w:rPr>
                      <w:kern w:val="0"/>
                      <w:sz w:val="18"/>
                      <w:szCs w:val="18"/>
                    </w:rPr>
                    <w:t>形态</w:t>
                  </w:r>
                </w:p>
              </w:tc>
              <w:tc>
                <w:tcPr>
                  <w:tcW w:w="850" w:type="dxa"/>
                  <w:shd w:val="clear" w:color="auto" w:fill="auto"/>
                  <w:vAlign w:val="center"/>
                </w:tcPr>
                <w:p>
                  <w:pPr>
                    <w:widowControl/>
                    <w:spacing w:line="240" w:lineRule="exact"/>
                    <w:jc w:val="center"/>
                    <w:rPr>
                      <w:kern w:val="0"/>
                      <w:sz w:val="18"/>
                      <w:szCs w:val="18"/>
                    </w:rPr>
                  </w:pPr>
                  <w:r>
                    <w:rPr>
                      <w:kern w:val="0"/>
                      <w:sz w:val="18"/>
                      <w:szCs w:val="18"/>
                    </w:rPr>
                    <w:t>材料标准及规格</w:t>
                  </w:r>
                </w:p>
              </w:tc>
              <w:tc>
                <w:tcPr>
                  <w:tcW w:w="1002" w:type="dxa"/>
                  <w:vAlign w:val="center"/>
                </w:tcPr>
                <w:p>
                  <w:pPr>
                    <w:widowControl/>
                    <w:spacing w:line="240" w:lineRule="exact"/>
                    <w:jc w:val="center"/>
                    <w:rPr>
                      <w:kern w:val="0"/>
                      <w:sz w:val="18"/>
                      <w:szCs w:val="18"/>
                    </w:rPr>
                  </w:pPr>
                  <w:r>
                    <w:rPr>
                      <w:rFonts w:hint="eastAsia"/>
                      <w:kern w:val="0"/>
                      <w:sz w:val="18"/>
                      <w:szCs w:val="18"/>
                    </w:rPr>
                    <w:t>最大储存量</w:t>
                  </w:r>
                </w:p>
              </w:tc>
              <w:tc>
                <w:tcPr>
                  <w:tcW w:w="841" w:type="dxa"/>
                  <w:vAlign w:val="center"/>
                </w:tcPr>
                <w:p>
                  <w:pPr>
                    <w:widowControl/>
                    <w:spacing w:line="240" w:lineRule="exact"/>
                    <w:jc w:val="center"/>
                    <w:rPr>
                      <w:kern w:val="0"/>
                      <w:sz w:val="18"/>
                      <w:szCs w:val="18"/>
                    </w:rPr>
                  </w:pPr>
                  <w:r>
                    <w:rPr>
                      <w:rFonts w:hint="eastAsia"/>
                      <w:kern w:val="0"/>
                      <w:sz w:val="18"/>
                      <w:szCs w:val="18"/>
                    </w:rPr>
                    <w:t>最大储存天数d</w:t>
                  </w:r>
                </w:p>
              </w:tc>
              <w:tc>
                <w:tcPr>
                  <w:tcW w:w="709" w:type="dxa"/>
                  <w:vAlign w:val="center"/>
                </w:tcPr>
                <w:p>
                  <w:pPr>
                    <w:widowControl/>
                    <w:spacing w:line="240" w:lineRule="exact"/>
                    <w:jc w:val="center"/>
                    <w:rPr>
                      <w:kern w:val="0"/>
                      <w:sz w:val="18"/>
                      <w:szCs w:val="18"/>
                    </w:rPr>
                  </w:pPr>
                  <w:r>
                    <w:rPr>
                      <w:rFonts w:hint="eastAsia"/>
                      <w:kern w:val="0"/>
                      <w:sz w:val="18"/>
                      <w:szCs w:val="18"/>
                    </w:rPr>
                    <w:t>转运次数次（次/年）</w:t>
                  </w:r>
                </w:p>
              </w:tc>
              <w:tc>
                <w:tcPr>
                  <w:tcW w:w="1147" w:type="dxa"/>
                  <w:shd w:val="clear" w:color="auto" w:fill="auto"/>
                  <w:vAlign w:val="center"/>
                </w:tcPr>
                <w:p>
                  <w:pPr>
                    <w:widowControl/>
                    <w:spacing w:line="240" w:lineRule="exact"/>
                    <w:jc w:val="center"/>
                    <w:rPr>
                      <w:kern w:val="0"/>
                      <w:sz w:val="18"/>
                      <w:szCs w:val="18"/>
                    </w:rPr>
                  </w:pPr>
                  <w:r>
                    <w:rPr>
                      <w:kern w:val="0"/>
                      <w:sz w:val="18"/>
                      <w:szCs w:val="1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392" w:type="dxa"/>
                  <w:gridSpan w:val="2"/>
                  <w:shd w:val="clear" w:color="auto" w:fill="auto"/>
                  <w:vAlign w:val="center"/>
                </w:tcPr>
                <w:p>
                  <w:pPr>
                    <w:widowControl/>
                    <w:spacing w:line="240" w:lineRule="exact"/>
                    <w:jc w:val="center"/>
                    <w:rPr>
                      <w:kern w:val="0"/>
                      <w:sz w:val="18"/>
                      <w:szCs w:val="18"/>
                    </w:rPr>
                  </w:pPr>
                  <w:r>
                    <w:rPr>
                      <w:kern w:val="0"/>
                      <w:sz w:val="18"/>
                      <w:szCs w:val="18"/>
                    </w:rPr>
                    <w:t>报废电动汽车</w:t>
                  </w:r>
                </w:p>
              </w:tc>
              <w:tc>
                <w:tcPr>
                  <w:tcW w:w="580" w:type="dxa"/>
                  <w:shd w:val="clear" w:color="auto" w:fill="auto"/>
                  <w:vAlign w:val="center"/>
                </w:tcPr>
                <w:p>
                  <w:pPr>
                    <w:widowControl/>
                    <w:spacing w:line="240" w:lineRule="exact"/>
                    <w:jc w:val="center"/>
                    <w:rPr>
                      <w:kern w:val="0"/>
                      <w:sz w:val="18"/>
                      <w:szCs w:val="18"/>
                    </w:rPr>
                  </w:pPr>
                  <w:r>
                    <w:rPr>
                      <w:kern w:val="0"/>
                      <w:sz w:val="18"/>
                      <w:szCs w:val="18"/>
                    </w:rPr>
                    <w:t>辆/a</w:t>
                  </w:r>
                </w:p>
              </w:tc>
              <w:tc>
                <w:tcPr>
                  <w:tcW w:w="709" w:type="dxa"/>
                  <w:shd w:val="clear" w:color="auto" w:fill="auto"/>
                  <w:vAlign w:val="center"/>
                </w:tcPr>
                <w:p>
                  <w:pPr>
                    <w:widowControl/>
                    <w:spacing w:line="240" w:lineRule="exact"/>
                    <w:jc w:val="center"/>
                    <w:rPr>
                      <w:kern w:val="0"/>
                      <w:sz w:val="18"/>
                      <w:szCs w:val="18"/>
                    </w:rPr>
                  </w:pPr>
                  <w:r>
                    <w:rPr>
                      <w:kern w:val="0"/>
                      <w:sz w:val="18"/>
                      <w:szCs w:val="18"/>
                    </w:rPr>
                    <w:t>7500</w:t>
                  </w:r>
                </w:p>
              </w:tc>
              <w:tc>
                <w:tcPr>
                  <w:tcW w:w="709" w:type="dxa"/>
                  <w:shd w:val="clear" w:color="auto" w:fill="auto"/>
                  <w:vAlign w:val="center"/>
                </w:tcPr>
                <w:p>
                  <w:pPr>
                    <w:widowControl/>
                    <w:spacing w:line="240" w:lineRule="exact"/>
                    <w:jc w:val="center"/>
                    <w:rPr>
                      <w:kern w:val="0"/>
                      <w:sz w:val="18"/>
                      <w:szCs w:val="18"/>
                    </w:rPr>
                  </w:pPr>
                  <w:r>
                    <w:rPr>
                      <w:kern w:val="0"/>
                      <w:sz w:val="18"/>
                      <w:szCs w:val="18"/>
                    </w:rPr>
                    <w:t>固态</w:t>
                  </w:r>
                </w:p>
              </w:tc>
              <w:tc>
                <w:tcPr>
                  <w:tcW w:w="850" w:type="dxa"/>
                  <w:shd w:val="clear" w:color="auto" w:fill="auto"/>
                  <w:vAlign w:val="center"/>
                </w:tcPr>
                <w:p>
                  <w:pPr>
                    <w:widowControl/>
                    <w:spacing w:line="240" w:lineRule="exact"/>
                    <w:jc w:val="center"/>
                    <w:rPr>
                      <w:kern w:val="0"/>
                      <w:sz w:val="18"/>
                      <w:szCs w:val="18"/>
                    </w:rPr>
                  </w:pPr>
                  <w:r>
                    <w:rPr>
                      <w:kern w:val="0"/>
                      <w:sz w:val="18"/>
                      <w:szCs w:val="18"/>
                    </w:rPr>
                    <w:t>1.8t/辆</w:t>
                  </w:r>
                </w:p>
              </w:tc>
              <w:tc>
                <w:tcPr>
                  <w:tcW w:w="1002" w:type="dxa"/>
                  <w:vAlign w:val="center"/>
                </w:tcPr>
                <w:p>
                  <w:pPr>
                    <w:widowControl/>
                    <w:spacing w:line="240" w:lineRule="exact"/>
                    <w:jc w:val="center"/>
                    <w:rPr>
                      <w:kern w:val="0"/>
                      <w:sz w:val="18"/>
                      <w:szCs w:val="18"/>
                    </w:rPr>
                  </w:pPr>
                  <w:r>
                    <w:rPr>
                      <w:rFonts w:hint="eastAsia"/>
                      <w:kern w:val="0"/>
                      <w:sz w:val="18"/>
                      <w:szCs w:val="18"/>
                    </w:rPr>
                    <w:t>7</w:t>
                  </w:r>
                  <w:r>
                    <w:rPr>
                      <w:kern w:val="0"/>
                      <w:sz w:val="18"/>
                      <w:szCs w:val="18"/>
                    </w:rPr>
                    <w:t>5</w:t>
                  </w:r>
                  <w:r>
                    <w:rPr>
                      <w:rFonts w:hint="eastAsia"/>
                      <w:kern w:val="0"/>
                      <w:sz w:val="18"/>
                      <w:szCs w:val="18"/>
                    </w:rPr>
                    <w:t>辆</w:t>
                  </w:r>
                </w:p>
              </w:tc>
              <w:tc>
                <w:tcPr>
                  <w:tcW w:w="841" w:type="dxa"/>
                  <w:vAlign w:val="center"/>
                </w:tcPr>
                <w:p>
                  <w:pPr>
                    <w:widowControl/>
                    <w:spacing w:line="240" w:lineRule="exact"/>
                    <w:jc w:val="center"/>
                    <w:rPr>
                      <w:kern w:val="0"/>
                      <w:sz w:val="18"/>
                      <w:szCs w:val="18"/>
                    </w:rPr>
                  </w:pPr>
                  <w:r>
                    <w:rPr>
                      <w:rFonts w:hint="eastAsia"/>
                      <w:kern w:val="0"/>
                      <w:sz w:val="18"/>
                      <w:szCs w:val="18"/>
                    </w:rPr>
                    <w:t>4</w:t>
                  </w:r>
                </w:p>
              </w:tc>
              <w:tc>
                <w:tcPr>
                  <w:tcW w:w="709" w:type="dxa"/>
                  <w:vAlign w:val="center"/>
                </w:tcPr>
                <w:p>
                  <w:pPr>
                    <w:widowControl/>
                    <w:spacing w:line="240" w:lineRule="exact"/>
                    <w:jc w:val="center"/>
                    <w:rPr>
                      <w:kern w:val="0"/>
                      <w:sz w:val="18"/>
                      <w:szCs w:val="18"/>
                    </w:rPr>
                  </w:pPr>
                  <w:r>
                    <w:rPr>
                      <w:rFonts w:hint="eastAsia"/>
                      <w:kern w:val="0"/>
                      <w:sz w:val="18"/>
                      <w:szCs w:val="18"/>
                    </w:rPr>
                    <w:t>1</w:t>
                  </w:r>
                  <w:r>
                    <w:rPr>
                      <w:kern w:val="0"/>
                      <w:sz w:val="18"/>
                      <w:szCs w:val="18"/>
                    </w:rPr>
                    <w:t>00</w:t>
                  </w:r>
                </w:p>
              </w:tc>
              <w:tc>
                <w:tcPr>
                  <w:tcW w:w="1147" w:type="dxa"/>
                  <w:shd w:val="clear" w:color="auto" w:fill="auto"/>
                  <w:vAlign w:val="center"/>
                </w:tcPr>
                <w:p>
                  <w:pPr>
                    <w:widowControl/>
                    <w:spacing w:line="240" w:lineRule="exact"/>
                    <w:jc w:val="center"/>
                    <w:rPr>
                      <w:kern w:val="0"/>
                      <w:sz w:val="18"/>
                      <w:szCs w:val="18"/>
                    </w:rPr>
                  </w:pPr>
                  <w:r>
                    <w:rPr>
                      <w:kern w:val="0"/>
                      <w:sz w:val="18"/>
                      <w:szCs w:val="18"/>
                    </w:rPr>
                    <w:t>总重13500t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696" w:type="dxa"/>
                  <w:vMerge w:val="restart"/>
                  <w:shd w:val="clear" w:color="auto" w:fill="auto"/>
                  <w:vAlign w:val="center"/>
                </w:tcPr>
                <w:p>
                  <w:pPr>
                    <w:widowControl/>
                    <w:spacing w:line="240" w:lineRule="exact"/>
                    <w:jc w:val="center"/>
                    <w:rPr>
                      <w:kern w:val="0"/>
                      <w:sz w:val="18"/>
                      <w:szCs w:val="18"/>
                    </w:rPr>
                  </w:pPr>
                  <w:r>
                    <w:rPr>
                      <w:rFonts w:hint="eastAsia"/>
                      <w:kern w:val="0"/>
                      <w:sz w:val="18"/>
                      <w:szCs w:val="18"/>
                    </w:rPr>
                    <w:t>传统燃油报废车</w:t>
                  </w:r>
                </w:p>
              </w:tc>
              <w:tc>
                <w:tcPr>
                  <w:tcW w:w="696" w:type="dxa"/>
                  <w:shd w:val="clear" w:color="auto" w:fill="auto"/>
                  <w:vAlign w:val="center"/>
                </w:tcPr>
                <w:p>
                  <w:pPr>
                    <w:widowControl/>
                    <w:spacing w:line="240" w:lineRule="exact"/>
                    <w:jc w:val="center"/>
                    <w:rPr>
                      <w:kern w:val="0"/>
                      <w:sz w:val="18"/>
                      <w:szCs w:val="18"/>
                    </w:rPr>
                  </w:pPr>
                  <w:r>
                    <w:rPr>
                      <w:kern w:val="0"/>
                      <w:sz w:val="18"/>
                      <w:szCs w:val="18"/>
                    </w:rPr>
                    <w:t>小型</w:t>
                  </w:r>
                </w:p>
              </w:tc>
              <w:tc>
                <w:tcPr>
                  <w:tcW w:w="580" w:type="dxa"/>
                  <w:shd w:val="clear" w:color="auto" w:fill="auto"/>
                  <w:vAlign w:val="center"/>
                </w:tcPr>
                <w:p>
                  <w:pPr>
                    <w:widowControl/>
                    <w:spacing w:line="240" w:lineRule="exact"/>
                    <w:jc w:val="center"/>
                    <w:rPr>
                      <w:kern w:val="0"/>
                      <w:sz w:val="18"/>
                      <w:szCs w:val="18"/>
                    </w:rPr>
                  </w:pPr>
                  <w:r>
                    <w:rPr>
                      <w:kern w:val="0"/>
                      <w:sz w:val="18"/>
                      <w:szCs w:val="18"/>
                    </w:rPr>
                    <w:t>辆/a</w:t>
                  </w:r>
                </w:p>
              </w:tc>
              <w:tc>
                <w:tcPr>
                  <w:tcW w:w="709" w:type="dxa"/>
                  <w:shd w:val="clear" w:color="auto" w:fill="auto"/>
                  <w:vAlign w:val="center"/>
                </w:tcPr>
                <w:p>
                  <w:pPr>
                    <w:widowControl/>
                    <w:spacing w:line="240" w:lineRule="exact"/>
                    <w:jc w:val="center"/>
                    <w:rPr>
                      <w:kern w:val="0"/>
                      <w:sz w:val="18"/>
                      <w:szCs w:val="18"/>
                    </w:rPr>
                  </w:pPr>
                  <w:r>
                    <w:rPr>
                      <w:kern w:val="0"/>
                      <w:sz w:val="18"/>
                      <w:szCs w:val="18"/>
                    </w:rPr>
                    <w:t>10500</w:t>
                  </w:r>
                </w:p>
              </w:tc>
              <w:tc>
                <w:tcPr>
                  <w:tcW w:w="709" w:type="dxa"/>
                  <w:shd w:val="clear" w:color="auto" w:fill="auto"/>
                  <w:vAlign w:val="center"/>
                </w:tcPr>
                <w:p>
                  <w:pPr>
                    <w:widowControl/>
                    <w:spacing w:line="240" w:lineRule="exact"/>
                    <w:jc w:val="center"/>
                    <w:rPr>
                      <w:kern w:val="0"/>
                      <w:sz w:val="18"/>
                      <w:szCs w:val="18"/>
                    </w:rPr>
                  </w:pPr>
                  <w:r>
                    <w:rPr>
                      <w:kern w:val="0"/>
                      <w:sz w:val="18"/>
                      <w:szCs w:val="18"/>
                    </w:rPr>
                    <w:t>固态</w:t>
                  </w:r>
                </w:p>
              </w:tc>
              <w:tc>
                <w:tcPr>
                  <w:tcW w:w="850" w:type="dxa"/>
                  <w:shd w:val="clear" w:color="auto" w:fill="auto"/>
                  <w:vAlign w:val="center"/>
                </w:tcPr>
                <w:p>
                  <w:pPr>
                    <w:widowControl/>
                    <w:spacing w:line="240" w:lineRule="exact"/>
                    <w:jc w:val="center"/>
                    <w:rPr>
                      <w:kern w:val="0"/>
                      <w:sz w:val="18"/>
                      <w:szCs w:val="18"/>
                    </w:rPr>
                  </w:pPr>
                  <w:r>
                    <w:rPr>
                      <w:kern w:val="0"/>
                      <w:sz w:val="18"/>
                      <w:szCs w:val="18"/>
                    </w:rPr>
                    <w:t>1.5t/辆</w:t>
                  </w:r>
                </w:p>
              </w:tc>
              <w:tc>
                <w:tcPr>
                  <w:tcW w:w="1002" w:type="dxa"/>
                  <w:vAlign w:val="center"/>
                </w:tcPr>
                <w:p>
                  <w:pPr>
                    <w:widowControl/>
                    <w:spacing w:line="240" w:lineRule="exact"/>
                    <w:jc w:val="center"/>
                    <w:rPr>
                      <w:kern w:val="0"/>
                      <w:sz w:val="18"/>
                      <w:szCs w:val="18"/>
                    </w:rPr>
                  </w:pPr>
                  <w:r>
                    <w:rPr>
                      <w:rFonts w:hint="eastAsia"/>
                      <w:kern w:val="0"/>
                      <w:sz w:val="18"/>
                      <w:szCs w:val="18"/>
                    </w:rPr>
                    <w:t>1</w:t>
                  </w:r>
                  <w:r>
                    <w:rPr>
                      <w:kern w:val="0"/>
                      <w:sz w:val="18"/>
                      <w:szCs w:val="18"/>
                    </w:rPr>
                    <w:t>05</w:t>
                  </w:r>
                  <w:r>
                    <w:rPr>
                      <w:rFonts w:hint="eastAsia"/>
                      <w:kern w:val="0"/>
                      <w:sz w:val="18"/>
                      <w:szCs w:val="18"/>
                    </w:rPr>
                    <w:t>辆</w:t>
                  </w:r>
                </w:p>
              </w:tc>
              <w:tc>
                <w:tcPr>
                  <w:tcW w:w="841" w:type="dxa"/>
                  <w:vAlign w:val="center"/>
                </w:tcPr>
                <w:p>
                  <w:pPr>
                    <w:widowControl/>
                    <w:spacing w:line="240" w:lineRule="exact"/>
                    <w:jc w:val="center"/>
                    <w:rPr>
                      <w:kern w:val="0"/>
                      <w:sz w:val="18"/>
                      <w:szCs w:val="18"/>
                    </w:rPr>
                  </w:pPr>
                  <w:r>
                    <w:rPr>
                      <w:rFonts w:hint="eastAsia"/>
                      <w:kern w:val="0"/>
                      <w:sz w:val="18"/>
                      <w:szCs w:val="18"/>
                    </w:rPr>
                    <w:t>4</w:t>
                  </w:r>
                </w:p>
              </w:tc>
              <w:tc>
                <w:tcPr>
                  <w:tcW w:w="709" w:type="dxa"/>
                  <w:vAlign w:val="center"/>
                </w:tcPr>
                <w:p>
                  <w:pPr>
                    <w:widowControl/>
                    <w:spacing w:line="240" w:lineRule="exact"/>
                    <w:jc w:val="center"/>
                    <w:rPr>
                      <w:kern w:val="0"/>
                      <w:sz w:val="18"/>
                      <w:szCs w:val="18"/>
                    </w:rPr>
                  </w:pPr>
                  <w:r>
                    <w:rPr>
                      <w:rFonts w:hint="eastAsia"/>
                      <w:kern w:val="0"/>
                      <w:sz w:val="18"/>
                      <w:szCs w:val="18"/>
                    </w:rPr>
                    <w:t>1</w:t>
                  </w:r>
                  <w:r>
                    <w:rPr>
                      <w:kern w:val="0"/>
                      <w:sz w:val="18"/>
                      <w:szCs w:val="18"/>
                    </w:rPr>
                    <w:t>00</w:t>
                  </w:r>
                </w:p>
              </w:tc>
              <w:tc>
                <w:tcPr>
                  <w:tcW w:w="1147" w:type="dxa"/>
                  <w:shd w:val="clear" w:color="auto" w:fill="auto"/>
                  <w:noWrap/>
                  <w:vAlign w:val="center"/>
                </w:tcPr>
                <w:p>
                  <w:pPr>
                    <w:widowControl/>
                    <w:spacing w:line="240" w:lineRule="exact"/>
                    <w:jc w:val="center"/>
                    <w:rPr>
                      <w:kern w:val="0"/>
                      <w:sz w:val="18"/>
                      <w:szCs w:val="18"/>
                    </w:rPr>
                  </w:pPr>
                  <w:r>
                    <w:rPr>
                      <w:kern w:val="0"/>
                      <w:sz w:val="18"/>
                      <w:szCs w:val="18"/>
                    </w:rPr>
                    <w:t>总重15750t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696" w:type="dxa"/>
                  <w:vMerge w:val="continue"/>
                  <w:vAlign w:val="center"/>
                </w:tcPr>
                <w:p>
                  <w:pPr>
                    <w:widowControl/>
                    <w:spacing w:line="240" w:lineRule="exact"/>
                    <w:jc w:val="center"/>
                    <w:rPr>
                      <w:kern w:val="0"/>
                      <w:sz w:val="18"/>
                      <w:szCs w:val="18"/>
                    </w:rPr>
                  </w:pPr>
                </w:p>
              </w:tc>
              <w:tc>
                <w:tcPr>
                  <w:tcW w:w="696" w:type="dxa"/>
                  <w:shd w:val="clear" w:color="auto" w:fill="auto"/>
                  <w:vAlign w:val="center"/>
                </w:tcPr>
                <w:p>
                  <w:pPr>
                    <w:widowControl/>
                    <w:spacing w:line="240" w:lineRule="exact"/>
                    <w:jc w:val="center"/>
                    <w:rPr>
                      <w:kern w:val="0"/>
                      <w:sz w:val="18"/>
                      <w:szCs w:val="18"/>
                    </w:rPr>
                  </w:pPr>
                  <w:r>
                    <w:rPr>
                      <w:kern w:val="0"/>
                      <w:sz w:val="18"/>
                      <w:szCs w:val="18"/>
                    </w:rPr>
                    <w:t>中型</w:t>
                  </w:r>
                </w:p>
              </w:tc>
              <w:tc>
                <w:tcPr>
                  <w:tcW w:w="580" w:type="dxa"/>
                  <w:shd w:val="clear" w:color="auto" w:fill="auto"/>
                  <w:vAlign w:val="center"/>
                </w:tcPr>
                <w:p>
                  <w:pPr>
                    <w:widowControl/>
                    <w:spacing w:line="240" w:lineRule="exact"/>
                    <w:jc w:val="center"/>
                    <w:rPr>
                      <w:kern w:val="0"/>
                      <w:sz w:val="18"/>
                      <w:szCs w:val="18"/>
                    </w:rPr>
                  </w:pPr>
                  <w:r>
                    <w:rPr>
                      <w:kern w:val="0"/>
                      <w:sz w:val="18"/>
                      <w:szCs w:val="18"/>
                    </w:rPr>
                    <w:t>辆/a</w:t>
                  </w:r>
                </w:p>
              </w:tc>
              <w:tc>
                <w:tcPr>
                  <w:tcW w:w="709" w:type="dxa"/>
                  <w:shd w:val="clear" w:color="auto" w:fill="auto"/>
                  <w:vAlign w:val="center"/>
                </w:tcPr>
                <w:p>
                  <w:pPr>
                    <w:widowControl/>
                    <w:spacing w:line="240" w:lineRule="exact"/>
                    <w:jc w:val="center"/>
                    <w:rPr>
                      <w:kern w:val="0"/>
                      <w:sz w:val="18"/>
                      <w:szCs w:val="18"/>
                    </w:rPr>
                  </w:pPr>
                  <w:r>
                    <w:rPr>
                      <w:kern w:val="0"/>
                      <w:sz w:val="18"/>
                      <w:szCs w:val="18"/>
                    </w:rPr>
                    <w:t>7500</w:t>
                  </w:r>
                </w:p>
              </w:tc>
              <w:tc>
                <w:tcPr>
                  <w:tcW w:w="709" w:type="dxa"/>
                  <w:shd w:val="clear" w:color="auto" w:fill="auto"/>
                  <w:vAlign w:val="center"/>
                </w:tcPr>
                <w:p>
                  <w:pPr>
                    <w:widowControl/>
                    <w:spacing w:line="240" w:lineRule="exact"/>
                    <w:jc w:val="center"/>
                    <w:rPr>
                      <w:kern w:val="0"/>
                      <w:sz w:val="18"/>
                      <w:szCs w:val="18"/>
                    </w:rPr>
                  </w:pPr>
                  <w:r>
                    <w:rPr>
                      <w:kern w:val="0"/>
                      <w:sz w:val="18"/>
                      <w:szCs w:val="18"/>
                    </w:rPr>
                    <w:t>固态</w:t>
                  </w:r>
                </w:p>
              </w:tc>
              <w:tc>
                <w:tcPr>
                  <w:tcW w:w="850" w:type="dxa"/>
                  <w:shd w:val="clear" w:color="auto" w:fill="auto"/>
                  <w:vAlign w:val="center"/>
                </w:tcPr>
                <w:p>
                  <w:pPr>
                    <w:widowControl/>
                    <w:spacing w:line="240" w:lineRule="exact"/>
                    <w:jc w:val="center"/>
                    <w:rPr>
                      <w:kern w:val="0"/>
                      <w:sz w:val="18"/>
                      <w:szCs w:val="18"/>
                    </w:rPr>
                  </w:pPr>
                  <w:r>
                    <w:rPr>
                      <w:kern w:val="0"/>
                      <w:sz w:val="18"/>
                      <w:szCs w:val="18"/>
                    </w:rPr>
                    <w:t>3t/辆</w:t>
                  </w:r>
                </w:p>
              </w:tc>
              <w:tc>
                <w:tcPr>
                  <w:tcW w:w="1002" w:type="dxa"/>
                  <w:vAlign w:val="center"/>
                </w:tcPr>
                <w:p>
                  <w:pPr>
                    <w:widowControl/>
                    <w:spacing w:line="240" w:lineRule="exact"/>
                    <w:jc w:val="center"/>
                    <w:rPr>
                      <w:kern w:val="0"/>
                      <w:sz w:val="18"/>
                      <w:szCs w:val="18"/>
                    </w:rPr>
                  </w:pPr>
                  <w:r>
                    <w:rPr>
                      <w:rFonts w:hint="eastAsia"/>
                      <w:kern w:val="0"/>
                      <w:sz w:val="18"/>
                      <w:szCs w:val="18"/>
                    </w:rPr>
                    <w:t>4</w:t>
                  </w:r>
                  <w:r>
                    <w:rPr>
                      <w:kern w:val="0"/>
                      <w:sz w:val="18"/>
                      <w:szCs w:val="18"/>
                    </w:rPr>
                    <w:t>8</w:t>
                  </w:r>
                  <w:r>
                    <w:rPr>
                      <w:rFonts w:hint="eastAsia"/>
                      <w:kern w:val="0"/>
                      <w:sz w:val="18"/>
                      <w:szCs w:val="18"/>
                    </w:rPr>
                    <w:t>辆</w:t>
                  </w:r>
                </w:p>
              </w:tc>
              <w:tc>
                <w:tcPr>
                  <w:tcW w:w="841" w:type="dxa"/>
                  <w:vAlign w:val="center"/>
                </w:tcPr>
                <w:p>
                  <w:pPr>
                    <w:widowControl/>
                    <w:spacing w:line="240" w:lineRule="exact"/>
                    <w:jc w:val="center"/>
                    <w:rPr>
                      <w:kern w:val="0"/>
                      <w:sz w:val="18"/>
                      <w:szCs w:val="18"/>
                    </w:rPr>
                  </w:pPr>
                  <w:r>
                    <w:rPr>
                      <w:rFonts w:hint="eastAsia"/>
                      <w:kern w:val="0"/>
                      <w:sz w:val="18"/>
                      <w:szCs w:val="18"/>
                    </w:rPr>
                    <w:t>2</w:t>
                  </w:r>
                </w:p>
              </w:tc>
              <w:tc>
                <w:tcPr>
                  <w:tcW w:w="709" w:type="dxa"/>
                  <w:vAlign w:val="center"/>
                </w:tcPr>
                <w:p>
                  <w:pPr>
                    <w:widowControl/>
                    <w:spacing w:line="240" w:lineRule="exact"/>
                    <w:jc w:val="center"/>
                    <w:rPr>
                      <w:kern w:val="0"/>
                      <w:sz w:val="18"/>
                      <w:szCs w:val="18"/>
                    </w:rPr>
                  </w:pPr>
                  <w:r>
                    <w:rPr>
                      <w:rFonts w:hint="eastAsia"/>
                      <w:kern w:val="0"/>
                      <w:sz w:val="18"/>
                      <w:szCs w:val="18"/>
                    </w:rPr>
                    <w:t>1</w:t>
                  </w:r>
                  <w:r>
                    <w:rPr>
                      <w:kern w:val="0"/>
                      <w:sz w:val="18"/>
                      <w:szCs w:val="18"/>
                    </w:rPr>
                    <w:t>57</w:t>
                  </w:r>
                </w:p>
              </w:tc>
              <w:tc>
                <w:tcPr>
                  <w:tcW w:w="1147" w:type="dxa"/>
                  <w:shd w:val="clear" w:color="auto" w:fill="auto"/>
                  <w:noWrap/>
                  <w:vAlign w:val="center"/>
                </w:tcPr>
                <w:p>
                  <w:pPr>
                    <w:widowControl/>
                    <w:spacing w:line="240" w:lineRule="exact"/>
                    <w:jc w:val="center"/>
                    <w:rPr>
                      <w:kern w:val="0"/>
                      <w:sz w:val="18"/>
                      <w:szCs w:val="18"/>
                    </w:rPr>
                  </w:pPr>
                  <w:r>
                    <w:rPr>
                      <w:kern w:val="0"/>
                      <w:sz w:val="18"/>
                      <w:szCs w:val="18"/>
                    </w:rPr>
                    <w:t>总重22500t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696" w:type="dxa"/>
                  <w:vMerge w:val="continue"/>
                  <w:vAlign w:val="center"/>
                </w:tcPr>
                <w:p>
                  <w:pPr>
                    <w:widowControl/>
                    <w:spacing w:line="240" w:lineRule="exact"/>
                    <w:jc w:val="center"/>
                    <w:rPr>
                      <w:kern w:val="0"/>
                      <w:sz w:val="18"/>
                      <w:szCs w:val="18"/>
                    </w:rPr>
                  </w:pPr>
                </w:p>
              </w:tc>
              <w:tc>
                <w:tcPr>
                  <w:tcW w:w="696" w:type="dxa"/>
                  <w:shd w:val="clear" w:color="auto" w:fill="auto"/>
                  <w:vAlign w:val="center"/>
                </w:tcPr>
                <w:p>
                  <w:pPr>
                    <w:widowControl/>
                    <w:spacing w:line="240" w:lineRule="exact"/>
                    <w:jc w:val="center"/>
                    <w:rPr>
                      <w:kern w:val="0"/>
                      <w:sz w:val="18"/>
                      <w:szCs w:val="18"/>
                    </w:rPr>
                  </w:pPr>
                  <w:r>
                    <w:rPr>
                      <w:kern w:val="0"/>
                      <w:sz w:val="18"/>
                      <w:szCs w:val="18"/>
                    </w:rPr>
                    <w:t>大型</w:t>
                  </w:r>
                </w:p>
              </w:tc>
              <w:tc>
                <w:tcPr>
                  <w:tcW w:w="580" w:type="dxa"/>
                  <w:shd w:val="clear" w:color="auto" w:fill="auto"/>
                  <w:vAlign w:val="center"/>
                </w:tcPr>
                <w:p>
                  <w:pPr>
                    <w:widowControl/>
                    <w:spacing w:line="240" w:lineRule="exact"/>
                    <w:jc w:val="center"/>
                    <w:rPr>
                      <w:kern w:val="0"/>
                      <w:sz w:val="18"/>
                      <w:szCs w:val="18"/>
                    </w:rPr>
                  </w:pPr>
                  <w:r>
                    <w:rPr>
                      <w:kern w:val="0"/>
                      <w:sz w:val="18"/>
                      <w:szCs w:val="18"/>
                    </w:rPr>
                    <w:t>辆/a</w:t>
                  </w:r>
                </w:p>
              </w:tc>
              <w:tc>
                <w:tcPr>
                  <w:tcW w:w="709" w:type="dxa"/>
                  <w:shd w:val="clear" w:color="auto" w:fill="auto"/>
                  <w:vAlign w:val="center"/>
                </w:tcPr>
                <w:p>
                  <w:pPr>
                    <w:widowControl/>
                    <w:spacing w:line="240" w:lineRule="exact"/>
                    <w:jc w:val="center"/>
                    <w:rPr>
                      <w:kern w:val="0"/>
                      <w:sz w:val="18"/>
                      <w:szCs w:val="18"/>
                    </w:rPr>
                  </w:pPr>
                  <w:r>
                    <w:rPr>
                      <w:kern w:val="0"/>
                      <w:sz w:val="18"/>
                      <w:szCs w:val="18"/>
                    </w:rPr>
                    <w:t>4500</w:t>
                  </w:r>
                </w:p>
              </w:tc>
              <w:tc>
                <w:tcPr>
                  <w:tcW w:w="709" w:type="dxa"/>
                  <w:shd w:val="clear" w:color="auto" w:fill="auto"/>
                  <w:vAlign w:val="center"/>
                </w:tcPr>
                <w:p>
                  <w:pPr>
                    <w:widowControl/>
                    <w:spacing w:line="240" w:lineRule="exact"/>
                    <w:jc w:val="center"/>
                    <w:rPr>
                      <w:kern w:val="0"/>
                      <w:sz w:val="18"/>
                      <w:szCs w:val="18"/>
                    </w:rPr>
                  </w:pPr>
                  <w:r>
                    <w:rPr>
                      <w:kern w:val="0"/>
                      <w:sz w:val="18"/>
                      <w:szCs w:val="18"/>
                    </w:rPr>
                    <w:t>固态</w:t>
                  </w:r>
                </w:p>
              </w:tc>
              <w:tc>
                <w:tcPr>
                  <w:tcW w:w="850" w:type="dxa"/>
                  <w:shd w:val="clear" w:color="auto" w:fill="auto"/>
                  <w:vAlign w:val="center"/>
                </w:tcPr>
                <w:p>
                  <w:pPr>
                    <w:widowControl/>
                    <w:spacing w:line="240" w:lineRule="exact"/>
                    <w:jc w:val="center"/>
                    <w:rPr>
                      <w:kern w:val="0"/>
                      <w:sz w:val="18"/>
                      <w:szCs w:val="18"/>
                    </w:rPr>
                  </w:pPr>
                  <w:r>
                    <w:rPr>
                      <w:kern w:val="0"/>
                      <w:sz w:val="18"/>
                      <w:szCs w:val="18"/>
                    </w:rPr>
                    <w:t>5t/辆</w:t>
                  </w:r>
                </w:p>
              </w:tc>
              <w:tc>
                <w:tcPr>
                  <w:tcW w:w="1002" w:type="dxa"/>
                  <w:vAlign w:val="center"/>
                </w:tcPr>
                <w:p>
                  <w:pPr>
                    <w:widowControl/>
                    <w:spacing w:line="240" w:lineRule="exact"/>
                    <w:jc w:val="center"/>
                    <w:rPr>
                      <w:kern w:val="0"/>
                      <w:sz w:val="18"/>
                      <w:szCs w:val="18"/>
                    </w:rPr>
                  </w:pPr>
                  <w:r>
                    <w:rPr>
                      <w:rFonts w:hint="eastAsia"/>
                      <w:kern w:val="0"/>
                      <w:sz w:val="18"/>
                      <w:szCs w:val="18"/>
                    </w:rPr>
                    <w:t>2</w:t>
                  </w:r>
                  <w:r>
                    <w:rPr>
                      <w:kern w:val="0"/>
                      <w:sz w:val="18"/>
                      <w:szCs w:val="18"/>
                    </w:rPr>
                    <w:t>1</w:t>
                  </w:r>
                  <w:r>
                    <w:rPr>
                      <w:rFonts w:hint="eastAsia"/>
                      <w:kern w:val="0"/>
                      <w:sz w:val="18"/>
                      <w:szCs w:val="18"/>
                    </w:rPr>
                    <w:t>辆</w:t>
                  </w:r>
                </w:p>
              </w:tc>
              <w:tc>
                <w:tcPr>
                  <w:tcW w:w="841" w:type="dxa"/>
                  <w:vAlign w:val="center"/>
                </w:tcPr>
                <w:p>
                  <w:pPr>
                    <w:widowControl/>
                    <w:spacing w:line="240" w:lineRule="exact"/>
                    <w:jc w:val="center"/>
                    <w:rPr>
                      <w:kern w:val="0"/>
                      <w:sz w:val="18"/>
                      <w:szCs w:val="18"/>
                    </w:rPr>
                  </w:pPr>
                  <w:r>
                    <w:rPr>
                      <w:rFonts w:hint="eastAsia"/>
                      <w:kern w:val="0"/>
                      <w:sz w:val="18"/>
                      <w:szCs w:val="18"/>
                    </w:rPr>
                    <w:t>2</w:t>
                  </w:r>
                </w:p>
              </w:tc>
              <w:tc>
                <w:tcPr>
                  <w:tcW w:w="709" w:type="dxa"/>
                  <w:vAlign w:val="center"/>
                </w:tcPr>
                <w:p>
                  <w:pPr>
                    <w:widowControl/>
                    <w:spacing w:line="240" w:lineRule="exact"/>
                    <w:jc w:val="center"/>
                    <w:rPr>
                      <w:kern w:val="0"/>
                      <w:sz w:val="18"/>
                      <w:szCs w:val="18"/>
                    </w:rPr>
                  </w:pPr>
                  <w:r>
                    <w:rPr>
                      <w:rFonts w:hint="eastAsia"/>
                      <w:kern w:val="0"/>
                      <w:sz w:val="18"/>
                      <w:szCs w:val="18"/>
                    </w:rPr>
                    <w:t>2</w:t>
                  </w:r>
                  <w:r>
                    <w:rPr>
                      <w:kern w:val="0"/>
                      <w:sz w:val="18"/>
                      <w:szCs w:val="18"/>
                    </w:rPr>
                    <w:t>15</w:t>
                  </w:r>
                </w:p>
              </w:tc>
              <w:tc>
                <w:tcPr>
                  <w:tcW w:w="1147" w:type="dxa"/>
                  <w:shd w:val="clear" w:color="auto" w:fill="auto"/>
                  <w:noWrap/>
                  <w:vAlign w:val="center"/>
                </w:tcPr>
                <w:p>
                  <w:pPr>
                    <w:widowControl/>
                    <w:spacing w:line="240" w:lineRule="exact"/>
                    <w:jc w:val="center"/>
                    <w:rPr>
                      <w:kern w:val="0"/>
                      <w:sz w:val="18"/>
                      <w:szCs w:val="18"/>
                    </w:rPr>
                  </w:pPr>
                  <w:r>
                    <w:rPr>
                      <w:kern w:val="0"/>
                      <w:sz w:val="18"/>
                      <w:szCs w:val="18"/>
                    </w:rPr>
                    <w:t>总重22500t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392" w:type="dxa"/>
                  <w:gridSpan w:val="2"/>
                  <w:vAlign w:val="center"/>
                </w:tcPr>
                <w:p>
                  <w:pPr>
                    <w:widowControl/>
                    <w:spacing w:line="240" w:lineRule="exact"/>
                    <w:jc w:val="center"/>
                    <w:rPr>
                      <w:kern w:val="0"/>
                      <w:sz w:val="18"/>
                      <w:szCs w:val="18"/>
                    </w:rPr>
                  </w:pPr>
                  <w:r>
                    <w:rPr>
                      <w:kern w:val="0"/>
                      <w:sz w:val="18"/>
                      <w:szCs w:val="18"/>
                      <w:lang w:bidi="ar"/>
                    </w:rPr>
                    <w:t>柴油</w:t>
                  </w:r>
                </w:p>
              </w:tc>
              <w:tc>
                <w:tcPr>
                  <w:tcW w:w="580" w:type="dxa"/>
                  <w:shd w:val="clear" w:color="auto" w:fill="auto"/>
                  <w:vAlign w:val="center"/>
                </w:tcPr>
                <w:p>
                  <w:pPr>
                    <w:widowControl/>
                    <w:spacing w:line="240" w:lineRule="exact"/>
                    <w:jc w:val="center"/>
                    <w:rPr>
                      <w:kern w:val="0"/>
                      <w:sz w:val="18"/>
                      <w:szCs w:val="18"/>
                    </w:rPr>
                  </w:pPr>
                  <w:r>
                    <w:rPr>
                      <w:kern w:val="0"/>
                      <w:sz w:val="18"/>
                      <w:szCs w:val="18"/>
                      <w:lang w:bidi="ar"/>
                    </w:rPr>
                    <w:t>t/a</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6</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液态</w:t>
                  </w:r>
                </w:p>
              </w:tc>
              <w:tc>
                <w:tcPr>
                  <w:tcW w:w="850" w:type="dxa"/>
                  <w:shd w:val="clear" w:color="auto" w:fill="auto"/>
                  <w:vAlign w:val="center"/>
                </w:tcPr>
                <w:p>
                  <w:pPr>
                    <w:widowControl/>
                    <w:spacing w:line="240" w:lineRule="exact"/>
                    <w:jc w:val="center"/>
                    <w:rPr>
                      <w:kern w:val="0"/>
                      <w:sz w:val="18"/>
                      <w:szCs w:val="18"/>
                    </w:rPr>
                  </w:pPr>
                  <w:r>
                    <w:rPr>
                      <w:kern w:val="0"/>
                      <w:sz w:val="18"/>
                      <w:szCs w:val="18"/>
                      <w:lang w:bidi="ar"/>
                    </w:rPr>
                    <w:t>10L/桶</w:t>
                  </w:r>
                </w:p>
              </w:tc>
              <w:tc>
                <w:tcPr>
                  <w:tcW w:w="1002" w:type="dxa"/>
                  <w:vAlign w:val="center"/>
                </w:tcPr>
                <w:p>
                  <w:pPr>
                    <w:widowControl/>
                    <w:spacing w:line="240" w:lineRule="exact"/>
                    <w:jc w:val="center"/>
                    <w:rPr>
                      <w:kern w:val="0"/>
                      <w:sz w:val="18"/>
                      <w:szCs w:val="18"/>
                      <w:lang w:bidi="ar"/>
                    </w:rPr>
                  </w:pPr>
                  <w:r>
                    <w:rPr>
                      <w:rFonts w:hint="eastAsia"/>
                      <w:sz w:val="18"/>
                      <w:szCs w:val="18"/>
                    </w:rPr>
                    <w:t>0.255（</w:t>
                  </w:r>
                  <w:r>
                    <w:rPr>
                      <w:sz w:val="18"/>
                      <w:szCs w:val="18"/>
                    </w:rPr>
                    <w:t>30</w:t>
                  </w:r>
                  <w:r>
                    <w:rPr>
                      <w:rFonts w:hint="eastAsia"/>
                      <w:sz w:val="18"/>
                      <w:szCs w:val="18"/>
                    </w:rPr>
                    <w:t>桶）</w:t>
                  </w:r>
                </w:p>
              </w:tc>
              <w:tc>
                <w:tcPr>
                  <w:tcW w:w="841" w:type="dxa"/>
                  <w:vAlign w:val="center"/>
                </w:tcPr>
                <w:p>
                  <w:pPr>
                    <w:widowControl/>
                    <w:spacing w:line="240" w:lineRule="exact"/>
                    <w:jc w:val="center"/>
                    <w:rPr>
                      <w:kern w:val="0"/>
                      <w:sz w:val="18"/>
                      <w:szCs w:val="18"/>
                      <w:lang w:bidi="ar"/>
                    </w:rPr>
                  </w:pPr>
                  <w:r>
                    <w:rPr>
                      <w:rFonts w:hint="eastAsia"/>
                      <w:sz w:val="18"/>
                      <w:szCs w:val="18"/>
                    </w:rPr>
                    <w:t>14</w:t>
                  </w:r>
                </w:p>
              </w:tc>
              <w:tc>
                <w:tcPr>
                  <w:tcW w:w="709" w:type="dxa"/>
                  <w:vAlign w:val="center"/>
                </w:tcPr>
                <w:p>
                  <w:pPr>
                    <w:widowControl/>
                    <w:spacing w:line="240" w:lineRule="exact"/>
                    <w:jc w:val="center"/>
                    <w:rPr>
                      <w:kern w:val="0"/>
                      <w:sz w:val="18"/>
                      <w:szCs w:val="18"/>
                      <w:lang w:bidi="ar"/>
                    </w:rPr>
                  </w:pPr>
                  <w:r>
                    <w:rPr>
                      <w:rFonts w:hint="eastAsia"/>
                      <w:sz w:val="18"/>
                      <w:szCs w:val="18"/>
                    </w:rPr>
                    <w:t>24</w:t>
                  </w:r>
                </w:p>
              </w:tc>
              <w:tc>
                <w:tcPr>
                  <w:tcW w:w="1147" w:type="dxa"/>
                  <w:shd w:val="clear" w:color="auto" w:fill="auto"/>
                  <w:noWrap/>
                  <w:vAlign w:val="center"/>
                </w:tcPr>
                <w:p>
                  <w:pPr>
                    <w:widowControl/>
                    <w:spacing w:line="240" w:lineRule="exact"/>
                    <w:jc w:val="center"/>
                    <w:rPr>
                      <w:kern w:val="0"/>
                      <w:sz w:val="18"/>
                      <w:szCs w:val="18"/>
                    </w:rPr>
                  </w:pPr>
                  <w:r>
                    <w:rPr>
                      <w:rFonts w:hint="eastAsia"/>
                      <w:kern w:val="0"/>
                      <w:sz w:val="18"/>
                      <w:szCs w:val="18"/>
                      <w:lang w:bidi="ar"/>
                    </w:rPr>
                    <w:t>用于</w:t>
                  </w:r>
                  <w:r>
                    <w:rPr>
                      <w:kern w:val="0"/>
                      <w:sz w:val="18"/>
                      <w:szCs w:val="18"/>
                      <w:lang w:bidi="ar"/>
                    </w:rPr>
                    <w:t>叉车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392" w:type="dxa"/>
                  <w:gridSpan w:val="2"/>
                  <w:vAlign w:val="center"/>
                </w:tcPr>
                <w:p>
                  <w:pPr>
                    <w:widowControl/>
                    <w:spacing w:line="240" w:lineRule="exact"/>
                    <w:jc w:val="center"/>
                    <w:rPr>
                      <w:kern w:val="0"/>
                      <w:sz w:val="18"/>
                      <w:szCs w:val="18"/>
                    </w:rPr>
                  </w:pPr>
                  <w:r>
                    <w:rPr>
                      <w:kern w:val="0"/>
                      <w:sz w:val="18"/>
                      <w:szCs w:val="18"/>
                      <w:lang w:bidi="ar"/>
                    </w:rPr>
                    <w:t>润滑油</w:t>
                  </w:r>
                </w:p>
              </w:tc>
              <w:tc>
                <w:tcPr>
                  <w:tcW w:w="580" w:type="dxa"/>
                  <w:shd w:val="clear" w:color="auto" w:fill="auto"/>
                  <w:vAlign w:val="center"/>
                </w:tcPr>
                <w:p>
                  <w:pPr>
                    <w:widowControl/>
                    <w:spacing w:line="240" w:lineRule="exact"/>
                    <w:jc w:val="center"/>
                    <w:rPr>
                      <w:kern w:val="0"/>
                      <w:sz w:val="18"/>
                      <w:szCs w:val="18"/>
                    </w:rPr>
                  </w:pPr>
                  <w:r>
                    <w:rPr>
                      <w:kern w:val="0"/>
                      <w:sz w:val="18"/>
                      <w:szCs w:val="18"/>
                      <w:lang w:bidi="ar"/>
                    </w:rPr>
                    <w:t>t/a</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0.1</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液态</w:t>
                  </w:r>
                </w:p>
              </w:tc>
              <w:tc>
                <w:tcPr>
                  <w:tcW w:w="850" w:type="dxa"/>
                  <w:shd w:val="clear" w:color="auto" w:fill="auto"/>
                  <w:vAlign w:val="center"/>
                </w:tcPr>
                <w:p>
                  <w:pPr>
                    <w:widowControl/>
                    <w:spacing w:line="240" w:lineRule="exact"/>
                    <w:jc w:val="center"/>
                    <w:rPr>
                      <w:kern w:val="0"/>
                      <w:sz w:val="18"/>
                      <w:szCs w:val="18"/>
                    </w:rPr>
                  </w:pPr>
                  <w:r>
                    <w:rPr>
                      <w:sz w:val="18"/>
                      <w:szCs w:val="18"/>
                    </w:rPr>
                    <w:t>10kg/桶</w:t>
                  </w:r>
                </w:p>
              </w:tc>
              <w:tc>
                <w:tcPr>
                  <w:tcW w:w="1002" w:type="dxa"/>
                  <w:vAlign w:val="center"/>
                </w:tcPr>
                <w:p>
                  <w:pPr>
                    <w:widowControl/>
                    <w:spacing w:line="240" w:lineRule="exact"/>
                    <w:jc w:val="center"/>
                    <w:rPr>
                      <w:kern w:val="0"/>
                      <w:sz w:val="18"/>
                      <w:szCs w:val="18"/>
                      <w:lang w:bidi="ar"/>
                    </w:rPr>
                  </w:pPr>
                  <w:r>
                    <w:rPr>
                      <w:rFonts w:hint="eastAsia"/>
                      <w:sz w:val="18"/>
                      <w:szCs w:val="18"/>
                    </w:rPr>
                    <w:t>0.091（1</w:t>
                  </w:r>
                  <w:r>
                    <w:rPr>
                      <w:sz w:val="18"/>
                      <w:szCs w:val="18"/>
                    </w:rPr>
                    <w:t>0</w:t>
                  </w:r>
                  <w:r>
                    <w:rPr>
                      <w:rFonts w:hint="eastAsia"/>
                      <w:sz w:val="18"/>
                      <w:szCs w:val="18"/>
                    </w:rPr>
                    <w:t>桶）</w:t>
                  </w:r>
                </w:p>
              </w:tc>
              <w:tc>
                <w:tcPr>
                  <w:tcW w:w="841" w:type="dxa"/>
                  <w:vAlign w:val="center"/>
                </w:tcPr>
                <w:p>
                  <w:pPr>
                    <w:widowControl/>
                    <w:spacing w:line="240" w:lineRule="exact"/>
                    <w:jc w:val="center"/>
                    <w:rPr>
                      <w:kern w:val="0"/>
                      <w:sz w:val="18"/>
                      <w:szCs w:val="18"/>
                      <w:lang w:bidi="ar"/>
                    </w:rPr>
                  </w:pPr>
                  <w:r>
                    <w:rPr>
                      <w:rFonts w:hint="eastAsia"/>
                      <w:sz w:val="18"/>
                      <w:szCs w:val="18"/>
                    </w:rPr>
                    <w:t>165</w:t>
                  </w:r>
                </w:p>
              </w:tc>
              <w:tc>
                <w:tcPr>
                  <w:tcW w:w="709" w:type="dxa"/>
                  <w:vAlign w:val="center"/>
                </w:tcPr>
                <w:p>
                  <w:pPr>
                    <w:widowControl/>
                    <w:spacing w:line="240" w:lineRule="exact"/>
                    <w:jc w:val="center"/>
                    <w:rPr>
                      <w:kern w:val="0"/>
                      <w:sz w:val="18"/>
                      <w:szCs w:val="18"/>
                      <w:lang w:bidi="ar"/>
                    </w:rPr>
                  </w:pPr>
                  <w:r>
                    <w:rPr>
                      <w:rFonts w:hint="eastAsia"/>
                      <w:sz w:val="18"/>
                      <w:szCs w:val="18"/>
                    </w:rPr>
                    <w:t>2</w:t>
                  </w:r>
                </w:p>
              </w:tc>
              <w:tc>
                <w:tcPr>
                  <w:tcW w:w="1147" w:type="dxa"/>
                  <w:shd w:val="clear" w:color="auto" w:fill="auto"/>
                  <w:noWrap/>
                  <w:vAlign w:val="center"/>
                </w:tcPr>
                <w:p>
                  <w:pPr>
                    <w:widowControl/>
                    <w:spacing w:line="240" w:lineRule="exact"/>
                    <w:jc w:val="center"/>
                    <w:rPr>
                      <w:kern w:val="0"/>
                      <w:sz w:val="18"/>
                      <w:szCs w:val="18"/>
                    </w:rPr>
                  </w:pPr>
                  <w:r>
                    <w:rPr>
                      <w:rFonts w:hint="eastAsia"/>
                      <w:kern w:val="0"/>
                      <w:sz w:val="18"/>
                      <w:szCs w:val="18"/>
                      <w:lang w:bidi="ar"/>
                    </w:rPr>
                    <w:t>用于</w:t>
                  </w:r>
                  <w:r>
                    <w:rPr>
                      <w:kern w:val="0"/>
                      <w:sz w:val="18"/>
                      <w:szCs w:val="18"/>
                      <w:lang w:bidi="ar"/>
                    </w:rPr>
                    <w:t>空压机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1392" w:type="dxa"/>
                  <w:gridSpan w:val="2"/>
                  <w:vAlign w:val="center"/>
                </w:tcPr>
                <w:p>
                  <w:pPr>
                    <w:widowControl/>
                    <w:spacing w:line="240" w:lineRule="exact"/>
                    <w:jc w:val="center"/>
                    <w:rPr>
                      <w:kern w:val="0"/>
                      <w:sz w:val="18"/>
                      <w:szCs w:val="18"/>
                    </w:rPr>
                  </w:pPr>
                  <w:r>
                    <w:rPr>
                      <w:kern w:val="0"/>
                      <w:sz w:val="18"/>
                      <w:szCs w:val="18"/>
                      <w:lang w:bidi="ar"/>
                    </w:rPr>
                    <w:t>液压油</w:t>
                  </w:r>
                </w:p>
              </w:tc>
              <w:tc>
                <w:tcPr>
                  <w:tcW w:w="580" w:type="dxa"/>
                  <w:shd w:val="clear" w:color="auto" w:fill="auto"/>
                  <w:vAlign w:val="center"/>
                </w:tcPr>
                <w:p>
                  <w:pPr>
                    <w:widowControl/>
                    <w:spacing w:line="240" w:lineRule="exact"/>
                    <w:jc w:val="center"/>
                    <w:rPr>
                      <w:kern w:val="0"/>
                      <w:sz w:val="18"/>
                      <w:szCs w:val="18"/>
                    </w:rPr>
                  </w:pPr>
                  <w:r>
                    <w:rPr>
                      <w:kern w:val="0"/>
                      <w:sz w:val="18"/>
                      <w:szCs w:val="18"/>
                      <w:lang w:bidi="ar"/>
                    </w:rPr>
                    <w:t>t/a</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0.09</w:t>
                  </w:r>
                </w:p>
              </w:tc>
              <w:tc>
                <w:tcPr>
                  <w:tcW w:w="709" w:type="dxa"/>
                  <w:shd w:val="clear" w:color="auto" w:fill="auto"/>
                  <w:vAlign w:val="center"/>
                </w:tcPr>
                <w:p>
                  <w:pPr>
                    <w:widowControl/>
                    <w:spacing w:line="240" w:lineRule="exact"/>
                    <w:jc w:val="center"/>
                    <w:rPr>
                      <w:kern w:val="0"/>
                      <w:sz w:val="18"/>
                      <w:szCs w:val="18"/>
                    </w:rPr>
                  </w:pPr>
                  <w:r>
                    <w:rPr>
                      <w:kern w:val="0"/>
                      <w:sz w:val="18"/>
                      <w:szCs w:val="18"/>
                      <w:lang w:bidi="ar"/>
                    </w:rPr>
                    <w:t>液态</w:t>
                  </w:r>
                </w:p>
              </w:tc>
              <w:tc>
                <w:tcPr>
                  <w:tcW w:w="850" w:type="dxa"/>
                  <w:shd w:val="clear" w:color="auto" w:fill="auto"/>
                  <w:vAlign w:val="center"/>
                </w:tcPr>
                <w:p>
                  <w:pPr>
                    <w:widowControl/>
                    <w:spacing w:line="240" w:lineRule="exact"/>
                    <w:jc w:val="center"/>
                    <w:rPr>
                      <w:kern w:val="0"/>
                      <w:sz w:val="18"/>
                      <w:szCs w:val="18"/>
                    </w:rPr>
                  </w:pPr>
                  <w:r>
                    <w:rPr>
                      <w:sz w:val="18"/>
                      <w:szCs w:val="18"/>
                    </w:rPr>
                    <w:t>18L/桶</w:t>
                  </w:r>
                </w:p>
              </w:tc>
              <w:tc>
                <w:tcPr>
                  <w:tcW w:w="1002" w:type="dxa"/>
                  <w:vAlign w:val="center"/>
                </w:tcPr>
                <w:p>
                  <w:pPr>
                    <w:widowControl/>
                    <w:spacing w:line="240" w:lineRule="exact"/>
                    <w:jc w:val="center"/>
                    <w:rPr>
                      <w:kern w:val="0"/>
                      <w:sz w:val="18"/>
                      <w:szCs w:val="18"/>
                      <w:lang w:bidi="ar"/>
                    </w:rPr>
                  </w:pPr>
                  <w:r>
                    <w:rPr>
                      <w:rFonts w:hint="eastAsia"/>
                      <w:sz w:val="18"/>
                      <w:szCs w:val="18"/>
                    </w:rPr>
                    <w:t>0.1548（1</w:t>
                  </w:r>
                  <w:r>
                    <w:rPr>
                      <w:sz w:val="18"/>
                      <w:szCs w:val="18"/>
                    </w:rPr>
                    <w:t>0</w:t>
                  </w:r>
                  <w:r>
                    <w:rPr>
                      <w:rFonts w:hint="eastAsia"/>
                      <w:sz w:val="18"/>
                      <w:szCs w:val="18"/>
                    </w:rPr>
                    <w:t>桶）</w:t>
                  </w:r>
                </w:p>
              </w:tc>
              <w:tc>
                <w:tcPr>
                  <w:tcW w:w="841" w:type="dxa"/>
                  <w:vAlign w:val="center"/>
                </w:tcPr>
                <w:p>
                  <w:pPr>
                    <w:widowControl/>
                    <w:spacing w:line="240" w:lineRule="exact"/>
                    <w:jc w:val="center"/>
                    <w:rPr>
                      <w:kern w:val="0"/>
                      <w:sz w:val="18"/>
                      <w:szCs w:val="18"/>
                      <w:lang w:bidi="ar"/>
                    </w:rPr>
                  </w:pPr>
                  <w:r>
                    <w:rPr>
                      <w:rFonts w:hint="eastAsia"/>
                      <w:sz w:val="18"/>
                      <w:szCs w:val="18"/>
                    </w:rPr>
                    <w:t>330</w:t>
                  </w:r>
                </w:p>
              </w:tc>
              <w:tc>
                <w:tcPr>
                  <w:tcW w:w="709" w:type="dxa"/>
                  <w:vAlign w:val="center"/>
                </w:tcPr>
                <w:p>
                  <w:pPr>
                    <w:widowControl/>
                    <w:spacing w:line="240" w:lineRule="exact"/>
                    <w:jc w:val="center"/>
                    <w:rPr>
                      <w:kern w:val="0"/>
                      <w:sz w:val="18"/>
                      <w:szCs w:val="18"/>
                      <w:lang w:bidi="ar"/>
                    </w:rPr>
                  </w:pPr>
                  <w:r>
                    <w:rPr>
                      <w:rFonts w:hint="eastAsia"/>
                      <w:sz w:val="18"/>
                      <w:szCs w:val="18"/>
                    </w:rPr>
                    <w:t>1</w:t>
                  </w:r>
                </w:p>
              </w:tc>
              <w:tc>
                <w:tcPr>
                  <w:tcW w:w="1147" w:type="dxa"/>
                  <w:shd w:val="clear" w:color="auto" w:fill="auto"/>
                  <w:noWrap/>
                  <w:vAlign w:val="center"/>
                </w:tcPr>
                <w:p>
                  <w:pPr>
                    <w:widowControl/>
                    <w:spacing w:line="240" w:lineRule="exact"/>
                    <w:jc w:val="center"/>
                    <w:rPr>
                      <w:kern w:val="0"/>
                      <w:sz w:val="18"/>
                      <w:szCs w:val="18"/>
                    </w:rPr>
                  </w:pPr>
                  <w:r>
                    <w:rPr>
                      <w:rFonts w:hint="eastAsia"/>
                      <w:kern w:val="0"/>
                      <w:sz w:val="18"/>
                      <w:szCs w:val="18"/>
                      <w:lang w:bidi="ar"/>
                    </w:rPr>
                    <w:t>用于</w:t>
                  </w:r>
                  <w:r>
                    <w:rPr>
                      <w:kern w:val="0"/>
                      <w:sz w:val="18"/>
                      <w:szCs w:val="18"/>
                      <w:lang w:bidi="ar"/>
                    </w:rPr>
                    <w:t>液压拆解设备</w:t>
                  </w:r>
                </w:p>
              </w:tc>
            </w:tr>
          </w:tbl>
          <w:p>
            <w:pPr>
              <w:jc w:val="center"/>
            </w:pPr>
          </w:p>
          <w:p>
            <w:pPr>
              <w:jc w:val="center"/>
              <w:rPr>
                <w:sz w:val="18"/>
                <w:szCs w:val="18"/>
              </w:rPr>
            </w:pPr>
            <w:r>
              <w:rPr>
                <w:rFonts w:hint="eastAsia"/>
                <w:sz w:val="18"/>
                <w:szCs w:val="18"/>
              </w:rPr>
              <w:t>表</w:t>
            </w:r>
            <w:r>
              <w:rPr>
                <w:sz w:val="18"/>
                <w:szCs w:val="18"/>
              </w:rPr>
              <w:t>2</w:t>
            </w:r>
            <w:r>
              <w:rPr>
                <w:rFonts w:hint="eastAsia"/>
                <w:sz w:val="18"/>
                <w:szCs w:val="18"/>
              </w:rPr>
              <w:t>.1.</w:t>
            </w:r>
            <w:r>
              <w:rPr>
                <w:sz w:val="18"/>
                <w:szCs w:val="18"/>
              </w:rPr>
              <w:t>5</w:t>
            </w:r>
            <w:r>
              <w:rPr>
                <w:rFonts w:hint="eastAsia"/>
                <w:sz w:val="18"/>
                <w:szCs w:val="18"/>
              </w:rPr>
              <w:t>-</w:t>
            </w:r>
            <w:r>
              <w:rPr>
                <w:sz w:val="18"/>
                <w:szCs w:val="18"/>
              </w:rPr>
              <w:t>1</w:t>
            </w:r>
            <w:r>
              <w:rPr>
                <w:rFonts w:hint="eastAsia"/>
                <w:sz w:val="18"/>
                <w:szCs w:val="18"/>
              </w:rPr>
              <w:t xml:space="preserve">  原辅材料理化性质一览表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358"/>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17" w:type="dxa"/>
                  <w:vAlign w:val="center"/>
                </w:tcPr>
                <w:p>
                  <w:pPr>
                    <w:snapToGrid w:val="0"/>
                    <w:spacing w:line="240" w:lineRule="exact"/>
                    <w:jc w:val="center"/>
                    <w:textAlignment w:val="baseline"/>
                    <w:rPr>
                      <w:sz w:val="18"/>
                      <w:szCs w:val="18"/>
                    </w:rPr>
                  </w:pPr>
                  <w:r>
                    <w:rPr>
                      <w:sz w:val="18"/>
                      <w:szCs w:val="18"/>
                    </w:rPr>
                    <w:t>序号</w:t>
                  </w:r>
                </w:p>
              </w:tc>
              <w:tc>
                <w:tcPr>
                  <w:tcW w:w="1358" w:type="dxa"/>
                  <w:vAlign w:val="center"/>
                </w:tcPr>
                <w:p>
                  <w:pPr>
                    <w:snapToGrid w:val="0"/>
                    <w:spacing w:line="240" w:lineRule="exact"/>
                    <w:jc w:val="center"/>
                    <w:textAlignment w:val="baseline"/>
                    <w:rPr>
                      <w:sz w:val="18"/>
                      <w:szCs w:val="18"/>
                    </w:rPr>
                  </w:pPr>
                  <w:r>
                    <w:rPr>
                      <w:sz w:val="18"/>
                      <w:szCs w:val="18"/>
                    </w:rPr>
                    <w:t>原辅材料名称</w:t>
                  </w:r>
                </w:p>
              </w:tc>
              <w:tc>
                <w:tcPr>
                  <w:tcW w:w="5960" w:type="dxa"/>
                  <w:vAlign w:val="center"/>
                </w:tcPr>
                <w:p>
                  <w:pPr>
                    <w:snapToGrid w:val="0"/>
                    <w:spacing w:line="240" w:lineRule="exact"/>
                    <w:jc w:val="center"/>
                    <w:textAlignment w:val="baseline"/>
                    <w:rPr>
                      <w:sz w:val="18"/>
                      <w:szCs w:val="18"/>
                    </w:rPr>
                  </w:pPr>
                  <w:r>
                    <w:rPr>
                      <w:sz w:val="18"/>
                      <w:szCs w:val="18"/>
                    </w:rPr>
                    <w:t>主要成分及性质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17" w:type="dxa"/>
                  <w:vAlign w:val="center"/>
                </w:tcPr>
                <w:p>
                  <w:pPr>
                    <w:snapToGrid w:val="0"/>
                    <w:spacing w:line="240" w:lineRule="exact"/>
                    <w:jc w:val="center"/>
                    <w:textAlignment w:val="baseline"/>
                    <w:rPr>
                      <w:sz w:val="18"/>
                      <w:szCs w:val="18"/>
                    </w:rPr>
                  </w:pPr>
                  <w:r>
                    <w:rPr>
                      <w:sz w:val="18"/>
                      <w:szCs w:val="18"/>
                    </w:rPr>
                    <w:t>1</w:t>
                  </w:r>
                </w:p>
              </w:tc>
              <w:tc>
                <w:tcPr>
                  <w:tcW w:w="1358" w:type="dxa"/>
                  <w:vAlign w:val="center"/>
                </w:tcPr>
                <w:p>
                  <w:pPr>
                    <w:spacing w:line="240" w:lineRule="exact"/>
                    <w:jc w:val="center"/>
                    <w:rPr>
                      <w:sz w:val="18"/>
                      <w:szCs w:val="18"/>
                    </w:rPr>
                  </w:pPr>
                  <w:r>
                    <w:rPr>
                      <w:kern w:val="0"/>
                      <w:sz w:val="18"/>
                      <w:szCs w:val="18"/>
                      <w:lang w:bidi="ar"/>
                    </w:rPr>
                    <w:t>柴油</w:t>
                  </w:r>
                </w:p>
              </w:tc>
              <w:tc>
                <w:tcPr>
                  <w:tcW w:w="5960" w:type="dxa"/>
                  <w:vAlign w:val="center"/>
                </w:tcPr>
                <w:p>
                  <w:pPr>
                    <w:spacing w:line="240" w:lineRule="exact"/>
                    <w:ind w:firstLine="360" w:firstLineChars="200"/>
                    <w:rPr>
                      <w:sz w:val="18"/>
                      <w:szCs w:val="18"/>
                    </w:rPr>
                  </w:pPr>
                  <w:r>
                    <w:rPr>
                      <w:sz w:val="18"/>
                      <w:szCs w:val="18"/>
                    </w:rPr>
                    <w:t>为有色透明液体，难溶于水，闪点38℃，密度约0.82~0.845g/cm</w:t>
                  </w:r>
                  <w:r>
                    <w:rPr>
                      <w:sz w:val="18"/>
                      <w:szCs w:val="18"/>
                      <w:vertAlign w:val="superscript"/>
                    </w:rPr>
                    <w:t>3</w:t>
                  </w:r>
                  <w:r>
                    <w:rPr>
                      <w:sz w:val="18"/>
                      <w:szCs w:val="18"/>
                    </w:rPr>
                    <w:t>，主要由</w:t>
                  </w:r>
                  <w:r>
                    <w:fldChar w:fldCharType="begin"/>
                  </w:r>
                  <w:r>
                    <w:instrText xml:space="preserve"> HYPERLINK "https://baike.so.com/doc/7656790-7930885.html" \t "https://baike.so.com/doc/_blank" </w:instrText>
                  </w:r>
                  <w:r>
                    <w:fldChar w:fldCharType="separate"/>
                  </w:r>
                  <w:r>
                    <w:rPr>
                      <w:sz w:val="18"/>
                      <w:szCs w:val="18"/>
                    </w:rPr>
                    <w:t>原油蒸馏</w:t>
                  </w:r>
                  <w:r>
                    <w:rPr>
                      <w:sz w:val="18"/>
                      <w:szCs w:val="18"/>
                    </w:rPr>
                    <w:fldChar w:fldCharType="end"/>
                  </w:r>
                  <w:r>
                    <w:rPr>
                      <w:sz w:val="18"/>
                      <w:szCs w:val="18"/>
                    </w:rPr>
                    <w:t>、</w:t>
                  </w:r>
                  <w:r>
                    <w:fldChar w:fldCharType="begin"/>
                  </w:r>
                  <w:r>
                    <w:instrText xml:space="preserve"> HYPERLINK "https://baike.so.com/doc/4243799-4445987.html" \t "https://baike.so.com/doc/_blank" </w:instrText>
                  </w:r>
                  <w:r>
                    <w:fldChar w:fldCharType="separate"/>
                  </w:r>
                  <w:r>
                    <w:rPr>
                      <w:sz w:val="18"/>
                      <w:szCs w:val="18"/>
                    </w:rPr>
                    <w:t>催化裂化</w:t>
                  </w:r>
                  <w:r>
                    <w:rPr>
                      <w:sz w:val="18"/>
                      <w:szCs w:val="18"/>
                    </w:rPr>
                    <w:fldChar w:fldCharType="end"/>
                  </w:r>
                  <w:r>
                    <w:rPr>
                      <w:sz w:val="18"/>
                      <w:szCs w:val="18"/>
                    </w:rPr>
                    <w:t>、热裂化、</w:t>
                  </w:r>
                  <w:r>
                    <w:fldChar w:fldCharType="begin"/>
                  </w:r>
                  <w:r>
                    <w:instrText xml:space="preserve"> HYPERLINK "https://baike.so.com/doc/6558630-6772384.html" \t "https://baike.so.com/doc/_blank" </w:instrText>
                  </w:r>
                  <w:r>
                    <w:fldChar w:fldCharType="separate"/>
                  </w:r>
                  <w:r>
                    <w:rPr>
                      <w:sz w:val="18"/>
                      <w:szCs w:val="18"/>
                    </w:rPr>
                    <w:t>加氢裂化</w:t>
                  </w:r>
                  <w:r>
                    <w:rPr>
                      <w:sz w:val="18"/>
                      <w:szCs w:val="18"/>
                    </w:rPr>
                    <w:fldChar w:fldCharType="end"/>
                  </w:r>
                  <w:r>
                    <w:rPr>
                      <w:sz w:val="18"/>
                      <w:szCs w:val="18"/>
                    </w:rPr>
                    <w:t>、</w:t>
                  </w:r>
                  <w:r>
                    <w:fldChar w:fldCharType="begin"/>
                  </w:r>
                  <w:r>
                    <w:instrText xml:space="preserve"> HYPERLINK "https://baike.so.com/doc/1093015-1156548.html" \t "https://baike.so.com/doc/_blank" </w:instrText>
                  </w:r>
                  <w:r>
                    <w:fldChar w:fldCharType="separate"/>
                  </w:r>
                  <w:r>
                    <w:rPr>
                      <w:sz w:val="18"/>
                      <w:szCs w:val="18"/>
                    </w:rPr>
                    <w:t>石油</w:t>
                  </w:r>
                  <w:r>
                    <w:rPr>
                      <w:sz w:val="18"/>
                      <w:szCs w:val="18"/>
                    </w:rPr>
                    <w:fldChar w:fldCharType="end"/>
                  </w:r>
                  <w:r>
                    <w:rPr>
                      <w:sz w:val="18"/>
                      <w:szCs w:val="18"/>
                    </w:rPr>
                    <w:t>焦化等过程生产的柴油馏分调配而成；也可由</w:t>
                  </w:r>
                  <w:r>
                    <w:fldChar w:fldCharType="begin"/>
                  </w:r>
                  <w:r>
                    <w:instrText xml:space="preserve"> HYPERLINK "https://baike.so.com/doc/538083-569664.html" \t "https://baike.so.com/doc/_blank" </w:instrText>
                  </w:r>
                  <w:r>
                    <w:fldChar w:fldCharType="separate"/>
                  </w:r>
                  <w:r>
                    <w:rPr>
                      <w:sz w:val="18"/>
                      <w:szCs w:val="18"/>
                    </w:rPr>
                    <w:t>页岩油</w:t>
                  </w:r>
                  <w:r>
                    <w:rPr>
                      <w:sz w:val="18"/>
                      <w:szCs w:val="18"/>
                    </w:rPr>
                    <w:fldChar w:fldCharType="end"/>
                  </w:r>
                  <w:r>
                    <w:rPr>
                      <w:sz w:val="18"/>
                      <w:szCs w:val="18"/>
                    </w:rPr>
                    <w:t>加工和</w:t>
                  </w:r>
                  <w:r>
                    <w:fldChar w:fldCharType="begin"/>
                  </w:r>
                  <w:r>
                    <w:instrText xml:space="preserve"> HYPERLINK "https://baike.so.com/doc/5945725-6158661.html" \t "https://baike.so.com/doc/_blank" </w:instrText>
                  </w:r>
                  <w:r>
                    <w:fldChar w:fldCharType="separate"/>
                  </w:r>
                  <w:r>
                    <w:rPr>
                      <w:sz w:val="18"/>
                      <w:szCs w:val="18"/>
                    </w:rPr>
                    <w:t>煤液化</w:t>
                  </w:r>
                  <w:r>
                    <w:rPr>
                      <w:sz w:val="18"/>
                      <w:szCs w:val="18"/>
                    </w:rPr>
                    <w:fldChar w:fldCharType="end"/>
                  </w:r>
                  <w:r>
                    <w:rPr>
                      <w:sz w:val="18"/>
                      <w:szCs w:val="18"/>
                    </w:rPr>
                    <w:t>制取。柴油广泛用于大型车辆、船舰、</w:t>
                  </w:r>
                  <w:r>
                    <w:fldChar w:fldCharType="begin"/>
                  </w:r>
                  <w:r>
                    <w:instrText xml:space="preserve"> HYPERLINK "https://baike.so.com/doc/478010-506128.html" \t "https://baike.so.com/doc/_blank" </w:instrText>
                  </w:r>
                  <w:r>
                    <w:fldChar w:fldCharType="separate"/>
                  </w:r>
                  <w:r>
                    <w:rPr>
                      <w:sz w:val="18"/>
                      <w:szCs w:val="18"/>
                    </w:rPr>
                    <w:t>发电机</w:t>
                  </w:r>
                  <w:r>
                    <w:rPr>
                      <w:sz w:val="18"/>
                      <w:szCs w:val="18"/>
                    </w:rPr>
                    <w:fldChar w:fldCharType="end"/>
                  </w:r>
                  <w:r>
                    <w:rPr>
                      <w:sz w:val="18"/>
                      <w:szCs w:val="1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17" w:type="dxa"/>
                  <w:vAlign w:val="center"/>
                </w:tcPr>
                <w:p>
                  <w:pPr>
                    <w:snapToGrid w:val="0"/>
                    <w:spacing w:line="240" w:lineRule="exact"/>
                    <w:jc w:val="center"/>
                    <w:textAlignment w:val="baseline"/>
                    <w:rPr>
                      <w:sz w:val="18"/>
                      <w:szCs w:val="18"/>
                    </w:rPr>
                  </w:pPr>
                  <w:r>
                    <w:rPr>
                      <w:sz w:val="18"/>
                      <w:szCs w:val="18"/>
                    </w:rPr>
                    <w:t>2</w:t>
                  </w:r>
                </w:p>
              </w:tc>
              <w:tc>
                <w:tcPr>
                  <w:tcW w:w="1358" w:type="dxa"/>
                  <w:vAlign w:val="center"/>
                </w:tcPr>
                <w:p>
                  <w:pPr>
                    <w:adjustRightInd w:val="0"/>
                    <w:snapToGrid w:val="0"/>
                    <w:spacing w:line="240" w:lineRule="exact"/>
                    <w:jc w:val="center"/>
                    <w:rPr>
                      <w:kern w:val="0"/>
                      <w:sz w:val="18"/>
                      <w:szCs w:val="18"/>
                      <w:lang w:bidi="ar"/>
                    </w:rPr>
                  </w:pPr>
                  <w:r>
                    <w:rPr>
                      <w:sz w:val="18"/>
                      <w:szCs w:val="18"/>
                    </w:rPr>
                    <w:t>液压油</w:t>
                  </w:r>
                </w:p>
              </w:tc>
              <w:tc>
                <w:tcPr>
                  <w:tcW w:w="5960" w:type="dxa"/>
                  <w:vAlign w:val="center"/>
                </w:tcPr>
                <w:p>
                  <w:pPr>
                    <w:pStyle w:val="115"/>
                    <w:spacing w:line="240" w:lineRule="exact"/>
                    <w:ind w:firstLine="360" w:firstLineChars="200"/>
                    <w:jc w:val="both"/>
                    <w:rPr>
                      <w:rFonts w:eastAsia="宋体"/>
                      <w:sz w:val="18"/>
                      <w:szCs w:val="18"/>
                    </w:rPr>
                  </w:pPr>
                  <w:r>
                    <w:rPr>
                      <w:rFonts w:eastAsia="宋体"/>
                      <w:sz w:val="18"/>
                      <w:szCs w:val="18"/>
                    </w:rPr>
                    <w:t>油状液体，20℃时密度约为800～900kg/m</w:t>
                  </w:r>
                  <w:r>
                    <w:rPr>
                      <w:rFonts w:eastAsia="宋体"/>
                      <w:sz w:val="18"/>
                      <w:szCs w:val="18"/>
                      <w:vertAlign w:val="superscript"/>
                    </w:rPr>
                    <w:t>3</w:t>
                  </w:r>
                  <w:r>
                    <w:rPr>
                      <w:rFonts w:eastAsia="宋体"/>
                      <w:sz w:val="18"/>
                      <w:szCs w:val="18"/>
                    </w:rPr>
                    <w:t>，闪点220℃左右。液压油供机械设备使用，一年更换一次。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617" w:type="dxa"/>
                  <w:vAlign w:val="center"/>
                </w:tcPr>
                <w:p>
                  <w:pPr>
                    <w:snapToGrid w:val="0"/>
                    <w:spacing w:line="240" w:lineRule="exact"/>
                    <w:jc w:val="center"/>
                    <w:textAlignment w:val="baseline"/>
                    <w:rPr>
                      <w:sz w:val="18"/>
                      <w:szCs w:val="18"/>
                    </w:rPr>
                  </w:pPr>
                  <w:r>
                    <w:rPr>
                      <w:sz w:val="18"/>
                      <w:szCs w:val="18"/>
                    </w:rPr>
                    <w:t>3</w:t>
                  </w:r>
                </w:p>
              </w:tc>
              <w:tc>
                <w:tcPr>
                  <w:tcW w:w="1358" w:type="dxa"/>
                  <w:vAlign w:val="center"/>
                </w:tcPr>
                <w:p>
                  <w:pPr>
                    <w:pStyle w:val="133"/>
                    <w:adjustRightInd w:val="0"/>
                    <w:snapToGrid w:val="0"/>
                    <w:spacing w:line="240" w:lineRule="exact"/>
                    <w:ind w:firstLine="0" w:firstLineChars="0"/>
                    <w:jc w:val="center"/>
                    <w:rPr>
                      <w:rFonts w:ascii="Times New Roman" w:hAnsi="Times New Roman" w:eastAsia="宋体"/>
                      <w:sz w:val="18"/>
                      <w:szCs w:val="18"/>
                      <w:lang w:bidi="ar"/>
                    </w:rPr>
                  </w:pPr>
                  <w:r>
                    <w:rPr>
                      <w:rFonts w:ascii="Times New Roman" w:hAnsi="Times New Roman" w:eastAsia="宋体"/>
                      <w:kern w:val="2"/>
                      <w:sz w:val="18"/>
                      <w:szCs w:val="18"/>
                    </w:rPr>
                    <w:t>润滑油</w:t>
                  </w:r>
                </w:p>
              </w:tc>
              <w:tc>
                <w:tcPr>
                  <w:tcW w:w="5960" w:type="dxa"/>
                  <w:vAlign w:val="center"/>
                </w:tcPr>
                <w:p>
                  <w:pPr>
                    <w:pStyle w:val="133"/>
                    <w:spacing w:line="240" w:lineRule="exact"/>
                    <w:rPr>
                      <w:rFonts w:ascii="Times New Roman" w:hAnsi="Times New Roman" w:eastAsia="宋体"/>
                      <w:sz w:val="18"/>
                      <w:szCs w:val="18"/>
                    </w:rPr>
                  </w:pPr>
                  <w:r>
                    <w:fldChar w:fldCharType="begin"/>
                  </w:r>
                  <w:r>
                    <w:instrText xml:space="preserve"> HYPERLINK "https://baike.so.com/doc/3870878-4063641.html" \t "https://baike.so.com/doc/_blank" </w:instrText>
                  </w:r>
                  <w:r>
                    <w:fldChar w:fldCharType="separate"/>
                  </w:r>
                  <w:r>
                    <w:rPr>
                      <w:rFonts w:ascii="Times New Roman" w:hAnsi="Times New Roman" w:eastAsia="宋体"/>
                      <w:kern w:val="2"/>
                      <w:sz w:val="18"/>
                      <w:szCs w:val="18"/>
                    </w:rPr>
                    <w:t>空气压缩机油</w:t>
                  </w:r>
                  <w:r>
                    <w:rPr>
                      <w:rFonts w:ascii="Times New Roman" w:hAnsi="Times New Roman" w:eastAsia="宋体"/>
                      <w:kern w:val="2"/>
                      <w:sz w:val="18"/>
                      <w:szCs w:val="18"/>
                    </w:rPr>
                    <w:fldChar w:fldCharType="end"/>
                  </w:r>
                  <w:r>
                    <w:rPr>
                      <w:rFonts w:ascii="Times New Roman" w:hAnsi="Times New Roman" w:eastAsia="宋体"/>
                      <w:kern w:val="2"/>
                      <w:sz w:val="18"/>
                      <w:szCs w:val="18"/>
                    </w:rPr>
                    <w:t>基础油有矿物基础油及合成基础油两大类，其作用就是在两</w:t>
                  </w:r>
                  <w:r>
                    <w:fldChar w:fldCharType="begin"/>
                  </w:r>
                  <w:r>
                    <w:instrText xml:space="preserve"> HYPERLINK "https://baike.so.com/doc/6924160-7146270.html" \t "https://baike.so.com/doc/_blank" </w:instrText>
                  </w:r>
                  <w:r>
                    <w:fldChar w:fldCharType="separate"/>
                  </w:r>
                  <w:r>
                    <w:rPr>
                      <w:rFonts w:ascii="Times New Roman" w:hAnsi="Times New Roman" w:eastAsia="宋体"/>
                      <w:kern w:val="2"/>
                      <w:sz w:val="18"/>
                      <w:szCs w:val="18"/>
                    </w:rPr>
                    <w:t>摩擦副</w:t>
                  </w:r>
                  <w:r>
                    <w:rPr>
                      <w:rFonts w:ascii="Times New Roman" w:hAnsi="Times New Roman" w:eastAsia="宋体"/>
                      <w:kern w:val="2"/>
                      <w:sz w:val="18"/>
                      <w:szCs w:val="18"/>
                    </w:rPr>
                    <w:fldChar w:fldCharType="end"/>
                  </w:r>
                  <w:r>
                    <w:rPr>
                      <w:rFonts w:ascii="Times New Roman" w:hAnsi="Times New Roman" w:eastAsia="宋体"/>
                      <w:kern w:val="2"/>
                      <w:sz w:val="18"/>
                      <w:szCs w:val="18"/>
                    </w:rPr>
                    <w:t>之间形成一种保护膜，避免金属与金属之间直接接触，从而缓冲了摩擦力作用，起到润滑作用，减少磨损，使机械正常运转。这种保护膜可以是</w:t>
                  </w:r>
                  <w:r>
                    <w:fldChar w:fldCharType="begin"/>
                  </w:r>
                  <w:r>
                    <w:instrText xml:space="preserve"> HYPERLINK "https://baike.so.com/doc/5991016-6203983.html" \t "https://baike.so.com/doc/_blank" </w:instrText>
                  </w:r>
                  <w:r>
                    <w:fldChar w:fldCharType="separate"/>
                  </w:r>
                  <w:r>
                    <w:rPr>
                      <w:rFonts w:ascii="Times New Roman" w:hAnsi="Times New Roman" w:eastAsia="宋体"/>
                      <w:kern w:val="2"/>
                      <w:sz w:val="18"/>
                      <w:szCs w:val="18"/>
                    </w:rPr>
                    <w:t>物理吸附</w:t>
                  </w:r>
                  <w:r>
                    <w:rPr>
                      <w:rFonts w:ascii="Times New Roman" w:hAnsi="Times New Roman" w:eastAsia="宋体"/>
                      <w:kern w:val="2"/>
                      <w:sz w:val="18"/>
                      <w:szCs w:val="18"/>
                    </w:rPr>
                    <w:fldChar w:fldCharType="end"/>
                  </w:r>
                  <w:r>
                    <w:rPr>
                      <w:rFonts w:ascii="Times New Roman" w:hAnsi="Times New Roman" w:eastAsia="宋体"/>
                      <w:kern w:val="2"/>
                      <w:sz w:val="18"/>
                      <w:szCs w:val="18"/>
                    </w:rPr>
                    <w:t>膜，或</w:t>
                  </w:r>
                  <w:r>
                    <w:fldChar w:fldCharType="begin"/>
                  </w:r>
                  <w:r>
                    <w:instrText xml:space="preserve"> HYPERLINK "https://baike.so.com/doc/6554330-6768079.html" \t "https://baike.so.com/doc/_blank" </w:instrText>
                  </w:r>
                  <w:r>
                    <w:fldChar w:fldCharType="separate"/>
                  </w:r>
                  <w:r>
                    <w:rPr>
                      <w:rFonts w:ascii="Times New Roman" w:hAnsi="Times New Roman" w:eastAsia="宋体"/>
                      <w:kern w:val="2"/>
                      <w:sz w:val="18"/>
                      <w:szCs w:val="18"/>
                    </w:rPr>
                    <w:t>化学吸附</w:t>
                  </w:r>
                  <w:r>
                    <w:rPr>
                      <w:rFonts w:ascii="Times New Roman" w:hAnsi="Times New Roman" w:eastAsia="宋体"/>
                      <w:kern w:val="2"/>
                      <w:sz w:val="18"/>
                      <w:szCs w:val="18"/>
                    </w:rPr>
                    <w:fldChar w:fldCharType="end"/>
                  </w:r>
                  <w:r>
                    <w:rPr>
                      <w:rFonts w:ascii="Times New Roman" w:hAnsi="Times New Roman" w:eastAsia="宋体"/>
                      <w:kern w:val="2"/>
                      <w:sz w:val="18"/>
                      <w:szCs w:val="18"/>
                    </w:rPr>
                    <w:t>膜或氧化膜，膜的厚度及强度直接影响到润滑作用。</w:t>
                  </w:r>
                </w:p>
              </w:tc>
            </w:tr>
          </w:tbl>
          <w:p>
            <w:pPr>
              <w:pStyle w:val="9"/>
              <w:spacing w:line="480" w:lineRule="exact"/>
              <w:rPr>
                <w:b/>
              </w:rPr>
            </w:pPr>
            <w:r>
              <w:rPr>
                <w:rFonts w:hint="eastAsia"/>
                <w:b/>
              </w:rPr>
              <w:t>2.1.</w:t>
            </w:r>
            <w:r>
              <w:rPr>
                <w:b/>
              </w:rPr>
              <w:t>6</w:t>
            </w:r>
            <w:r>
              <w:rPr>
                <w:rFonts w:hint="eastAsia"/>
                <w:b/>
              </w:rPr>
              <w:t>项目水平衡</w:t>
            </w:r>
          </w:p>
          <w:p>
            <w:pPr>
              <w:pStyle w:val="64"/>
              <w:spacing w:line="500" w:lineRule="exact"/>
              <w:ind w:firstLine="480"/>
              <w:rPr>
                <w:color w:val="auto"/>
              </w:rPr>
            </w:pPr>
            <w:r>
              <w:rPr>
                <w:rFonts w:hint="eastAsia"/>
                <w:color w:val="auto"/>
              </w:rPr>
              <w:t>拟建项目供水系统由市政自来水管网供给。营运期用水主要为地面清洁废水和生活废水（包含餐饮废水）等。拟建项目用水及排水量分析见下表。</w:t>
            </w:r>
          </w:p>
          <w:p>
            <w:pPr>
              <w:adjustRightInd w:val="0"/>
              <w:snapToGrid w:val="0"/>
              <w:spacing w:before="120" w:beforeLines="50" w:line="360" w:lineRule="auto"/>
              <w:ind w:firstLine="360" w:firstLineChars="200"/>
              <w:jc w:val="center"/>
              <w:rPr>
                <w:sz w:val="18"/>
                <w:szCs w:val="18"/>
              </w:rPr>
            </w:pPr>
            <w:r>
              <w:rPr>
                <w:rFonts w:hint="eastAsia"/>
                <w:sz w:val="18"/>
                <w:szCs w:val="18"/>
              </w:rPr>
              <w:t>表2.1-9  拟建项目用水及排水量分析表</w:t>
            </w:r>
          </w:p>
          <w:tbl>
            <w:tblPr>
              <w:tblStyle w:val="21"/>
              <w:tblW w:w="5000" w:type="pct"/>
              <w:tblInd w:w="0" w:type="dxa"/>
              <w:tblLayout w:type="fixed"/>
              <w:tblCellMar>
                <w:top w:w="0" w:type="dxa"/>
                <w:left w:w="28" w:type="dxa"/>
                <w:bottom w:w="0" w:type="dxa"/>
                <w:right w:w="28" w:type="dxa"/>
              </w:tblCellMar>
            </w:tblPr>
            <w:tblGrid>
              <w:gridCol w:w="1273"/>
              <w:gridCol w:w="1135"/>
              <w:gridCol w:w="993"/>
              <w:gridCol w:w="993"/>
              <w:gridCol w:w="993"/>
              <w:gridCol w:w="994"/>
              <w:gridCol w:w="851"/>
              <w:gridCol w:w="712"/>
            </w:tblGrid>
            <w:tr>
              <w:tblPrEx>
                <w:tblCellMar>
                  <w:top w:w="0" w:type="dxa"/>
                  <w:left w:w="28" w:type="dxa"/>
                  <w:bottom w:w="0" w:type="dxa"/>
                  <w:right w:w="28" w:type="dxa"/>
                </w:tblCellMar>
              </w:tblPrEx>
              <w:trPr>
                <w:trHeight w:val="270"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baseline"/>
                    <w:rPr>
                      <w:sz w:val="18"/>
                      <w:szCs w:val="18"/>
                    </w:rPr>
                  </w:pPr>
                  <w:r>
                    <w:rPr>
                      <w:rFonts w:hint="eastAsia"/>
                      <w:sz w:val="18"/>
                      <w:szCs w:val="18"/>
                    </w:rPr>
                    <w:t>用水类型</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用水规模</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用水标准</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日用水量（m</w:t>
                  </w:r>
                  <w:r>
                    <w:rPr>
                      <w:rFonts w:hint="eastAsia"/>
                      <w:sz w:val="18"/>
                      <w:szCs w:val="18"/>
                      <w:vertAlign w:val="superscript"/>
                    </w:rPr>
                    <w:t>3</w:t>
                  </w:r>
                  <w:r>
                    <w:rPr>
                      <w:rFonts w:hint="eastAsia"/>
                      <w:sz w:val="18"/>
                      <w:szCs w:val="18"/>
                    </w:rPr>
                    <w:t>/d）</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年用水量（m</w:t>
                  </w:r>
                  <w:r>
                    <w:rPr>
                      <w:rFonts w:hint="eastAsia"/>
                      <w:sz w:val="18"/>
                      <w:szCs w:val="18"/>
                      <w:vertAlign w:val="superscript"/>
                    </w:rPr>
                    <w:t>3</w:t>
                  </w:r>
                  <w:r>
                    <w:rPr>
                      <w:rFonts w:hint="eastAsia"/>
                      <w:sz w:val="18"/>
                      <w:szCs w:val="18"/>
                    </w:rPr>
                    <w:t>/a）</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日排放量（m</w:t>
                  </w:r>
                  <w:r>
                    <w:rPr>
                      <w:rFonts w:hint="eastAsia"/>
                      <w:sz w:val="18"/>
                      <w:szCs w:val="18"/>
                      <w:vertAlign w:val="superscript"/>
                    </w:rPr>
                    <w:t>3</w:t>
                  </w:r>
                  <w:r>
                    <w:rPr>
                      <w:rFonts w:hint="eastAsia"/>
                      <w:sz w:val="18"/>
                      <w:szCs w:val="18"/>
                    </w:rPr>
                    <w:t>/d）</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年排放量（m</w:t>
                  </w:r>
                  <w:r>
                    <w:rPr>
                      <w:rFonts w:hint="eastAsia"/>
                      <w:sz w:val="18"/>
                      <w:szCs w:val="18"/>
                      <w:vertAlign w:val="superscript"/>
                    </w:rPr>
                    <w:t>3</w:t>
                  </w:r>
                  <w:r>
                    <w:rPr>
                      <w:rFonts w:hint="eastAsia"/>
                      <w:sz w:val="18"/>
                      <w:szCs w:val="18"/>
                    </w:rPr>
                    <w:t>/a）</w:t>
                  </w:r>
                </w:p>
              </w:tc>
              <w:tc>
                <w:tcPr>
                  <w:tcW w:w="7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备注</w:t>
                  </w:r>
                </w:p>
              </w:tc>
            </w:tr>
            <w:tr>
              <w:tblPrEx>
                <w:tblCellMar>
                  <w:top w:w="0" w:type="dxa"/>
                  <w:left w:w="28" w:type="dxa"/>
                  <w:bottom w:w="0" w:type="dxa"/>
                  <w:right w:w="28" w:type="dxa"/>
                </w:tblCellMar>
              </w:tblPrEx>
              <w:trPr>
                <w:trHeight w:val="35"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baseline"/>
                    <w:rPr>
                      <w:sz w:val="18"/>
                      <w:szCs w:val="18"/>
                    </w:rPr>
                  </w:pPr>
                  <w:r>
                    <w:rPr>
                      <w:rFonts w:hint="eastAsia"/>
                      <w:sz w:val="18"/>
                      <w:szCs w:val="18"/>
                    </w:rPr>
                    <w:t>地面清洁</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2687.5</w:t>
                  </w:r>
                  <w:r>
                    <w:rPr>
                      <w:rFonts w:hint="eastAsia"/>
                      <w:kern w:val="0"/>
                      <w:sz w:val="18"/>
                      <w:szCs w:val="18"/>
                    </w:rPr>
                    <w:t>m</w:t>
                  </w:r>
                  <w:r>
                    <w:rPr>
                      <w:rFonts w:hint="eastAsia"/>
                      <w:kern w:val="0"/>
                      <w:sz w:val="18"/>
                      <w:szCs w:val="18"/>
                      <w:vertAlign w:val="superscript"/>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kern w:val="0"/>
                      <w:sz w:val="18"/>
                      <w:szCs w:val="18"/>
                    </w:rPr>
                    <w:t>2L/m</w:t>
                  </w:r>
                  <w:r>
                    <w:rPr>
                      <w:kern w:val="0"/>
                      <w:sz w:val="18"/>
                      <w:szCs w:val="18"/>
                      <w:vertAlign w:val="superscript"/>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5.38</w:t>
                  </w:r>
                  <w:r>
                    <w:rPr>
                      <w:rFonts w:hint="eastAsia"/>
                      <w:kern w:val="0"/>
                      <w:sz w:val="18"/>
                      <w:szCs w:val="18"/>
                    </w:rPr>
                    <w:t>m</w:t>
                  </w:r>
                  <w:r>
                    <w:rPr>
                      <w:rFonts w:hint="eastAsia"/>
                      <w:kern w:val="0"/>
                      <w:sz w:val="18"/>
                      <w:szCs w:val="18"/>
                      <w:vertAlign w:val="superscript"/>
                    </w:rPr>
                    <w:t>3</w:t>
                  </w:r>
                  <w:r>
                    <w:rPr>
                      <w:rFonts w:hint="eastAsia"/>
                      <w:kern w:val="0"/>
                      <w:sz w:val="18"/>
                      <w:szCs w:val="18"/>
                    </w:rPr>
                    <w:t>/次</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355.08</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4.84</w:t>
                  </w:r>
                  <w:r>
                    <w:rPr>
                      <w:rFonts w:hint="eastAsia"/>
                      <w:kern w:val="0"/>
                      <w:sz w:val="18"/>
                      <w:szCs w:val="18"/>
                    </w:rPr>
                    <w:t>m</w:t>
                  </w:r>
                  <w:r>
                    <w:rPr>
                      <w:rFonts w:hint="eastAsia"/>
                      <w:kern w:val="0"/>
                      <w:sz w:val="18"/>
                      <w:szCs w:val="18"/>
                      <w:vertAlign w:val="superscript"/>
                    </w:rPr>
                    <w:t>3</w:t>
                  </w:r>
                  <w:r>
                    <w:rPr>
                      <w:rFonts w:hint="eastAsia"/>
                      <w:kern w:val="0"/>
                      <w:sz w:val="18"/>
                      <w:szCs w:val="18"/>
                    </w:rPr>
                    <w:t>/次</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319.44</w:t>
                  </w:r>
                </w:p>
              </w:tc>
              <w:tc>
                <w:tcPr>
                  <w:tcW w:w="711" w:type="dxa"/>
                  <w:vMerge w:val="restart"/>
                  <w:tcBorders>
                    <w:top w:val="single" w:color="000000" w:sz="4" w:space="0"/>
                    <w:left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进入污水处理站</w:t>
                  </w:r>
                </w:p>
              </w:tc>
            </w:tr>
            <w:tr>
              <w:tblPrEx>
                <w:tblCellMar>
                  <w:top w:w="0" w:type="dxa"/>
                  <w:left w:w="28" w:type="dxa"/>
                  <w:bottom w:w="0" w:type="dxa"/>
                  <w:right w:w="28" w:type="dxa"/>
                </w:tblCellMar>
              </w:tblPrEx>
              <w:trPr>
                <w:trHeight w:val="270"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baseline"/>
                    <w:rPr>
                      <w:sz w:val="18"/>
                      <w:szCs w:val="18"/>
                    </w:rPr>
                  </w:pPr>
                  <w:r>
                    <w:rPr>
                      <w:rFonts w:hint="eastAsia"/>
                      <w:kern w:val="0"/>
                      <w:sz w:val="18"/>
                      <w:szCs w:val="18"/>
                    </w:rPr>
                    <w:t>生活污水（含食堂废水）</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100</w:t>
                  </w:r>
                  <w:r>
                    <w:rPr>
                      <w:rFonts w:hint="eastAsia"/>
                      <w:kern w:val="0"/>
                      <w:sz w:val="18"/>
                      <w:szCs w:val="18"/>
                    </w:rPr>
                    <w:t>人</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kern w:val="0"/>
                      <w:sz w:val="18"/>
                      <w:szCs w:val="18"/>
                    </w:rPr>
                    <w:t>100L/人·d</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10</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330</w:t>
                  </w:r>
                  <w:r>
                    <w:rPr>
                      <w:rFonts w:hint="eastAsia"/>
                      <w:kern w:val="0"/>
                      <w:sz w:val="18"/>
                      <w:szCs w:val="18"/>
                    </w:rPr>
                    <w:t>0</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9</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kern w:val="0"/>
                      <w:sz w:val="18"/>
                      <w:szCs w:val="18"/>
                    </w:rPr>
                    <w:t>297</w:t>
                  </w:r>
                  <w:r>
                    <w:rPr>
                      <w:rFonts w:hint="eastAsia"/>
                      <w:kern w:val="0"/>
                      <w:sz w:val="18"/>
                      <w:szCs w:val="18"/>
                    </w:rPr>
                    <w:t>0</w:t>
                  </w:r>
                </w:p>
              </w:tc>
              <w:tc>
                <w:tcPr>
                  <w:tcW w:w="711" w:type="dxa"/>
                  <w:vMerge w:val="continue"/>
                  <w:tcBorders>
                    <w:left w:val="single" w:color="000000" w:sz="4" w:space="0"/>
                    <w:right w:val="single" w:color="000000" w:sz="4" w:space="0"/>
                  </w:tcBorders>
                  <w:vAlign w:val="center"/>
                </w:tcPr>
                <w:p>
                  <w:pPr>
                    <w:adjustRightInd w:val="0"/>
                    <w:snapToGrid w:val="0"/>
                    <w:jc w:val="center"/>
                    <w:textAlignment w:val="baseline"/>
                    <w:rPr>
                      <w:sz w:val="18"/>
                      <w:szCs w:val="18"/>
                    </w:rPr>
                  </w:pPr>
                </w:p>
              </w:tc>
            </w:tr>
            <w:tr>
              <w:tblPrEx>
                <w:tblCellMar>
                  <w:top w:w="0" w:type="dxa"/>
                  <w:left w:w="28" w:type="dxa"/>
                  <w:bottom w:w="0" w:type="dxa"/>
                  <w:right w:w="28" w:type="dxa"/>
                </w:tblCellMar>
              </w:tblPrEx>
              <w:trPr>
                <w:trHeight w:val="270" w:hRule="atLeast"/>
              </w:trPr>
              <w:tc>
                <w:tcPr>
                  <w:tcW w:w="1271" w:type="dxa"/>
                  <w:tcBorders>
                    <w:top w:val="single" w:color="000000" w:sz="4" w:space="0"/>
                    <w:left w:val="single" w:color="000000" w:sz="4" w:space="0"/>
                    <w:bottom w:val="single" w:color="000000" w:sz="4" w:space="0"/>
                    <w:right w:val="single" w:color="000000" w:sz="4" w:space="0"/>
                  </w:tcBorders>
                  <w:noWrap/>
                  <w:vAlign w:val="center"/>
                </w:tcPr>
                <w:p>
                  <w:pPr>
                    <w:adjustRightInd w:val="0"/>
                    <w:snapToGrid w:val="0"/>
                    <w:jc w:val="center"/>
                    <w:textAlignment w:val="baseline"/>
                    <w:rPr>
                      <w:sz w:val="18"/>
                      <w:szCs w:val="18"/>
                    </w:rPr>
                  </w:pPr>
                  <w:r>
                    <w:rPr>
                      <w:rFonts w:hint="eastAsia"/>
                      <w:sz w:val="18"/>
                      <w:szCs w:val="18"/>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rFonts w:hint="eastAsia"/>
                      <w:sz w:val="18"/>
                      <w:szCs w:val="18"/>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sz w:val="18"/>
                      <w:szCs w:val="18"/>
                    </w:rPr>
                    <w:t>15.38</w:t>
                  </w:r>
                  <w:r>
                    <w:rPr>
                      <w:rFonts w:hint="eastAsia"/>
                      <w:kern w:val="0"/>
                      <w:sz w:val="18"/>
                      <w:szCs w:val="18"/>
                    </w:rPr>
                    <w:t xml:space="preserve"> m</w:t>
                  </w:r>
                  <w:r>
                    <w:rPr>
                      <w:rFonts w:hint="eastAsia"/>
                      <w:kern w:val="0"/>
                      <w:sz w:val="18"/>
                      <w:szCs w:val="18"/>
                      <w:vertAlign w:val="superscript"/>
                    </w:rPr>
                    <w:t>3</w:t>
                  </w:r>
                  <w:r>
                    <w:rPr>
                      <w:rFonts w:hint="eastAsia"/>
                      <w:kern w:val="0"/>
                      <w:sz w:val="18"/>
                      <w:szCs w:val="18"/>
                    </w:rPr>
                    <w:t>/次</w:t>
                  </w:r>
                </w:p>
              </w:tc>
              <w:tc>
                <w:tcPr>
                  <w:tcW w:w="9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sz w:val="18"/>
                      <w:szCs w:val="18"/>
                    </w:rPr>
                    <w:t>3655.08</w:t>
                  </w:r>
                </w:p>
              </w:tc>
              <w:tc>
                <w:tcPr>
                  <w:tcW w:w="99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sz w:val="18"/>
                      <w:szCs w:val="18"/>
                    </w:rPr>
                    <w:t>13.84</w:t>
                  </w:r>
                  <w:r>
                    <w:rPr>
                      <w:rFonts w:hint="eastAsia"/>
                      <w:kern w:val="0"/>
                      <w:sz w:val="18"/>
                      <w:szCs w:val="18"/>
                    </w:rPr>
                    <w:t xml:space="preserve"> m</w:t>
                  </w:r>
                  <w:r>
                    <w:rPr>
                      <w:rFonts w:hint="eastAsia"/>
                      <w:kern w:val="0"/>
                      <w:sz w:val="18"/>
                      <w:szCs w:val="18"/>
                      <w:vertAlign w:val="superscript"/>
                    </w:rPr>
                    <w:t>3</w:t>
                  </w:r>
                  <w:r>
                    <w:rPr>
                      <w:rFonts w:hint="eastAsia"/>
                      <w:kern w:val="0"/>
                      <w:sz w:val="18"/>
                      <w:szCs w:val="18"/>
                    </w:rPr>
                    <w:t>/次</w:t>
                  </w:r>
                </w:p>
              </w:tc>
              <w:tc>
                <w:tcPr>
                  <w:tcW w:w="8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r>
                    <w:rPr>
                      <w:sz w:val="18"/>
                      <w:szCs w:val="18"/>
                    </w:rPr>
                    <w:t>3289.44</w:t>
                  </w:r>
                </w:p>
              </w:tc>
              <w:tc>
                <w:tcPr>
                  <w:tcW w:w="711" w:type="dxa"/>
                  <w:vMerge w:val="continue"/>
                  <w:tcBorders>
                    <w:left w:val="single" w:color="000000" w:sz="4" w:space="0"/>
                    <w:bottom w:val="single" w:color="000000" w:sz="4" w:space="0"/>
                    <w:right w:val="single" w:color="000000" w:sz="4" w:space="0"/>
                  </w:tcBorders>
                  <w:vAlign w:val="center"/>
                </w:tcPr>
                <w:p>
                  <w:pPr>
                    <w:adjustRightInd w:val="0"/>
                    <w:snapToGrid w:val="0"/>
                    <w:jc w:val="center"/>
                    <w:textAlignment w:val="baseline"/>
                    <w:rPr>
                      <w:sz w:val="18"/>
                      <w:szCs w:val="18"/>
                    </w:rPr>
                  </w:pPr>
                </w:p>
              </w:tc>
            </w:tr>
          </w:tbl>
          <w:p>
            <w:pPr>
              <w:autoSpaceDE w:val="0"/>
              <w:autoSpaceDN w:val="0"/>
              <w:adjustRightInd w:val="0"/>
              <w:snapToGrid w:val="0"/>
              <w:jc w:val="center"/>
            </w:pPr>
            <w:r>
              <w:object>
                <v:shape id="_x0000_i1025" o:spt="75" type="#_x0000_t75" style="height:73.05pt;width:339.6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snapToGrid w:val="0"/>
              <w:spacing w:line="360" w:lineRule="auto"/>
              <w:jc w:val="center"/>
              <w:rPr>
                <w:szCs w:val="21"/>
              </w:rPr>
            </w:pPr>
            <w:r>
              <w:rPr>
                <w:szCs w:val="21"/>
              </w:rPr>
              <w:t>图</w:t>
            </w:r>
            <w:r>
              <w:rPr>
                <w:rFonts w:hint="eastAsia"/>
                <w:szCs w:val="21"/>
              </w:rPr>
              <w:t>2.1.9</w:t>
            </w:r>
            <w:r>
              <w:rPr>
                <w:szCs w:val="21"/>
              </w:rPr>
              <w:t>-</w:t>
            </w:r>
            <w:r>
              <w:rPr>
                <w:rFonts w:hint="eastAsia"/>
                <w:szCs w:val="21"/>
              </w:rPr>
              <w:t xml:space="preserve">1 </w:t>
            </w:r>
            <w:r>
              <w:rPr>
                <w:szCs w:val="21"/>
              </w:rPr>
              <w:t>拟建项目水平衡图</w:t>
            </w:r>
            <w:r>
              <w:rPr>
                <w:rFonts w:hint="eastAsia"/>
                <w:szCs w:val="21"/>
              </w:rPr>
              <w:t xml:space="preserve">  </w:t>
            </w:r>
            <w:r>
              <w:rPr>
                <w:szCs w:val="21"/>
              </w:rPr>
              <w:t>单位：m</w:t>
            </w:r>
            <w:r>
              <w:rPr>
                <w:szCs w:val="21"/>
                <w:vertAlign w:val="superscript"/>
              </w:rPr>
              <w:t>3</w:t>
            </w:r>
            <w:r>
              <w:rPr>
                <w:szCs w:val="21"/>
              </w:rPr>
              <w:t>/d</w:t>
            </w:r>
            <w:r>
              <w:rPr>
                <w:rFonts w:hint="eastAsia"/>
                <w:szCs w:val="21"/>
              </w:rPr>
              <w:t>（以上数据按日最大排水量核算）</w:t>
            </w:r>
          </w:p>
          <w:p>
            <w:pPr>
              <w:pStyle w:val="9"/>
              <w:spacing w:line="480" w:lineRule="exact"/>
              <w:rPr>
                <w:szCs w:val="24"/>
              </w:rPr>
            </w:pPr>
            <w:r>
              <w:rPr>
                <w:rFonts w:hint="eastAsia"/>
                <w:b/>
              </w:rPr>
              <w:t>2.1.</w:t>
            </w:r>
            <w:r>
              <w:rPr>
                <w:b/>
              </w:rPr>
              <w:t>7</w:t>
            </w:r>
            <w:r>
              <w:rPr>
                <w:rFonts w:hint="eastAsia"/>
                <w:b/>
              </w:rPr>
              <w:t>劳动定员及工作制度</w:t>
            </w:r>
          </w:p>
          <w:p>
            <w:pPr>
              <w:spacing w:line="440" w:lineRule="exact"/>
              <w:ind w:firstLine="480" w:firstLineChars="200"/>
              <w:rPr>
                <w:sz w:val="24"/>
              </w:rPr>
            </w:pPr>
            <w:r>
              <w:rPr>
                <w:sz w:val="24"/>
              </w:rPr>
              <w:t>劳动定员：</w:t>
            </w:r>
            <w:r>
              <w:rPr>
                <w:rFonts w:hint="eastAsia"/>
                <w:sz w:val="24"/>
              </w:rPr>
              <w:t>100人</w:t>
            </w:r>
          </w:p>
          <w:p>
            <w:pPr>
              <w:pStyle w:val="2"/>
              <w:spacing w:before="0" w:after="0" w:line="480" w:lineRule="exact"/>
              <w:ind w:left="0" w:firstLine="491" w:firstLineChars="205"/>
              <w:rPr>
                <w:rFonts w:eastAsia="宋体"/>
                <w:b w:val="0"/>
                <w:bCs w:val="0"/>
                <w:color w:val="auto"/>
                <w:kern w:val="2"/>
                <w:sz w:val="24"/>
                <w:szCs w:val="24"/>
              </w:rPr>
            </w:pPr>
            <w:r>
              <w:rPr>
                <w:rFonts w:eastAsia="宋体"/>
                <w:b w:val="0"/>
                <w:bCs w:val="0"/>
                <w:color w:val="auto"/>
                <w:kern w:val="2"/>
                <w:sz w:val="24"/>
                <w:szCs w:val="24"/>
              </w:rPr>
              <w:t>生产制度：</w:t>
            </w:r>
            <w:r>
              <w:rPr>
                <w:rFonts w:hint="eastAsia" w:eastAsia="宋体"/>
                <w:b w:val="0"/>
                <w:bCs w:val="0"/>
                <w:color w:val="auto"/>
                <w:kern w:val="2"/>
                <w:sz w:val="24"/>
                <w:szCs w:val="24"/>
              </w:rPr>
              <w:t>白班制，8小时/班，全年工作3</w:t>
            </w:r>
            <w:r>
              <w:rPr>
                <w:rFonts w:eastAsia="宋体"/>
                <w:b w:val="0"/>
                <w:bCs w:val="0"/>
                <w:color w:val="auto"/>
                <w:kern w:val="2"/>
                <w:sz w:val="24"/>
                <w:szCs w:val="24"/>
              </w:rPr>
              <w:t>3</w:t>
            </w:r>
            <w:r>
              <w:rPr>
                <w:rFonts w:hint="eastAsia" w:eastAsia="宋体"/>
                <w:b w:val="0"/>
                <w:bCs w:val="0"/>
                <w:color w:val="auto"/>
                <w:kern w:val="2"/>
                <w:sz w:val="24"/>
                <w:szCs w:val="24"/>
              </w:rPr>
              <w:t>0天</w:t>
            </w:r>
          </w:p>
          <w:p>
            <w:pPr>
              <w:pStyle w:val="2"/>
              <w:spacing w:before="0" w:after="0" w:line="480" w:lineRule="exact"/>
              <w:ind w:left="494" w:hanging="494" w:hangingChars="205"/>
              <w:rPr>
                <w:color w:val="auto"/>
                <w:sz w:val="24"/>
                <w:szCs w:val="24"/>
              </w:rPr>
            </w:pPr>
            <w:r>
              <w:rPr>
                <w:color w:val="auto"/>
                <w:sz w:val="24"/>
                <w:szCs w:val="24"/>
              </w:rPr>
              <w:t>2.</w:t>
            </w:r>
            <w:r>
              <w:rPr>
                <w:rFonts w:hint="eastAsia"/>
                <w:color w:val="auto"/>
                <w:sz w:val="24"/>
                <w:szCs w:val="24"/>
              </w:rPr>
              <w:t>1.</w:t>
            </w:r>
            <w:r>
              <w:rPr>
                <w:color w:val="auto"/>
                <w:sz w:val="24"/>
                <w:szCs w:val="24"/>
              </w:rPr>
              <w:t>8</w:t>
            </w:r>
            <w:r>
              <w:rPr>
                <w:rFonts w:eastAsia="宋体"/>
                <w:bCs w:val="0"/>
                <w:color w:val="auto"/>
                <w:kern w:val="0"/>
                <w:sz w:val="24"/>
                <w:szCs w:val="20"/>
              </w:rPr>
              <w:t>总平面布置</w:t>
            </w:r>
          </w:p>
          <w:p>
            <w:pPr>
              <w:spacing w:line="480" w:lineRule="exact"/>
              <w:ind w:firstLine="480" w:firstLineChars="200"/>
              <w:rPr>
                <w:sz w:val="24"/>
              </w:rPr>
            </w:pPr>
            <w:r>
              <w:rPr>
                <w:rFonts w:hint="eastAsia"/>
                <w:sz w:val="24"/>
              </w:rPr>
              <w:t>拟建项目于重庆市大足区邮亭镇工业园区A7-01/01地块厂区进行建设，项目占地面积为20</w:t>
            </w:r>
            <w:r>
              <w:rPr>
                <w:sz w:val="24"/>
              </w:rPr>
              <w:t>000m</w:t>
            </w:r>
            <w:r>
              <w:rPr>
                <w:sz w:val="24"/>
                <w:vertAlign w:val="superscript"/>
              </w:rPr>
              <w:t>2</w:t>
            </w:r>
            <w:r>
              <w:rPr>
                <w:rFonts w:hint="eastAsia"/>
                <w:sz w:val="24"/>
              </w:rPr>
              <w:t>，</w:t>
            </w:r>
            <w:r>
              <w:rPr>
                <w:sz w:val="24"/>
              </w:rPr>
              <w:t>建筑面积</w:t>
            </w:r>
            <w:r>
              <w:rPr>
                <w:rFonts w:hint="eastAsia"/>
                <w:sz w:val="24"/>
              </w:rPr>
              <w:t>为12000</w:t>
            </w:r>
            <w:r>
              <w:rPr>
                <w:sz w:val="24"/>
              </w:rPr>
              <w:t>m</w:t>
            </w:r>
            <w:r>
              <w:rPr>
                <w:sz w:val="24"/>
                <w:vertAlign w:val="superscript"/>
              </w:rPr>
              <w:t>2</w:t>
            </w:r>
            <w:r>
              <w:rPr>
                <w:rFonts w:hint="eastAsia"/>
                <w:sz w:val="24"/>
              </w:rPr>
              <w:t>。拟建项目从东南侧主出入口进入至西侧主要建设值班室、办公楼，自办公楼由南至上分别布置拆解车间、大车停放区、中小车停放区、破碎车间、一般固废暂存间、危废暂存间等。拟建项目场地呈规则矩形；生产区较集中布置，同时布置考虑生产工艺流程和物料走向，有利于生产流程顺畅，形成产业链；大车停放区、中小车停放区紧靠拆解车间布置，有利于物料的输送；污水处理站位于厂区东南侧地势较低的位置，有利于废水自流；危险废物暂存间和一般工业固废暂存间单独建设，位于厂区北侧，方便转运；噪声源尽量靠远离厂界布置，以确保厂界噪声达标。因此，评价认为项目总平面布置较合理。</w:t>
            </w:r>
          </w:p>
          <w:p>
            <w:pPr>
              <w:spacing w:line="480" w:lineRule="exact"/>
              <w:ind w:firstLine="480" w:firstLineChars="200"/>
              <w:rPr>
                <w:sz w:val="24"/>
              </w:rPr>
            </w:pPr>
            <w:r>
              <w:rPr>
                <w:rFonts w:hint="eastAsia"/>
                <w:sz w:val="24"/>
              </w:rPr>
              <w:t>项目厂区平面布置情况详见附图2。</w:t>
            </w:r>
          </w:p>
          <w:p>
            <w:pPr>
              <w:adjustRightInd w:val="0"/>
              <w:snapToGrid w:val="0"/>
              <w:spacing w:line="480" w:lineRule="exact"/>
              <w:jc w:val="left"/>
              <w:rPr>
                <w:b/>
                <w:sz w:val="24"/>
              </w:rPr>
            </w:pPr>
            <w:r>
              <w:rPr>
                <w:b/>
                <w:sz w:val="24"/>
              </w:rPr>
              <w:t>2.1.9物料平衡</w:t>
            </w:r>
          </w:p>
          <w:p>
            <w:pPr>
              <w:adjustRightInd w:val="0"/>
              <w:spacing w:line="480" w:lineRule="exact"/>
              <w:ind w:firstLine="480" w:firstLineChars="200"/>
              <w:rPr>
                <w:kern w:val="0"/>
                <w:sz w:val="24"/>
              </w:rPr>
            </w:pPr>
            <w:r>
              <w:rPr>
                <w:kern w:val="0"/>
                <w:sz w:val="24"/>
              </w:rPr>
              <w:t>本次评价根据《报废汽车绿色拆解与零部件再制造》（贝绍轶主编2016年第1版）并类比</w:t>
            </w:r>
            <w:r>
              <w:rPr>
                <w:rFonts w:hint="eastAsia"/>
                <w:kern w:val="0"/>
                <w:sz w:val="24"/>
              </w:rPr>
              <w:t>建设单位提供的</w:t>
            </w:r>
            <w:r>
              <w:rPr>
                <w:kern w:val="0"/>
                <w:sz w:val="24"/>
              </w:rPr>
              <w:t>报废汽车的拆解数据，核算汽车拆解工序物料平衡。</w:t>
            </w:r>
          </w:p>
          <w:p>
            <w:pPr>
              <w:adjustRightInd w:val="0"/>
              <w:spacing w:line="480" w:lineRule="exact"/>
              <w:ind w:firstLine="480" w:firstLineChars="200"/>
              <w:rPr>
                <w:kern w:val="0"/>
                <w:sz w:val="24"/>
              </w:rPr>
            </w:pPr>
            <w:r>
              <w:rPr>
                <w:kern w:val="0"/>
                <w:sz w:val="24"/>
              </w:rPr>
              <w:t>（1）单辆报废汽车拆解数据分析</w:t>
            </w:r>
          </w:p>
          <w:p>
            <w:pPr>
              <w:adjustRightInd w:val="0"/>
              <w:spacing w:line="480" w:lineRule="exact"/>
              <w:ind w:firstLine="480" w:firstLineChars="200"/>
              <w:rPr>
                <w:kern w:val="0"/>
                <w:sz w:val="24"/>
              </w:rPr>
            </w:pPr>
            <w:r>
              <w:rPr>
                <w:rFonts w:hint="eastAsia"/>
                <w:kern w:val="0"/>
                <w:sz w:val="24"/>
              </w:rPr>
              <w:t>电动汽车</w:t>
            </w:r>
            <w:r>
              <w:rPr>
                <w:kern w:val="0"/>
                <w:sz w:val="24"/>
              </w:rPr>
              <w:t>重量均以1.8t/辆计</w:t>
            </w:r>
            <w:r>
              <w:rPr>
                <w:rFonts w:hint="eastAsia"/>
                <w:kern w:val="0"/>
                <w:sz w:val="24"/>
              </w:rPr>
              <w:t>；传统燃料的</w:t>
            </w:r>
            <w:r>
              <w:rPr>
                <w:kern w:val="0"/>
                <w:sz w:val="24"/>
              </w:rPr>
              <w:t>小型车的重量均以1.5t/辆计、中型车（主要为轻型卡车）的重量均以3t/辆计、大型车（主要为重型货车）的重量均以5t/辆计。</w:t>
            </w:r>
            <w:r>
              <w:rPr>
                <w:sz w:val="24"/>
              </w:rPr>
              <w:t>各类型机动车拆解后得到的各物料名称及重量见表2.1.9</w:t>
            </w:r>
            <w:r>
              <w:rPr>
                <w:rFonts w:hint="eastAsia"/>
                <w:sz w:val="24"/>
              </w:rPr>
              <w:t>-</w:t>
            </w:r>
            <w:r>
              <w:rPr>
                <w:sz w:val="24"/>
              </w:rPr>
              <w:t>1。</w:t>
            </w:r>
          </w:p>
          <w:p>
            <w:pPr>
              <w:spacing w:line="460" w:lineRule="exact"/>
              <w:ind w:firstLine="360" w:firstLineChars="200"/>
              <w:jc w:val="center"/>
              <w:rPr>
                <w:sz w:val="18"/>
                <w:szCs w:val="18"/>
              </w:rPr>
            </w:pPr>
            <w:r>
              <w:rPr>
                <w:sz w:val="18"/>
                <w:szCs w:val="18"/>
              </w:rPr>
              <w:t>表2.1.9</w:t>
            </w:r>
            <w:r>
              <w:rPr>
                <w:rFonts w:hint="eastAsia"/>
                <w:sz w:val="18"/>
                <w:szCs w:val="18"/>
              </w:rPr>
              <w:t>-</w:t>
            </w:r>
            <w:r>
              <w:rPr>
                <w:sz w:val="18"/>
                <w:szCs w:val="18"/>
              </w:rPr>
              <w:t>1 单辆报废汽车拆解数据一览表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441"/>
              <w:gridCol w:w="1134"/>
              <w:gridCol w:w="1249"/>
              <w:gridCol w:w="1248"/>
              <w:gridCol w:w="1110"/>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01" w:type="dxa"/>
                  <w:vMerge w:val="restart"/>
                  <w:vAlign w:val="center"/>
                </w:tcPr>
                <w:p>
                  <w:pPr>
                    <w:autoSpaceDE w:val="0"/>
                    <w:autoSpaceDN w:val="0"/>
                    <w:adjustRightInd w:val="0"/>
                    <w:jc w:val="center"/>
                    <w:rPr>
                      <w:kern w:val="0"/>
                      <w:sz w:val="18"/>
                      <w:szCs w:val="18"/>
                    </w:rPr>
                  </w:pPr>
                  <w:r>
                    <w:rPr>
                      <w:kern w:val="0"/>
                      <w:sz w:val="18"/>
                      <w:szCs w:val="18"/>
                    </w:rPr>
                    <w:t>序号</w:t>
                  </w:r>
                </w:p>
              </w:tc>
              <w:tc>
                <w:tcPr>
                  <w:tcW w:w="1474" w:type="dxa"/>
                  <w:vMerge w:val="restart"/>
                  <w:vAlign w:val="center"/>
                </w:tcPr>
                <w:p>
                  <w:pPr>
                    <w:autoSpaceDE w:val="0"/>
                    <w:autoSpaceDN w:val="0"/>
                    <w:adjustRightInd w:val="0"/>
                    <w:jc w:val="center"/>
                    <w:rPr>
                      <w:kern w:val="0"/>
                      <w:sz w:val="18"/>
                      <w:szCs w:val="18"/>
                    </w:rPr>
                  </w:pPr>
                  <w:r>
                    <w:rPr>
                      <w:kern w:val="0"/>
                      <w:sz w:val="18"/>
                      <w:szCs w:val="18"/>
                    </w:rPr>
                    <w:t>名称</w:t>
                  </w:r>
                </w:p>
              </w:tc>
              <w:tc>
                <w:tcPr>
                  <w:tcW w:w="1158" w:type="dxa"/>
                  <w:vMerge w:val="restart"/>
                  <w:vAlign w:val="center"/>
                </w:tcPr>
                <w:p>
                  <w:pPr>
                    <w:autoSpaceDE w:val="0"/>
                    <w:autoSpaceDN w:val="0"/>
                    <w:adjustRightInd w:val="0"/>
                    <w:jc w:val="center"/>
                    <w:rPr>
                      <w:sz w:val="18"/>
                      <w:szCs w:val="18"/>
                    </w:rPr>
                  </w:pPr>
                  <w:r>
                    <w:rPr>
                      <w:rFonts w:hint="eastAsia"/>
                      <w:sz w:val="18"/>
                      <w:szCs w:val="18"/>
                    </w:rPr>
                    <w:t>电动汽车</w:t>
                  </w:r>
                </w:p>
                <w:p>
                  <w:pPr>
                    <w:pStyle w:val="128"/>
                    <w:spacing w:line="240" w:lineRule="auto"/>
                    <w:ind w:firstLine="0" w:firstLineChars="0"/>
                    <w:rPr>
                      <w:sz w:val="18"/>
                      <w:szCs w:val="18"/>
                    </w:rPr>
                  </w:pPr>
                  <w:r>
                    <w:rPr>
                      <w:rFonts w:hint="eastAsia"/>
                      <w:sz w:val="18"/>
                      <w:szCs w:val="18"/>
                    </w:rPr>
                    <w:t>（1.</w:t>
                  </w:r>
                  <w:r>
                    <w:rPr>
                      <w:sz w:val="18"/>
                      <w:szCs w:val="18"/>
                    </w:rPr>
                    <w:t>8</w:t>
                  </w:r>
                  <w:r>
                    <w:rPr>
                      <w:rFonts w:hint="eastAsia"/>
                      <w:sz w:val="18"/>
                      <w:szCs w:val="18"/>
                    </w:rPr>
                    <w:t>t/辆）</w:t>
                  </w:r>
                </w:p>
              </w:tc>
              <w:tc>
                <w:tcPr>
                  <w:tcW w:w="3685" w:type="dxa"/>
                  <w:gridSpan w:val="3"/>
                  <w:vAlign w:val="center"/>
                </w:tcPr>
                <w:p>
                  <w:pPr>
                    <w:autoSpaceDE w:val="0"/>
                    <w:autoSpaceDN w:val="0"/>
                    <w:adjustRightInd w:val="0"/>
                    <w:jc w:val="center"/>
                    <w:rPr>
                      <w:kern w:val="0"/>
                      <w:sz w:val="18"/>
                      <w:szCs w:val="18"/>
                    </w:rPr>
                  </w:pPr>
                  <w:r>
                    <w:rPr>
                      <w:rFonts w:hint="eastAsia"/>
                      <w:sz w:val="18"/>
                      <w:szCs w:val="18"/>
                    </w:rPr>
                    <w:t>传统燃料机动车</w:t>
                  </w:r>
                </w:p>
              </w:tc>
              <w:tc>
                <w:tcPr>
                  <w:tcW w:w="1287" w:type="dxa"/>
                  <w:vMerge w:val="restart"/>
                  <w:vAlign w:val="center"/>
                </w:tcPr>
                <w:p>
                  <w:pPr>
                    <w:autoSpaceDE w:val="0"/>
                    <w:autoSpaceDN w:val="0"/>
                    <w:adjustRightInd w:val="0"/>
                    <w:jc w:val="center"/>
                    <w:rPr>
                      <w:kern w:val="0"/>
                      <w:sz w:val="18"/>
                      <w:szCs w:val="18"/>
                    </w:rPr>
                  </w:pPr>
                  <w:r>
                    <w:rPr>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Merge w:val="continue"/>
                  <w:vAlign w:val="center"/>
                </w:tcPr>
                <w:p>
                  <w:pPr>
                    <w:autoSpaceDE w:val="0"/>
                    <w:autoSpaceDN w:val="0"/>
                    <w:adjustRightInd w:val="0"/>
                    <w:jc w:val="center"/>
                    <w:rPr>
                      <w:kern w:val="0"/>
                      <w:sz w:val="18"/>
                      <w:szCs w:val="18"/>
                    </w:rPr>
                  </w:pPr>
                </w:p>
              </w:tc>
              <w:tc>
                <w:tcPr>
                  <w:tcW w:w="1158" w:type="dxa"/>
                  <w:vMerge w:val="continue"/>
                  <w:vAlign w:val="center"/>
                </w:tcPr>
                <w:p>
                  <w:pPr>
                    <w:autoSpaceDE w:val="0"/>
                    <w:autoSpaceDN w:val="0"/>
                    <w:adjustRightInd w:val="0"/>
                    <w:jc w:val="center"/>
                    <w:rPr>
                      <w:kern w:val="0"/>
                      <w:sz w:val="18"/>
                      <w:szCs w:val="18"/>
                    </w:rPr>
                  </w:pPr>
                </w:p>
              </w:tc>
              <w:tc>
                <w:tcPr>
                  <w:tcW w:w="1276" w:type="dxa"/>
                  <w:vAlign w:val="center"/>
                </w:tcPr>
                <w:p>
                  <w:pPr>
                    <w:autoSpaceDE w:val="0"/>
                    <w:autoSpaceDN w:val="0"/>
                    <w:adjustRightInd w:val="0"/>
                    <w:jc w:val="center"/>
                    <w:rPr>
                      <w:kern w:val="0"/>
                      <w:sz w:val="18"/>
                      <w:szCs w:val="18"/>
                    </w:rPr>
                  </w:pPr>
                  <w:r>
                    <w:rPr>
                      <w:kern w:val="0"/>
                      <w:sz w:val="18"/>
                      <w:szCs w:val="18"/>
                    </w:rPr>
                    <w:t>小轿车</w:t>
                  </w:r>
                </w:p>
                <w:p>
                  <w:pPr>
                    <w:autoSpaceDE w:val="0"/>
                    <w:autoSpaceDN w:val="0"/>
                    <w:adjustRightInd w:val="0"/>
                    <w:jc w:val="center"/>
                    <w:rPr>
                      <w:kern w:val="0"/>
                      <w:sz w:val="18"/>
                      <w:szCs w:val="18"/>
                    </w:rPr>
                  </w:pPr>
                  <w:r>
                    <w:rPr>
                      <w:kern w:val="0"/>
                      <w:sz w:val="18"/>
                      <w:szCs w:val="18"/>
                    </w:rPr>
                    <w:t>（1.5t/辆）</w:t>
                  </w:r>
                </w:p>
              </w:tc>
              <w:tc>
                <w:tcPr>
                  <w:tcW w:w="1275" w:type="dxa"/>
                  <w:vAlign w:val="center"/>
                </w:tcPr>
                <w:p>
                  <w:pPr>
                    <w:autoSpaceDE w:val="0"/>
                    <w:autoSpaceDN w:val="0"/>
                    <w:adjustRightInd w:val="0"/>
                    <w:jc w:val="center"/>
                    <w:rPr>
                      <w:kern w:val="0"/>
                      <w:sz w:val="18"/>
                      <w:szCs w:val="18"/>
                    </w:rPr>
                  </w:pPr>
                  <w:r>
                    <w:rPr>
                      <w:kern w:val="0"/>
                      <w:sz w:val="18"/>
                      <w:szCs w:val="18"/>
                    </w:rPr>
                    <w:t>中型货车</w:t>
                  </w:r>
                </w:p>
                <w:p>
                  <w:pPr>
                    <w:autoSpaceDE w:val="0"/>
                    <w:autoSpaceDN w:val="0"/>
                    <w:adjustRightInd w:val="0"/>
                    <w:jc w:val="center"/>
                    <w:rPr>
                      <w:kern w:val="0"/>
                      <w:sz w:val="18"/>
                      <w:szCs w:val="18"/>
                    </w:rPr>
                  </w:pPr>
                  <w:r>
                    <w:rPr>
                      <w:kern w:val="0"/>
                      <w:sz w:val="18"/>
                      <w:szCs w:val="18"/>
                    </w:rPr>
                    <w:t>（3t/辆）</w:t>
                  </w:r>
                </w:p>
              </w:tc>
              <w:tc>
                <w:tcPr>
                  <w:tcW w:w="1134" w:type="dxa"/>
                  <w:vAlign w:val="center"/>
                </w:tcPr>
                <w:p>
                  <w:pPr>
                    <w:autoSpaceDE w:val="0"/>
                    <w:autoSpaceDN w:val="0"/>
                    <w:adjustRightInd w:val="0"/>
                    <w:jc w:val="center"/>
                    <w:rPr>
                      <w:kern w:val="0"/>
                      <w:sz w:val="18"/>
                      <w:szCs w:val="18"/>
                    </w:rPr>
                  </w:pPr>
                  <w:r>
                    <w:rPr>
                      <w:kern w:val="0"/>
                      <w:sz w:val="18"/>
                      <w:szCs w:val="18"/>
                    </w:rPr>
                    <w:t>大型货车</w:t>
                  </w:r>
                </w:p>
                <w:p>
                  <w:pPr>
                    <w:autoSpaceDE w:val="0"/>
                    <w:autoSpaceDN w:val="0"/>
                    <w:adjustRightInd w:val="0"/>
                    <w:jc w:val="center"/>
                    <w:rPr>
                      <w:kern w:val="0"/>
                      <w:sz w:val="18"/>
                      <w:szCs w:val="18"/>
                    </w:rPr>
                  </w:pPr>
                  <w:r>
                    <w:rPr>
                      <w:kern w:val="0"/>
                      <w:sz w:val="18"/>
                      <w:szCs w:val="18"/>
                    </w:rPr>
                    <w:t>（5t/辆）</w:t>
                  </w:r>
                </w:p>
              </w:tc>
              <w:tc>
                <w:tcPr>
                  <w:tcW w:w="1287" w:type="dxa"/>
                  <w:vMerge w:val="continue"/>
                  <w:vAlign w:val="center"/>
                </w:tcPr>
                <w:p>
                  <w:pPr>
                    <w:autoSpaceDE w:val="0"/>
                    <w:autoSpaceDN w:val="0"/>
                    <w:adjustRightInd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1" w:type="dxa"/>
                  <w:vAlign w:val="center"/>
                </w:tcPr>
                <w:p>
                  <w:pPr>
                    <w:autoSpaceDE w:val="0"/>
                    <w:autoSpaceDN w:val="0"/>
                    <w:adjustRightInd w:val="0"/>
                    <w:jc w:val="center"/>
                    <w:rPr>
                      <w:kern w:val="0"/>
                      <w:sz w:val="18"/>
                      <w:szCs w:val="18"/>
                    </w:rPr>
                  </w:pPr>
                  <w:r>
                    <w:rPr>
                      <w:kern w:val="0"/>
                      <w:sz w:val="18"/>
                      <w:szCs w:val="18"/>
                    </w:rPr>
                    <w:t>1</w:t>
                  </w:r>
                </w:p>
              </w:tc>
              <w:tc>
                <w:tcPr>
                  <w:tcW w:w="1474" w:type="dxa"/>
                  <w:vAlign w:val="center"/>
                </w:tcPr>
                <w:p>
                  <w:pPr>
                    <w:autoSpaceDE w:val="0"/>
                    <w:autoSpaceDN w:val="0"/>
                    <w:adjustRightInd w:val="0"/>
                    <w:jc w:val="center"/>
                    <w:rPr>
                      <w:kern w:val="0"/>
                      <w:sz w:val="18"/>
                      <w:szCs w:val="18"/>
                    </w:rPr>
                  </w:pPr>
                  <w:r>
                    <w:rPr>
                      <w:kern w:val="0"/>
                      <w:sz w:val="18"/>
                      <w:szCs w:val="18"/>
                    </w:rPr>
                    <w:t>废钢铁</w:t>
                  </w:r>
                </w:p>
              </w:tc>
              <w:tc>
                <w:tcPr>
                  <w:tcW w:w="1158" w:type="dxa"/>
                  <w:vAlign w:val="center"/>
                </w:tcPr>
                <w:p>
                  <w:pPr>
                    <w:jc w:val="center"/>
                    <w:rPr>
                      <w:sz w:val="18"/>
                      <w:szCs w:val="18"/>
                    </w:rPr>
                  </w:pPr>
                  <w:r>
                    <w:rPr>
                      <w:sz w:val="18"/>
                      <w:szCs w:val="18"/>
                    </w:rPr>
                    <w:t>54%</w:t>
                  </w:r>
                </w:p>
              </w:tc>
              <w:tc>
                <w:tcPr>
                  <w:tcW w:w="1276" w:type="dxa"/>
                  <w:vAlign w:val="center"/>
                </w:tcPr>
                <w:p>
                  <w:pPr>
                    <w:jc w:val="center"/>
                    <w:rPr>
                      <w:sz w:val="18"/>
                      <w:szCs w:val="18"/>
                    </w:rPr>
                  </w:pPr>
                  <w:r>
                    <w:rPr>
                      <w:sz w:val="18"/>
                      <w:szCs w:val="18"/>
                    </w:rPr>
                    <w:t>65%</w:t>
                  </w:r>
                </w:p>
              </w:tc>
              <w:tc>
                <w:tcPr>
                  <w:tcW w:w="1275" w:type="dxa"/>
                  <w:vAlign w:val="center"/>
                </w:tcPr>
                <w:p>
                  <w:pPr>
                    <w:jc w:val="center"/>
                    <w:rPr>
                      <w:sz w:val="18"/>
                      <w:szCs w:val="18"/>
                    </w:rPr>
                  </w:pPr>
                  <w:r>
                    <w:rPr>
                      <w:sz w:val="18"/>
                      <w:szCs w:val="18"/>
                    </w:rPr>
                    <w:t>75%</w:t>
                  </w:r>
                </w:p>
              </w:tc>
              <w:tc>
                <w:tcPr>
                  <w:tcW w:w="1134" w:type="dxa"/>
                  <w:vAlign w:val="center"/>
                </w:tcPr>
                <w:p>
                  <w:pPr>
                    <w:jc w:val="center"/>
                    <w:rPr>
                      <w:sz w:val="18"/>
                      <w:szCs w:val="18"/>
                    </w:rPr>
                  </w:pPr>
                  <w:r>
                    <w:rPr>
                      <w:sz w:val="18"/>
                      <w:szCs w:val="18"/>
                    </w:rPr>
                    <w:t>75%</w:t>
                  </w:r>
                </w:p>
              </w:tc>
              <w:tc>
                <w:tcPr>
                  <w:tcW w:w="1287" w:type="dxa"/>
                  <w:vAlign w:val="center"/>
                </w:tcPr>
                <w:p>
                  <w:pPr>
                    <w:autoSpaceDE w:val="0"/>
                    <w:autoSpaceDN w:val="0"/>
                    <w:adjustRightInd w:val="0"/>
                    <w:jc w:val="center"/>
                    <w:rPr>
                      <w:kern w:val="0"/>
                      <w:sz w:val="18"/>
                      <w:szCs w:val="18"/>
                    </w:rPr>
                  </w:pPr>
                  <w:r>
                    <w:rPr>
                      <w:kern w:val="0"/>
                      <w:sz w:val="18"/>
                      <w:szCs w:val="18"/>
                    </w:rPr>
                    <w:t>车身、驾驶室、底盘、大梁、货箱、轮毂等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1" w:type="dxa"/>
                  <w:vAlign w:val="center"/>
                </w:tcPr>
                <w:p>
                  <w:pPr>
                    <w:autoSpaceDE w:val="0"/>
                    <w:autoSpaceDN w:val="0"/>
                    <w:adjustRightInd w:val="0"/>
                    <w:jc w:val="center"/>
                    <w:rPr>
                      <w:kern w:val="0"/>
                      <w:sz w:val="18"/>
                      <w:szCs w:val="18"/>
                    </w:rPr>
                  </w:pPr>
                  <w:r>
                    <w:rPr>
                      <w:kern w:val="0"/>
                      <w:sz w:val="18"/>
                      <w:szCs w:val="18"/>
                    </w:rPr>
                    <w:t>2</w:t>
                  </w:r>
                </w:p>
              </w:tc>
              <w:tc>
                <w:tcPr>
                  <w:tcW w:w="1474" w:type="dxa"/>
                  <w:vAlign w:val="center"/>
                </w:tcPr>
                <w:p>
                  <w:pPr>
                    <w:autoSpaceDE w:val="0"/>
                    <w:autoSpaceDN w:val="0"/>
                    <w:adjustRightInd w:val="0"/>
                    <w:jc w:val="center"/>
                    <w:rPr>
                      <w:kern w:val="0"/>
                      <w:sz w:val="18"/>
                      <w:szCs w:val="18"/>
                    </w:rPr>
                  </w:pPr>
                  <w:r>
                    <w:rPr>
                      <w:kern w:val="0"/>
                      <w:sz w:val="18"/>
                      <w:szCs w:val="18"/>
                    </w:rPr>
                    <w:t>有色金属</w:t>
                  </w:r>
                </w:p>
              </w:tc>
              <w:tc>
                <w:tcPr>
                  <w:tcW w:w="1158" w:type="dxa"/>
                  <w:vAlign w:val="center"/>
                </w:tcPr>
                <w:p>
                  <w:pPr>
                    <w:jc w:val="center"/>
                    <w:rPr>
                      <w:sz w:val="18"/>
                      <w:szCs w:val="18"/>
                    </w:rPr>
                  </w:pPr>
                  <w:r>
                    <w:rPr>
                      <w:sz w:val="18"/>
                      <w:szCs w:val="18"/>
                    </w:rPr>
                    <w:t>4%（其中铝71%，铜21%，其它8%）</w:t>
                  </w:r>
                </w:p>
              </w:tc>
              <w:tc>
                <w:tcPr>
                  <w:tcW w:w="1276" w:type="dxa"/>
                  <w:vAlign w:val="center"/>
                </w:tcPr>
                <w:p>
                  <w:pPr>
                    <w:jc w:val="center"/>
                    <w:rPr>
                      <w:sz w:val="18"/>
                      <w:szCs w:val="18"/>
                    </w:rPr>
                  </w:pPr>
                  <w:r>
                    <w:rPr>
                      <w:sz w:val="18"/>
                      <w:szCs w:val="18"/>
                    </w:rPr>
                    <w:t>5%（其中铝71%，铜21%，其它8%）</w:t>
                  </w:r>
                </w:p>
              </w:tc>
              <w:tc>
                <w:tcPr>
                  <w:tcW w:w="1275" w:type="dxa"/>
                  <w:vAlign w:val="center"/>
                </w:tcPr>
                <w:p>
                  <w:pPr>
                    <w:jc w:val="center"/>
                    <w:rPr>
                      <w:sz w:val="18"/>
                      <w:szCs w:val="18"/>
                    </w:rPr>
                  </w:pPr>
                  <w:r>
                    <w:rPr>
                      <w:sz w:val="18"/>
                      <w:szCs w:val="18"/>
                    </w:rPr>
                    <w:t>5%（其中铝71%，铜21%，其它8%）</w:t>
                  </w:r>
                </w:p>
              </w:tc>
              <w:tc>
                <w:tcPr>
                  <w:tcW w:w="1134" w:type="dxa"/>
                  <w:vAlign w:val="center"/>
                </w:tcPr>
                <w:p>
                  <w:pPr>
                    <w:jc w:val="center"/>
                    <w:rPr>
                      <w:sz w:val="18"/>
                      <w:szCs w:val="18"/>
                    </w:rPr>
                  </w:pPr>
                  <w:r>
                    <w:rPr>
                      <w:sz w:val="18"/>
                      <w:szCs w:val="18"/>
                    </w:rPr>
                    <w:t>5%（其中铝71%，铜21%，其它8%）</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jc w:val="center"/>
              </w:trPr>
              <w:tc>
                <w:tcPr>
                  <w:tcW w:w="501" w:type="dxa"/>
                  <w:vAlign w:val="center"/>
                </w:tcPr>
                <w:p>
                  <w:pPr>
                    <w:autoSpaceDE w:val="0"/>
                    <w:autoSpaceDN w:val="0"/>
                    <w:adjustRightInd w:val="0"/>
                    <w:jc w:val="center"/>
                    <w:rPr>
                      <w:kern w:val="0"/>
                      <w:sz w:val="18"/>
                      <w:szCs w:val="18"/>
                    </w:rPr>
                  </w:pPr>
                  <w:r>
                    <w:rPr>
                      <w:kern w:val="0"/>
                      <w:sz w:val="18"/>
                      <w:szCs w:val="18"/>
                    </w:rPr>
                    <w:t>3</w:t>
                  </w:r>
                </w:p>
              </w:tc>
              <w:tc>
                <w:tcPr>
                  <w:tcW w:w="1474" w:type="dxa"/>
                  <w:vAlign w:val="center"/>
                </w:tcPr>
                <w:p>
                  <w:pPr>
                    <w:autoSpaceDE w:val="0"/>
                    <w:autoSpaceDN w:val="0"/>
                    <w:adjustRightInd w:val="0"/>
                    <w:jc w:val="center"/>
                    <w:rPr>
                      <w:kern w:val="0"/>
                      <w:sz w:val="18"/>
                      <w:szCs w:val="18"/>
                    </w:rPr>
                  </w:pPr>
                  <w:r>
                    <w:rPr>
                      <w:kern w:val="0"/>
                      <w:sz w:val="18"/>
                      <w:szCs w:val="18"/>
                    </w:rPr>
                    <w:t>塑料</w:t>
                  </w:r>
                </w:p>
              </w:tc>
              <w:tc>
                <w:tcPr>
                  <w:tcW w:w="1158" w:type="dxa"/>
                  <w:vAlign w:val="center"/>
                </w:tcPr>
                <w:p>
                  <w:pPr>
                    <w:jc w:val="center"/>
                    <w:rPr>
                      <w:sz w:val="18"/>
                      <w:szCs w:val="18"/>
                    </w:rPr>
                  </w:pPr>
                  <w:r>
                    <w:rPr>
                      <w:sz w:val="18"/>
                      <w:szCs w:val="18"/>
                    </w:rPr>
                    <w:t>6%</w:t>
                  </w:r>
                </w:p>
              </w:tc>
              <w:tc>
                <w:tcPr>
                  <w:tcW w:w="1276" w:type="dxa"/>
                  <w:vAlign w:val="center"/>
                </w:tcPr>
                <w:p>
                  <w:pPr>
                    <w:jc w:val="center"/>
                    <w:rPr>
                      <w:sz w:val="18"/>
                      <w:szCs w:val="18"/>
                    </w:rPr>
                  </w:pPr>
                  <w:r>
                    <w:rPr>
                      <w:sz w:val="18"/>
                      <w:szCs w:val="18"/>
                    </w:rPr>
                    <w:t>7%</w:t>
                  </w:r>
                </w:p>
              </w:tc>
              <w:tc>
                <w:tcPr>
                  <w:tcW w:w="1275" w:type="dxa"/>
                  <w:vAlign w:val="center"/>
                </w:tcPr>
                <w:p>
                  <w:pPr>
                    <w:jc w:val="center"/>
                    <w:rPr>
                      <w:sz w:val="18"/>
                      <w:szCs w:val="18"/>
                    </w:rPr>
                  </w:pPr>
                  <w:r>
                    <w:rPr>
                      <w:sz w:val="18"/>
                      <w:szCs w:val="18"/>
                    </w:rPr>
                    <w:t>3%</w:t>
                  </w:r>
                </w:p>
              </w:tc>
              <w:tc>
                <w:tcPr>
                  <w:tcW w:w="1134" w:type="dxa"/>
                  <w:vAlign w:val="center"/>
                </w:tcPr>
                <w:p>
                  <w:pPr>
                    <w:jc w:val="center"/>
                    <w:rPr>
                      <w:sz w:val="18"/>
                      <w:szCs w:val="18"/>
                    </w:rPr>
                  </w:pPr>
                  <w:r>
                    <w:rPr>
                      <w:sz w:val="18"/>
                      <w:szCs w:val="18"/>
                    </w:rPr>
                    <w:t>3%</w:t>
                  </w:r>
                </w:p>
              </w:tc>
              <w:tc>
                <w:tcPr>
                  <w:tcW w:w="1287" w:type="dxa"/>
                  <w:vAlign w:val="center"/>
                </w:tcPr>
                <w:p>
                  <w:pPr>
                    <w:autoSpaceDE w:val="0"/>
                    <w:autoSpaceDN w:val="0"/>
                    <w:adjustRightInd w:val="0"/>
                    <w:jc w:val="center"/>
                    <w:rPr>
                      <w:kern w:val="0"/>
                      <w:sz w:val="18"/>
                      <w:szCs w:val="18"/>
                    </w:rPr>
                  </w:pPr>
                  <w:r>
                    <w:rPr>
                      <w:kern w:val="0"/>
                      <w:sz w:val="18"/>
                      <w:szCs w:val="18"/>
                    </w:rPr>
                    <w:t>外饰件后壳、灯罩、仪表盘等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Align w:val="center"/>
                </w:tcPr>
                <w:p>
                  <w:pPr>
                    <w:autoSpaceDE w:val="0"/>
                    <w:autoSpaceDN w:val="0"/>
                    <w:adjustRightInd w:val="0"/>
                    <w:jc w:val="center"/>
                    <w:rPr>
                      <w:kern w:val="0"/>
                      <w:sz w:val="18"/>
                      <w:szCs w:val="18"/>
                    </w:rPr>
                  </w:pPr>
                  <w:r>
                    <w:rPr>
                      <w:kern w:val="0"/>
                      <w:sz w:val="18"/>
                      <w:szCs w:val="18"/>
                    </w:rPr>
                    <w:t>4</w:t>
                  </w:r>
                </w:p>
              </w:tc>
              <w:tc>
                <w:tcPr>
                  <w:tcW w:w="1474" w:type="dxa"/>
                  <w:vAlign w:val="center"/>
                </w:tcPr>
                <w:p>
                  <w:pPr>
                    <w:autoSpaceDE w:val="0"/>
                    <w:autoSpaceDN w:val="0"/>
                    <w:adjustRightInd w:val="0"/>
                    <w:jc w:val="center"/>
                    <w:rPr>
                      <w:kern w:val="0"/>
                      <w:sz w:val="18"/>
                      <w:szCs w:val="18"/>
                    </w:rPr>
                  </w:pPr>
                  <w:r>
                    <w:rPr>
                      <w:kern w:val="0"/>
                      <w:sz w:val="18"/>
                      <w:szCs w:val="18"/>
                    </w:rPr>
                    <w:t>玻璃</w:t>
                  </w:r>
                </w:p>
              </w:tc>
              <w:tc>
                <w:tcPr>
                  <w:tcW w:w="1158" w:type="dxa"/>
                  <w:vAlign w:val="center"/>
                </w:tcPr>
                <w:p>
                  <w:pPr>
                    <w:jc w:val="center"/>
                    <w:rPr>
                      <w:sz w:val="18"/>
                      <w:szCs w:val="18"/>
                    </w:rPr>
                  </w:pPr>
                  <w:r>
                    <w:rPr>
                      <w:sz w:val="18"/>
                      <w:szCs w:val="18"/>
                    </w:rPr>
                    <w:t>2%</w:t>
                  </w:r>
                </w:p>
              </w:tc>
              <w:tc>
                <w:tcPr>
                  <w:tcW w:w="1276" w:type="dxa"/>
                  <w:vAlign w:val="center"/>
                </w:tcPr>
                <w:p>
                  <w:pPr>
                    <w:jc w:val="center"/>
                    <w:rPr>
                      <w:sz w:val="18"/>
                      <w:szCs w:val="18"/>
                    </w:rPr>
                  </w:pPr>
                  <w:r>
                    <w:rPr>
                      <w:sz w:val="18"/>
                      <w:szCs w:val="18"/>
                    </w:rPr>
                    <w:t>2%</w:t>
                  </w:r>
                </w:p>
              </w:tc>
              <w:tc>
                <w:tcPr>
                  <w:tcW w:w="1275" w:type="dxa"/>
                  <w:vAlign w:val="center"/>
                </w:tcPr>
                <w:p>
                  <w:pPr>
                    <w:jc w:val="center"/>
                    <w:rPr>
                      <w:sz w:val="18"/>
                      <w:szCs w:val="18"/>
                    </w:rPr>
                  </w:pPr>
                  <w:r>
                    <w:rPr>
                      <w:sz w:val="18"/>
                      <w:szCs w:val="18"/>
                    </w:rPr>
                    <w:t>2%</w:t>
                  </w:r>
                </w:p>
              </w:tc>
              <w:tc>
                <w:tcPr>
                  <w:tcW w:w="1134" w:type="dxa"/>
                  <w:vAlign w:val="center"/>
                </w:tcPr>
                <w:p>
                  <w:pPr>
                    <w:jc w:val="center"/>
                    <w:rPr>
                      <w:sz w:val="18"/>
                      <w:szCs w:val="18"/>
                    </w:rPr>
                  </w:pPr>
                  <w:r>
                    <w:rPr>
                      <w:sz w:val="18"/>
                      <w:szCs w:val="18"/>
                    </w:rPr>
                    <w:t>2%</w:t>
                  </w:r>
                </w:p>
              </w:tc>
              <w:tc>
                <w:tcPr>
                  <w:tcW w:w="1287" w:type="dxa"/>
                  <w:vAlign w:val="center"/>
                </w:tcPr>
                <w:p>
                  <w:pPr>
                    <w:autoSpaceDE w:val="0"/>
                    <w:autoSpaceDN w:val="0"/>
                    <w:adjustRightInd w:val="0"/>
                    <w:jc w:val="center"/>
                    <w:rPr>
                      <w:kern w:val="0"/>
                      <w:sz w:val="18"/>
                      <w:szCs w:val="18"/>
                    </w:rPr>
                  </w:pPr>
                  <w:r>
                    <w:rPr>
                      <w:kern w:val="0"/>
                      <w:sz w:val="18"/>
                      <w:szCs w:val="18"/>
                    </w:rPr>
                    <w:t>车窗玻璃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Align w:val="center"/>
                </w:tcPr>
                <w:p>
                  <w:pPr>
                    <w:autoSpaceDE w:val="0"/>
                    <w:autoSpaceDN w:val="0"/>
                    <w:adjustRightInd w:val="0"/>
                    <w:jc w:val="center"/>
                    <w:rPr>
                      <w:kern w:val="0"/>
                      <w:sz w:val="18"/>
                      <w:szCs w:val="18"/>
                    </w:rPr>
                  </w:pPr>
                  <w:r>
                    <w:rPr>
                      <w:kern w:val="0"/>
                      <w:sz w:val="18"/>
                      <w:szCs w:val="18"/>
                    </w:rPr>
                    <w:t>5</w:t>
                  </w:r>
                </w:p>
              </w:tc>
              <w:tc>
                <w:tcPr>
                  <w:tcW w:w="1474" w:type="dxa"/>
                  <w:vAlign w:val="center"/>
                </w:tcPr>
                <w:p>
                  <w:pPr>
                    <w:autoSpaceDE w:val="0"/>
                    <w:autoSpaceDN w:val="0"/>
                    <w:adjustRightInd w:val="0"/>
                    <w:jc w:val="center"/>
                    <w:rPr>
                      <w:kern w:val="0"/>
                      <w:sz w:val="18"/>
                      <w:szCs w:val="18"/>
                    </w:rPr>
                  </w:pPr>
                  <w:r>
                    <w:rPr>
                      <w:kern w:val="0"/>
                      <w:sz w:val="18"/>
                      <w:szCs w:val="18"/>
                    </w:rPr>
                    <w:t>橡胶</w:t>
                  </w:r>
                </w:p>
              </w:tc>
              <w:tc>
                <w:tcPr>
                  <w:tcW w:w="1158" w:type="dxa"/>
                  <w:vAlign w:val="center"/>
                </w:tcPr>
                <w:p>
                  <w:pPr>
                    <w:jc w:val="center"/>
                    <w:rPr>
                      <w:sz w:val="18"/>
                      <w:szCs w:val="18"/>
                    </w:rPr>
                  </w:pPr>
                  <w:r>
                    <w:rPr>
                      <w:sz w:val="18"/>
                      <w:szCs w:val="18"/>
                    </w:rPr>
                    <w:t>2%</w:t>
                  </w:r>
                </w:p>
              </w:tc>
              <w:tc>
                <w:tcPr>
                  <w:tcW w:w="1276" w:type="dxa"/>
                  <w:vAlign w:val="center"/>
                </w:tcPr>
                <w:p>
                  <w:pPr>
                    <w:jc w:val="center"/>
                    <w:rPr>
                      <w:sz w:val="18"/>
                      <w:szCs w:val="18"/>
                    </w:rPr>
                  </w:pPr>
                  <w:r>
                    <w:rPr>
                      <w:sz w:val="18"/>
                      <w:szCs w:val="18"/>
                    </w:rPr>
                    <w:t>3%</w:t>
                  </w:r>
                </w:p>
              </w:tc>
              <w:tc>
                <w:tcPr>
                  <w:tcW w:w="1275" w:type="dxa"/>
                  <w:vAlign w:val="center"/>
                </w:tcPr>
                <w:p>
                  <w:pPr>
                    <w:jc w:val="center"/>
                    <w:rPr>
                      <w:sz w:val="18"/>
                      <w:szCs w:val="18"/>
                    </w:rPr>
                  </w:pPr>
                  <w:r>
                    <w:rPr>
                      <w:sz w:val="18"/>
                      <w:szCs w:val="18"/>
                    </w:rPr>
                    <w:t>3%</w:t>
                  </w:r>
                </w:p>
              </w:tc>
              <w:tc>
                <w:tcPr>
                  <w:tcW w:w="1134" w:type="dxa"/>
                  <w:vAlign w:val="center"/>
                </w:tcPr>
                <w:p>
                  <w:pPr>
                    <w:jc w:val="center"/>
                    <w:rPr>
                      <w:sz w:val="18"/>
                      <w:szCs w:val="18"/>
                    </w:rPr>
                  </w:pPr>
                  <w:r>
                    <w:rPr>
                      <w:sz w:val="18"/>
                      <w:szCs w:val="18"/>
                    </w:rPr>
                    <w:t>3%</w:t>
                  </w:r>
                </w:p>
              </w:tc>
              <w:tc>
                <w:tcPr>
                  <w:tcW w:w="1287" w:type="dxa"/>
                  <w:vAlign w:val="center"/>
                </w:tcPr>
                <w:p>
                  <w:pPr>
                    <w:autoSpaceDE w:val="0"/>
                    <w:autoSpaceDN w:val="0"/>
                    <w:adjustRightInd w:val="0"/>
                    <w:jc w:val="center"/>
                    <w:rPr>
                      <w:kern w:val="0"/>
                      <w:sz w:val="18"/>
                      <w:szCs w:val="18"/>
                    </w:rPr>
                  </w:pPr>
                  <w:r>
                    <w:rPr>
                      <w:kern w:val="0"/>
                      <w:sz w:val="18"/>
                      <w:szCs w:val="18"/>
                    </w:rPr>
                    <w:t>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501" w:type="dxa"/>
                  <w:vAlign w:val="center"/>
                </w:tcPr>
                <w:p>
                  <w:pPr>
                    <w:autoSpaceDE w:val="0"/>
                    <w:autoSpaceDN w:val="0"/>
                    <w:adjustRightInd w:val="0"/>
                    <w:jc w:val="center"/>
                    <w:rPr>
                      <w:kern w:val="0"/>
                      <w:sz w:val="18"/>
                      <w:szCs w:val="18"/>
                    </w:rPr>
                  </w:pPr>
                  <w:r>
                    <w:rPr>
                      <w:kern w:val="0"/>
                      <w:sz w:val="18"/>
                      <w:szCs w:val="18"/>
                    </w:rPr>
                    <w:t>6</w:t>
                  </w:r>
                </w:p>
              </w:tc>
              <w:tc>
                <w:tcPr>
                  <w:tcW w:w="1474" w:type="dxa"/>
                  <w:vAlign w:val="center"/>
                </w:tcPr>
                <w:p>
                  <w:pPr>
                    <w:autoSpaceDE w:val="0"/>
                    <w:autoSpaceDN w:val="0"/>
                    <w:adjustRightInd w:val="0"/>
                    <w:jc w:val="center"/>
                    <w:rPr>
                      <w:kern w:val="0"/>
                      <w:sz w:val="18"/>
                      <w:szCs w:val="18"/>
                    </w:rPr>
                  </w:pPr>
                  <w:r>
                    <w:rPr>
                      <w:kern w:val="0"/>
                      <w:sz w:val="18"/>
                      <w:szCs w:val="18"/>
                    </w:rPr>
                    <w:t>总成及可用零部件</w:t>
                  </w:r>
                </w:p>
              </w:tc>
              <w:tc>
                <w:tcPr>
                  <w:tcW w:w="1158" w:type="dxa"/>
                  <w:vAlign w:val="center"/>
                </w:tcPr>
                <w:p>
                  <w:pPr>
                    <w:jc w:val="center"/>
                    <w:rPr>
                      <w:sz w:val="18"/>
                      <w:szCs w:val="18"/>
                    </w:rPr>
                  </w:pPr>
                  <w:r>
                    <w:rPr>
                      <w:sz w:val="18"/>
                      <w:szCs w:val="18"/>
                    </w:rPr>
                    <w:t>2%</w:t>
                  </w:r>
                </w:p>
              </w:tc>
              <w:tc>
                <w:tcPr>
                  <w:tcW w:w="1276" w:type="dxa"/>
                  <w:vAlign w:val="center"/>
                </w:tcPr>
                <w:p>
                  <w:pPr>
                    <w:jc w:val="center"/>
                    <w:rPr>
                      <w:sz w:val="18"/>
                      <w:szCs w:val="18"/>
                    </w:rPr>
                  </w:pPr>
                  <w:r>
                    <w:rPr>
                      <w:sz w:val="18"/>
                      <w:szCs w:val="18"/>
                    </w:rPr>
                    <w:t>8%</w:t>
                  </w:r>
                </w:p>
              </w:tc>
              <w:tc>
                <w:tcPr>
                  <w:tcW w:w="1275" w:type="dxa"/>
                  <w:vAlign w:val="center"/>
                </w:tcPr>
                <w:p>
                  <w:pPr>
                    <w:jc w:val="center"/>
                    <w:rPr>
                      <w:sz w:val="18"/>
                      <w:szCs w:val="18"/>
                    </w:rPr>
                  </w:pPr>
                  <w:r>
                    <w:rPr>
                      <w:sz w:val="18"/>
                      <w:szCs w:val="18"/>
                    </w:rPr>
                    <w:t>6%</w:t>
                  </w:r>
                </w:p>
              </w:tc>
              <w:tc>
                <w:tcPr>
                  <w:tcW w:w="1134" w:type="dxa"/>
                  <w:vAlign w:val="center"/>
                </w:tcPr>
                <w:p>
                  <w:pPr>
                    <w:jc w:val="center"/>
                    <w:rPr>
                      <w:sz w:val="18"/>
                      <w:szCs w:val="18"/>
                    </w:rPr>
                  </w:pPr>
                  <w:r>
                    <w:rPr>
                      <w:sz w:val="18"/>
                      <w:szCs w:val="18"/>
                    </w:rPr>
                    <w:t>6%</w:t>
                  </w:r>
                </w:p>
              </w:tc>
              <w:tc>
                <w:tcPr>
                  <w:tcW w:w="1287" w:type="dxa"/>
                  <w:vAlign w:val="center"/>
                </w:tcPr>
                <w:p>
                  <w:pPr>
                    <w:autoSpaceDE w:val="0"/>
                    <w:autoSpaceDN w:val="0"/>
                    <w:adjustRightInd w:val="0"/>
                    <w:jc w:val="center"/>
                    <w:rPr>
                      <w:kern w:val="0"/>
                      <w:sz w:val="18"/>
                      <w:szCs w:val="18"/>
                    </w:rPr>
                  </w:pPr>
                  <w:r>
                    <w:rPr>
                      <w:kern w:val="0"/>
                      <w:sz w:val="18"/>
                      <w:szCs w:val="18"/>
                    </w:rPr>
                    <w:t>发动机、变速器、电线电缆等。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Align w:val="center"/>
                </w:tcPr>
                <w:p>
                  <w:pPr>
                    <w:autoSpaceDE w:val="0"/>
                    <w:autoSpaceDN w:val="0"/>
                    <w:adjustRightInd w:val="0"/>
                    <w:jc w:val="center"/>
                    <w:rPr>
                      <w:kern w:val="0"/>
                      <w:sz w:val="18"/>
                      <w:szCs w:val="18"/>
                    </w:rPr>
                  </w:pPr>
                  <w:r>
                    <w:rPr>
                      <w:kern w:val="0"/>
                      <w:sz w:val="18"/>
                      <w:szCs w:val="18"/>
                    </w:rPr>
                    <w:t>7</w:t>
                  </w:r>
                </w:p>
              </w:tc>
              <w:tc>
                <w:tcPr>
                  <w:tcW w:w="1474" w:type="dxa"/>
                  <w:vAlign w:val="center"/>
                </w:tcPr>
                <w:p>
                  <w:pPr>
                    <w:autoSpaceDE w:val="0"/>
                    <w:autoSpaceDN w:val="0"/>
                    <w:adjustRightInd w:val="0"/>
                    <w:jc w:val="center"/>
                    <w:rPr>
                      <w:kern w:val="0"/>
                      <w:sz w:val="18"/>
                      <w:szCs w:val="18"/>
                    </w:rPr>
                  </w:pPr>
                  <w:r>
                    <w:rPr>
                      <w:kern w:val="0"/>
                      <w:sz w:val="18"/>
                      <w:szCs w:val="18"/>
                    </w:rPr>
                    <w:t>不可利用废物</w:t>
                  </w:r>
                </w:p>
              </w:tc>
              <w:tc>
                <w:tcPr>
                  <w:tcW w:w="1158" w:type="dxa"/>
                  <w:vAlign w:val="center"/>
                </w:tcPr>
                <w:p>
                  <w:pPr>
                    <w:jc w:val="center"/>
                    <w:rPr>
                      <w:sz w:val="18"/>
                      <w:szCs w:val="18"/>
                    </w:rPr>
                  </w:pPr>
                  <w:r>
                    <w:rPr>
                      <w:sz w:val="18"/>
                      <w:szCs w:val="18"/>
                    </w:rPr>
                    <w:t>30%</w:t>
                  </w:r>
                </w:p>
              </w:tc>
              <w:tc>
                <w:tcPr>
                  <w:tcW w:w="1276" w:type="dxa"/>
                  <w:vAlign w:val="center"/>
                </w:tcPr>
                <w:p>
                  <w:pPr>
                    <w:jc w:val="center"/>
                    <w:rPr>
                      <w:sz w:val="18"/>
                      <w:szCs w:val="18"/>
                    </w:rPr>
                  </w:pPr>
                  <w:r>
                    <w:rPr>
                      <w:sz w:val="18"/>
                      <w:szCs w:val="18"/>
                    </w:rPr>
                    <w:t>10%</w:t>
                  </w:r>
                </w:p>
              </w:tc>
              <w:tc>
                <w:tcPr>
                  <w:tcW w:w="1275" w:type="dxa"/>
                  <w:vAlign w:val="center"/>
                </w:tcPr>
                <w:p>
                  <w:pPr>
                    <w:jc w:val="center"/>
                    <w:rPr>
                      <w:sz w:val="18"/>
                      <w:szCs w:val="18"/>
                    </w:rPr>
                  </w:pPr>
                  <w:r>
                    <w:rPr>
                      <w:sz w:val="18"/>
                      <w:szCs w:val="18"/>
                    </w:rPr>
                    <w:t>6%</w:t>
                  </w:r>
                </w:p>
              </w:tc>
              <w:tc>
                <w:tcPr>
                  <w:tcW w:w="1134" w:type="dxa"/>
                  <w:vAlign w:val="center"/>
                </w:tcPr>
                <w:p>
                  <w:pPr>
                    <w:jc w:val="center"/>
                    <w:rPr>
                      <w:sz w:val="18"/>
                      <w:szCs w:val="18"/>
                    </w:rPr>
                  </w:pPr>
                  <w:r>
                    <w:rPr>
                      <w:sz w:val="18"/>
                      <w:szCs w:val="18"/>
                    </w:rPr>
                    <w:t>6%</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restart"/>
                  <w:vAlign w:val="center"/>
                </w:tcPr>
                <w:p>
                  <w:pPr>
                    <w:autoSpaceDE w:val="0"/>
                    <w:autoSpaceDN w:val="0"/>
                    <w:adjustRightInd w:val="0"/>
                    <w:jc w:val="center"/>
                    <w:rPr>
                      <w:kern w:val="0"/>
                      <w:sz w:val="18"/>
                      <w:szCs w:val="18"/>
                    </w:rPr>
                  </w:pPr>
                  <w:r>
                    <w:rPr>
                      <w:kern w:val="0"/>
                      <w:sz w:val="18"/>
                      <w:szCs w:val="18"/>
                    </w:rPr>
                    <w:t>其中</w:t>
                  </w:r>
                </w:p>
              </w:tc>
              <w:tc>
                <w:tcPr>
                  <w:tcW w:w="1474" w:type="dxa"/>
                  <w:vAlign w:val="center"/>
                </w:tcPr>
                <w:p>
                  <w:pPr>
                    <w:autoSpaceDE w:val="0"/>
                    <w:autoSpaceDN w:val="0"/>
                    <w:adjustRightInd w:val="0"/>
                    <w:jc w:val="center"/>
                    <w:rPr>
                      <w:kern w:val="0"/>
                      <w:sz w:val="18"/>
                      <w:szCs w:val="18"/>
                    </w:rPr>
                  </w:pPr>
                  <w:r>
                    <w:rPr>
                      <w:kern w:val="0"/>
                      <w:sz w:val="18"/>
                      <w:szCs w:val="18"/>
                    </w:rPr>
                    <w:t>蓄电池</w:t>
                  </w:r>
                </w:p>
                <w:p>
                  <w:pPr>
                    <w:autoSpaceDE w:val="0"/>
                    <w:autoSpaceDN w:val="0"/>
                    <w:adjustRightInd w:val="0"/>
                    <w:jc w:val="center"/>
                    <w:rPr>
                      <w:sz w:val="18"/>
                      <w:szCs w:val="18"/>
                    </w:rPr>
                  </w:pPr>
                  <w:r>
                    <w:rPr>
                      <w:rFonts w:hint="eastAsia"/>
                      <w:kern w:val="0"/>
                      <w:sz w:val="18"/>
                      <w:szCs w:val="18"/>
                    </w:rPr>
                    <w:t>（包含铅蓄电池）</w:t>
                  </w:r>
                </w:p>
              </w:tc>
              <w:tc>
                <w:tcPr>
                  <w:tcW w:w="1158" w:type="dxa"/>
                  <w:vAlign w:val="center"/>
                </w:tcPr>
                <w:p>
                  <w:pPr>
                    <w:jc w:val="center"/>
                    <w:rPr>
                      <w:sz w:val="18"/>
                      <w:szCs w:val="18"/>
                    </w:rPr>
                  </w:pPr>
                  <w:r>
                    <w:rPr>
                      <w:sz w:val="18"/>
                      <w:szCs w:val="18"/>
                    </w:rPr>
                    <w:t>450kg/辆</w:t>
                  </w:r>
                </w:p>
              </w:tc>
              <w:tc>
                <w:tcPr>
                  <w:tcW w:w="1276" w:type="dxa"/>
                  <w:vAlign w:val="center"/>
                </w:tcPr>
                <w:p>
                  <w:pPr>
                    <w:jc w:val="center"/>
                    <w:rPr>
                      <w:sz w:val="18"/>
                      <w:szCs w:val="18"/>
                    </w:rPr>
                  </w:pPr>
                  <w:r>
                    <w:rPr>
                      <w:sz w:val="18"/>
                      <w:szCs w:val="18"/>
                    </w:rPr>
                    <w:t>15kg/辆</w:t>
                  </w:r>
                </w:p>
              </w:tc>
              <w:tc>
                <w:tcPr>
                  <w:tcW w:w="1275" w:type="dxa"/>
                  <w:vAlign w:val="center"/>
                </w:tcPr>
                <w:p>
                  <w:pPr>
                    <w:jc w:val="center"/>
                    <w:rPr>
                      <w:sz w:val="18"/>
                      <w:szCs w:val="18"/>
                    </w:rPr>
                  </w:pPr>
                  <w:r>
                    <w:rPr>
                      <w:sz w:val="18"/>
                      <w:szCs w:val="18"/>
                    </w:rPr>
                    <w:t>23kg/辆</w:t>
                  </w:r>
                </w:p>
              </w:tc>
              <w:tc>
                <w:tcPr>
                  <w:tcW w:w="1134" w:type="dxa"/>
                  <w:vAlign w:val="center"/>
                </w:tcPr>
                <w:p>
                  <w:pPr>
                    <w:jc w:val="center"/>
                    <w:rPr>
                      <w:sz w:val="18"/>
                      <w:szCs w:val="18"/>
                    </w:rPr>
                  </w:pPr>
                  <w:r>
                    <w:rPr>
                      <w:sz w:val="18"/>
                      <w:szCs w:val="18"/>
                    </w:rPr>
                    <w:t>30kg/辆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制冷剂</w:t>
                  </w:r>
                </w:p>
              </w:tc>
              <w:tc>
                <w:tcPr>
                  <w:tcW w:w="1158" w:type="dxa"/>
                  <w:vAlign w:val="center"/>
                </w:tcPr>
                <w:p>
                  <w:pPr>
                    <w:jc w:val="center"/>
                    <w:rPr>
                      <w:sz w:val="18"/>
                      <w:szCs w:val="18"/>
                    </w:rPr>
                  </w:pPr>
                  <w:r>
                    <w:rPr>
                      <w:sz w:val="18"/>
                      <w:szCs w:val="18"/>
                    </w:rPr>
                    <w:t>0.6kg/辆</w:t>
                  </w:r>
                </w:p>
              </w:tc>
              <w:tc>
                <w:tcPr>
                  <w:tcW w:w="1276" w:type="dxa"/>
                  <w:vAlign w:val="center"/>
                </w:tcPr>
                <w:p>
                  <w:pPr>
                    <w:jc w:val="center"/>
                    <w:rPr>
                      <w:sz w:val="18"/>
                      <w:szCs w:val="18"/>
                    </w:rPr>
                  </w:pPr>
                  <w:r>
                    <w:rPr>
                      <w:sz w:val="18"/>
                      <w:szCs w:val="18"/>
                    </w:rPr>
                    <w:t>0.6kg/辆</w:t>
                  </w:r>
                </w:p>
              </w:tc>
              <w:tc>
                <w:tcPr>
                  <w:tcW w:w="1275" w:type="dxa"/>
                  <w:vAlign w:val="center"/>
                </w:tcPr>
                <w:p>
                  <w:pPr>
                    <w:jc w:val="center"/>
                    <w:rPr>
                      <w:sz w:val="18"/>
                      <w:szCs w:val="18"/>
                    </w:rPr>
                  </w:pPr>
                  <w:r>
                    <w:rPr>
                      <w:sz w:val="18"/>
                      <w:szCs w:val="18"/>
                    </w:rPr>
                    <w:t>1kg/辆</w:t>
                  </w:r>
                </w:p>
              </w:tc>
              <w:tc>
                <w:tcPr>
                  <w:tcW w:w="1134" w:type="dxa"/>
                  <w:vAlign w:val="center"/>
                </w:tcPr>
                <w:p>
                  <w:pPr>
                    <w:jc w:val="center"/>
                    <w:rPr>
                      <w:sz w:val="18"/>
                      <w:szCs w:val="18"/>
                    </w:rPr>
                  </w:pPr>
                  <w:r>
                    <w:rPr>
                      <w:sz w:val="18"/>
                      <w:szCs w:val="18"/>
                    </w:rPr>
                    <w:t>1.2kg/辆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废汽柴油</w:t>
                  </w:r>
                </w:p>
              </w:tc>
              <w:tc>
                <w:tcPr>
                  <w:tcW w:w="1158" w:type="dxa"/>
                  <w:vAlign w:val="center"/>
                </w:tcPr>
                <w:p>
                  <w:pPr>
                    <w:jc w:val="center"/>
                    <w:rPr>
                      <w:sz w:val="18"/>
                      <w:szCs w:val="18"/>
                    </w:rPr>
                  </w:pPr>
                  <w:r>
                    <w:rPr>
                      <w:sz w:val="18"/>
                      <w:szCs w:val="18"/>
                    </w:rPr>
                    <w:t>0.1kg/辆</w:t>
                  </w:r>
                </w:p>
              </w:tc>
              <w:tc>
                <w:tcPr>
                  <w:tcW w:w="1276" w:type="dxa"/>
                  <w:vAlign w:val="center"/>
                </w:tcPr>
                <w:p>
                  <w:pPr>
                    <w:jc w:val="center"/>
                    <w:rPr>
                      <w:sz w:val="18"/>
                      <w:szCs w:val="18"/>
                    </w:rPr>
                  </w:pPr>
                  <w:r>
                    <w:rPr>
                      <w:sz w:val="18"/>
                      <w:szCs w:val="18"/>
                    </w:rPr>
                    <w:t>0.4kg/辆</w:t>
                  </w:r>
                </w:p>
              </w:tc>
              <w:tc>
                <w:tcPr>
                  <w:tcW w:w="1275" w:type="dxa"/>
                  <w:vAlign w:val="center"/>
                </w:tcPr>
                <w:p>
                  <w:pPr>
                    <w:jc w:val="center"/>
                    <w:rPr>
                      <w:sz w:val="18"/>
                      <w:szCs w:val="18"/>
                    </w:rPr>
                  </w:pPr>
                  <w:r>
                    <w:rPr>
                      <w:sz w:val="18"/>
                      <w:szCs w:val="18"/>
                    </w:rPr>
                    <w:t>0.4kg/辆</w:t>
                  </w:r>
                </w:p>
              </w:tc>
              <w:tc>
                <w:tcPr>
                  <w:tcW w:w="1134" w:type="dxa"/>
                  <w:vAlign w:val="center"/>
                </w:tcPr>
                <w:p>
                  <w:pPr>
                    <w:jc w:val="center"/>
                    <w:rPr>
                      <w:sz w:val="18"/>
                      <w:szCs w:val="18"/>
                    </w:rPr>
                  </w:pPr>
                  <w:r>
                    <w:rPr>
                      <w:sz w:val="18"/>
                      <w:szCs w:val="18"/>
                    </w:rPr>
                    <w:t>0.4kg/辆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废机油</w:t>
                  </w:r>
                </w:p>
              </w:tc>
              <w:tc>
                <w:tcPr>
                  <w:tcW w:w="1158" w:type="dxa"/>
                  <w:vAlign w:val="center"/>
                </w:tcPr>
                <w:p>
                  <w:pPr>
                    <w:jc w:val="center"/>
                    <w:rPr>
                      <w:sz w:val="18"/>
                      <w:szCs w:val="18"/>
                    </w:rPr>
                  </w:pPr>
                  <w:r>
                    <w:rPr>
                      <w:sz w:val="18"/>
                      <w:szCs w:val="18"/>
                    </w:rPr>
                    <w:t>1kg/辆</w:t>
                  </w:r>
                </w:p>
              </w:tc>
              <w:tc>
                <w:tcPr>
                  <w:tcW w:w="1276" w:type="dxa"/>
                  <w:vAlign w:val="center"/>
                </w:tcPr>
                <w:p>
                  <w:pPr>
                    <w:jc w:val="center"/>
                    <w:rPr>
                      <w:sz w:val="18"/>
                      <w:szCs w:val="18"/>
                    </w:rPr>
                  </w:pPr>
                  <w:r>
                    <w:rPr>
                      <w:sz w:val="18"/>
                      <w:szCs w:val="18"/>
                    </w:rPr>
                    <w:t>3.8kg/辆</w:t>
                  </w:r>
                </w:p>
              </w:tc>
              <w:tc>
                <w:tcPr>
                  <w:tcW w:w="1275" w:type="dxa"/>
                  <w:vAlign w:val="center"/>
                </w:tcPr>
                <w:p>
                  <w:pPr>
                    <w:jc w:val="center"/>
                    <w:rPr>
                      <w:sz w:val="18"/>
                      <w:szCs w:val="18"/>
                    </w:rPr>
                  </w:pPr>
                  <w:r>
                    <w:rPr>
                      <w:sz w:val="18"/>
                      <w:szCs w:val="18"/>
                    </w:rPr>
                    <w:t>5.4kg/辆</w:t>
                  </w:r>
                </w:p>
              </w:tc>
              <w:tc>
                <w:tcPr>
                  <w:tcW w:w="1134" w:type="dxa"/>
                  <w:vAlign w:val="center"/>
                </w:tcPr>
                <w:p>
                  <w:pPr>
                    <w:jc w:val="center"/>
                    <w:rPr>
                      <w:sz w:val="18"/>
                      <w:szCs w:val="18"/>
                    </w:rPr>
                  </w:pPr>
                  <w:r>
                    <w:rPr>
                      <w:sz w:val="18"/>
                      <w:szCs w:val="18"/>
                    </w:rPr>
                    <w:t>7.6kg/辆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废润滑油</w:t>
                  </w:r>
                </w:p>
              </w:tc>
              <w:tc>
                <w:tcPr>
                  <w:tcW w:w="1158" w:type="dxa"/>
                  <w:vAlign w:val="center"/>
                </w:tcPr>
                <w:p>
                  <w:pPr>
                    <w:jc w:val="center"/>
                    <w:rPr>
                      <w:sz w:val="18"/>
                      <w:szCs w:val="18"/>
                    </w:rPr>
                  </w:pPr>
                  <w:r>
                    <w:rPr>
                      <w:sz w:val="18"/>
                      <w:szCs w:val="18"/>
                    </w:rPr>
                    <w:t>1.9kg/辆</w:t>
                  </w:r>
                </w:p>
              </w:tc>
              <w:tc>
                <w:tcPr>
                  <w:tcW w:w="1276" w:type="dxa"/>
                  <w:vAlign w:val="center"/>
                </w:tcPr>
                <w:p>
                  <w:pPr>
                    <w:jc w:val="center"/>
                    <w:rPr>
                      <w:sz w:val="18"/>
                      <w:szCs w:val="18"/>
                    </w:rPr>
                  </w:pPr>
                  <w:r>
                    <w:rPr>
                      <w:sz w:val="18"/>
                      <w:szCs w:val="18"/>
                    </w:rPr>
                    <w:t>1.9kg/辆</w:t>
                  </w:r>
                </w:p>
              </w:tc>
              <w:tc>
                <w:tcPr>
                  <w:tcW w:w="1275" w:type="dxa"/>
                  <w:vAlign w:val="center"/>
                </w:tcPr>
                <w:p>
                  <w:pPr>
                    <w:jc w:val="center"/>
                    <w:rPr>
                      <w:sz w:val="18"/>
                      <w:szCs w:val="18"/>
                    </w:rPr>
                  </w:pPr>
                  <w:r>
                    <w:rPr>
                      <w:sz w:val="18"/>
                      <w:szCs w:val="18"/>
                    </w:rPr>
                    <w:t>2.8kg/辆</w:t>
                  </w:r>
                </w:p>
              </w:tc>
              <w:tc>
                <w:tcPr>
                  <w:tcW w:w="1134" w:type="dxa"/>
                  <w:vAlign w:val="center"/>
                </w:tcPr>
                <w:p>
                  <w:pPr>
                    <w:jc w:val="center"/>
                    <w:rPr>
                      <w:sz w:val="18"/>
                      <w:szCs w:val="18"/>
                    </w:rPr>
                  </w:pPr>
                  <w:r>
                    <w:rPr>
                      <w:sz w:val="18"/>
                      <w:szCs w:val="18"/>
                    </w:rPr>
                    <w:t>3.8kg/辆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废冷却液</w:t>
                  </w:r>
                </w:p>
              </w:tc>
              <w:tc>
                <w:tcPr>
                  <w:tcW w:w="1158" w:type="dxa"/>
                  <w:vAlign w:val="center"/>
                </w:tcPr>
                <w:p>
                  <w:pPr>
                    <w:jc w:val="center"/>
                    <w:rPr>
                      <w:sz w:val="18"/>
                      <w:szCs w:val="18"/>
                    </w:rPr>
                  </w:pPr>
                  <w:r>
                    <w:rPr>
                      <w:sz w:val="18"/>
                      <w:szCs w:val="18"/>
                    </w:rPr>
                    <w:t>6kg/辆</w:t>
                  </w:r>
                </w:p>
              </w:tc>
              <w:tc>
                <w:tcPr>
                  <w:tcW w:w="1276" w:type="dxa"/>
                  <w:vAlign w:val="center"/>
                </w:tcPr>
                <w:p>
                  <w:pPr>
                    <w:jc w:val="center"/>
                    <w:rPr>
                      <w:sz w:val="18"/>
                      <w:szCs w:val="18"/>
                    </w:rPr>
                  </w:pPr>
                  <w:r>
                    <w:rPr>
                      <w:sz w:val="18"/>
                      <w:szCs w:val="18"/>
                    </w:rPr>
                    <w:t>6kg/辆</w:t>
                  </w:r>
                </w:p>
              </w:tc>
              <w:tc>
                <w:tcPr>
                  <w:tcW w:w="1275" w:type="dxa"/>
                  <w:vAlign w:val="center"/>
                </w:tcPr>
                <w:p>
                  <w:pPr>
                    <w:jc w:val="center"/>
                    <w:rPr>
                      <w:sz w:val="18"/>
                      <w:szCs w:val="18"/>
                    </w:rPr>
                  </w:pPr>
                  <w:r>
                    <w:rPr>
                      <w:sz w:val="18"/>
                      <w:szCs w:val="18"/>
                    </w:rPr>
                    <w:t>9kg/辆</w:t>
                  </w:r>
                </w:p>
              </w:tc>
              <w:tc>
                <w:tcPr>
                  <w:tcW w:w="1134" w:type="dxa"/>
                  <w:vAlign w:val="center"/>
                </w:tcPr>
                <w:p>
                  <w:pPr>
                    <w:jc w:val="center"/>
                    <w:rPr>
                      <w:sz w:val="18"/>
                      <w:szCs w:val="18"/>
                    </w:rPr>
                  </w:pPr>
                  <w:r>
                    <w:rPr>
                      <w:sz w:val="18"/>
                      <w:szCs w:val="18"/>
                    </w:rPr>
                    <w:t>12kg/辆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废防冻液</w:t>
                  </w:r>
                </w:p>
              </w:tc>
              <w:tc>
                <w:tcPr>
                  <w:tcW w:w="1158" w:type="dxa"/>
                  <w:vAlign w:val="center"/>
                </w:tcPr>
                <w:p>
                  <w:pPr>
                    <w:jc w:val="center"/>
                    <w:rPr>
                      <w:sz w:val="18"/>
                      <w:szCs w:val="18"/>
                    </w:rPr>
                  </w:pPr>
                  <w:r>
                    <w:rPr>
                      <w:sz w:val="18"/>
                      <w:szCs w:val="18"/>
                    </w:rPr>
                    <w:t>4kg/辆</w:t>
                  </w:r>
                </w:p>
              </w:tc>
              <w:tc>
                <w:tcPr>
                  <w:tcW w:w="1276" w:type="dxa"/>
                  <w:vAlign w:val="center"/>
                </w:tcPr>
                <w:p>
                  <w:pPr>
                    <w:jc w:val="center"/>
                    <w:rPr>
                      <w:sz w:val="18"/>
                      <w:szCs w:val="18"/>
                    </w:rPr>
                  </w:pPr>
                  <w:r>
                    <w:rPr>
                      <w:sz w:val="18"/>
                      <w:szCs w:val="18"/>
                    </w:rPr>
                    <w:t>4kg/辆</w:t>
                  </w:r>
                </w:p>
              </w:tc>
              <w:tc>
                <w:tcPr>
                  <w:tcW w:w="1275" w:type="dxa"/>
                  <w:vAlign w:val="center"/>
                </w:tcPr>
                <w:p>
                  <w:pPr>
                    <w:jc w:val="center"/>
                    <w:rPr>
                      <w:sz w:val="18"/>
                      <w:szCs w:val="18"/>
                    </w:rPr>
                  </w:pPr>
                  <w:r>
                    <w:rPr>
                      <w:sz w:val="18"/>
                      <w:szCs w:val="18"/>
                    </w:rPr>
                    <w:t>6kg/辆</w:t>
                  </w:r>
                </w:p>
              </w:tc>
              <w:tc>
                <w:tcPr>
                  <w:tcW w:w="1134" w:type="dxa"/>
                  <w:vAlign w:val="center"/>
                </w:tcPr>
                <w:p>
                  <w:pPr>
                    <w:jc w:val="center"/>
                    <w:rPr>
                      <w:sz w:val="18"/>
                      <w:szCs w:val="18"/>
                    </w:rPr>
                  </w:pPr>
                  <w:r>
                    <w:rPr>
                      <w:sz w:val="18"/>
                      <w:szCs w:val="18"/>
                    </w:rPr>
                    <w:t>8kg/辆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废制动液</w:t>
                  </w:r>
                </w:p>
              </w:tc>
              <w:tc>
                <w:tcPr>
                  <w:tcW w:w="1158" w:type="dxa"/>
                  <w:vAlign w:val="center"/>
                </w:tcPr>
                <w:p>
                  <w:pPr>
                    <w:jc w:val="center"/>
                    <w:rPr>
                      <w:sz w:val="18"/>
                      <w:szCs w:val="18"/>
                    </w:rPr>
                  </w:pPr>
                  <w:r>
                    <w:rPr>
                      <w:sz w:val="18"/>
                      <w:szCs w:val="18"/>
                    </w:rPr>
                    <w:t>0.5kg/辆</w:t>
                  </w:r>
                </w:p>
              </w:tc>
              <w:tc>
                <w:tcPr>
                  <w:tcW w:w="1276" w:type="dxa"/>
                  <w:vAlign w:val="center"/>
                </w:tcPr>
                <w:p>
                  <w:pPr>
                    <w:jc w:val="center"/>
                    <w:rPr>
                      <w:sz w:val="18"/>
                      <w:szCs w:val="18"/>
                    </w:rPr>
                  </w:pPr>
                  <w:r>
                    <w:rPr>
                      <w:sz w:val="18"/>
                      <w:szCs w:val="18"/>
                    </w:rPr>
                    <w:t>0.5kg/辆</w:t>
                  </w:r>
                </w:p>
              </w:tc>
              <w:tc>
                <w:tcPr>
                  <w:tcW w:w="1275" w:type="dxa"/>
                  <w:vAlign w:val="center"/>
                </w:tcPr>
                <w:p>
                  <w:pPr>
                    <w:jc w:val="center"/>
                    <w:rPr>
                      <w:sz w:val="18"/>
                      <w:szCs w:val="18"/>
                    </w:rPr>
                  </w:pPr>
                  <w:r>
                    <w:rPr>
                      <w:sz w:val="18"/>
                      <w:szCs w:val="18"/>
                    </w:rPr>
                    <w:t>0.8kg/辆</w:t>
                  </w:r>
                </w:p>
              </w:tc>
              <w:tc>
                <w:tcPr>
                  <w:tcW w:w="1134" w:type="dxa"/>
                  <w:vAlign w:val="center"/>
                </w:tcPr>
                <w:p>
                  <w:pPr>
                    <w:jc w:val="center"/>
                    <w:rPr>
                      <w:sz w:val="18"/>
                      <w:szCs w:val="18"/>
                    </w:rPr>
                  </w:pPr>
                  <w:r>
                    <w:rPr>
                      <w:sz w:val="18"/>
                      <w:szCs w:val="18"/>
                    </w:rPr>
                    <w:t>1kg/辆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油箱</w:t>
                  </w:r>
                </w:p>
              </w:tc>
              <w:tc>
                <w:tcPr>
                  <w:tcW w:w="1158" w:type="dxa"/>
                  <w:vAlign w:val="center"/>
                </w:tcPr>
                <w:p>
                  <w:pPr>
                    <w:jc w:val="center"/>
                    <w:rPr>
                      <w:sz w:val="18"/>
                      <w:szCs w:val="18"/>
                    </w:rPr>
                  </w:pPr>
                  <w:r>
                    <w:rPr>
                      <w:sz w:val="18"/>
                      <w:szCs w:val="18"/>
                    </w:rPr>
                    <w:t>5kg/辆</w:t>
                  </w:r>
                </w:p>
              </w:tc>
              <w:tc>
                <w:tcPr>
                  <w:tcW w:w="1276" w:type="dxa"/>
                  <w:vAlign w:val="center"/>
                </w:tcPr>
                <w:p>
                  <w:pPr>
                    <w:jc w:val="center"/>
                    <w:rPr>
                      <w:sz w:val="18"/>
                      <w:szCs w:val="18"/>
                    </w:rPr>
                  </w:pPr>
                  <w:r>
                    <w:rPr>
                      <w:sz w:val="18"/>
                      <w:szCs w:val="18"/>
                    </w:rPr>
                    <w:t>20kg/辆</w:t>
                  </w:r>
                </w:p>
              </w:tc>
              <w:tc>
                <w:tcPr>
                  <w:tcW w:w="1275" w:type="dxa"/>
                  <w:vAlign w:val="center"/>
                </w:tcPr>
                <w:p>
                  <w:pPr>
                    <w:jc w:val="center"/>
                    <w:rPr>
                      <w:sz w:val="18"/>
                      <w:szCs w:val="18"/>
                    </w:rPr>
                  </w:pPr>
                  <w:r>
                    <w:rPr>
                      <w:sz w:val="18"/>
                      <w:szCs w:val="18"/>
                    </w:rPr>
                    <w:t>30kg/辆</w:t>
                  </w:r>
                </w:p>
              </w:tc>
              <w:tc>
                <w:tcPr>
                  <w:tcW w:w="1134" w:type="dxa"/>
                  <w:vAlign w:val="center"/>
                </w:tcPr>
                <w:p>
                  <w:pPr>
                    <w:jc w:val="center"/>
                    <w:rPr>
                      <w:sz w:val="18"/>
                      <w:szCs w:val="18"/>
                    </w:rPr>
                  </w:pPr>
                  <w:r>
                    <w:rPr>
                      <w:sz w:val="18"/>
                      <w:szCs w:val="18"/>
                    </w:rPr>
                    <w:t>40kg/辆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废液化气罐</w:t>
                  </w:r>
                </w:p>
              </w:tc>
              <w:tc>
                <w:tcPr>
                  <w:tcW w:w="1158" w:type="dxa"/>
                  <w:vAlign w:val="center"/>
                </w:tcPr>
                <w:p>
                  <w:pPr>
                    <w:jc w:val="center"/>
                    <w:rPr>
                      <w:sz w:val="18"/>
                      <w:szCs w:val="18"/>
                    </w:rPr>
                  </w:pPr>
                  <w:r>
                    <w:rPr>
                      <w:sz w:val="18"/>
                      <w:szCs w:val="18"/>
                    </w:rPr>
                    <w:t>/</w:t>
                  </w:r>
                </w:p>
              </w:tc>
              <w:tc>
                <w:tcPr>
                  <w:tcW w:w="1276" w:type="dxa"/>
                  <w:vAlign w:val="center"/>
                </w:tcPr>
                <w:p>
                  <w:pPr>
                    <w:jc w:val="center"/>
                    <w:rPr>
                      <w:sz w:val="18"/>
                      <w:szCs w:val="18"/>
                    </w:rPr>
                  </w:pPr>
                  <w:r>
                    <w:rPr>
                      <w:sz w:val="18"/>
                      <w:szCs w:val="18"/>
                    </w:rPr>
                    <w:t>5kg/辆</w:t>
                  </w:r>
                </w:p>
              </w:tc>
              <w:tc>
                <w:tcPr>
                  <w:tcW w:w="1275" w:type="dxa"/>
                  <w:vAlign w:val="center"/>
                </w:tcPr>
                <w:p>
                  <w:pPr>
                    <w:jc w:val="center"/>
                    <w:rPr>
                      <w:sz w:val="18"/>
                      <w:szCs w:val="18"/>
                    </w:rPr>
                  </w:pPr>
                  <w:r>
                    <w:rPr>
                      <w:sz w:val="18"/>
                      <w:szCs w:val="18"/>
                    </w:rPr>
                    <w:t>6kg/辆</w:t>
                  </w:r>
                </w:p>
              </w:tc>
              <w:tc>
                <w:tcPr>
                  <w:tcW w:w="1134" w:type="dxa"/>
                  <w:vAlign w:val="center"/>
                </w:tcPr>
                <w:p>
                  <w:pPr>
                    <w:jc w:val="center"/>
                    <w:rPr>
                      <w:sz w:val="18"/>
                      <w:szCs w:val="18"/>
                    </w:rPr>
                  </w:pPr>
                  <w:r>
                    <w:rPr>
                      <w:sz w:val="18"/>
                      <w:szCs w:val="18"/>
                    </w:rPr>
                    <w:t>7kg/辆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尾气催化剂</w:t>
                  </w:r>
                </w:p>
              </w:tc>
              <w:tc>
                <w:tcPr>
                  <w:tcW w:w="1158" w:type="dxa"/>
                  <w:vAlign w:val="center"/>
                </w:tcPr>
                <w:p>
                  <w:pPr>
                    <w:jc w:val="center"/>
                    <w:rPr>
                      <w:sz w:val="18"/>
                      <w:szCs w:val="18"/>
                    </w:rPr>
                  </w:pPr>
                  <w:r>
                    <w:rPr>
                      <w:sz w:val="18"/>
                      <w:szCs w:val="18"/>
                    </w:rPr>
                    <w:t>1.25kg/辆</w:t>
                  </w:r>
                </w:p>
              </w:tc>
              <w:tc>
                <w:tcPr>
                  <w:tcW w:w="1276" w:type="dxa"/>
                  <w:vAlign w:val="center"/>
                </w:tcPr>
                <w:p>
                  <w:pPr>
                    <w:jc w:val="center"/>
                    <w:rPr>
                      <w:sz w:val="18"/>
                      <w:szCs w:val="18"/>
                    </w:rPr>
                  </w:pPr>
                  <w:r>
                    <w:rPr>
                      <w:sz w:val="18"/>
                      <w:szCs w:val="18"/>
                    </w:rPr>
                    <w:t>1.25kg/辆</w:t>
                  </w:r>
                </w:p>
              </w:tc>
              <w:tc>
                <w:tcPr>
                  <w:tcW w:w="1275" w:type="dxa"/>
                  <w:vAlign w:val="center"/>
                </w:tcPr>
                <w:p>
                  <w:pPr>
                    <w:jc w:val="center"/>
                    <w:rPr>
                      <w:sz w:val="18"/>
                      <w:szCs w:val="18"/>
                    </w:rPr>
                  </w:pPr>
                  <w:r>
                    <w:rPr>
                      <w:sz w:val="18"/>
                      <w:szCs w:val="18"/>
                    </w:rPr>
                    <w:t>4kg/辆</w:t>
                  </w:r>
                </w:p>
              </w:tc>
              <w:tc>
                <w:tcPr>
                  <w:tcW w:w="1134" w:type="dxa"/>
                  <w:vAlign w:val="center"/>
                </w:tcPr>
                <w:p>
                  <w:pPr>
                    <w:jc w:val="center"/>
                    <w:rPr>
                      <w:sz w:val="18"/>
                      <w:szCs w:val="18"/>
                    </w:rPr>
                  </w:pPr>
                  <w:r>
                    <w:rPr>
                      <w:sz w:val="18"/>
                      <w:szCs w:val="18"/>
                    </w:rPr>
                    <w:t>6kg/辆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电容器</w:t>
                  </w:r>
                </w:p>
              </w:tc>
              <w:tc>
                <w:tcPr>
                  <w:tcW w:w="1158" w:type="dxa"/>
                  <w:vAlign w:val="center"/>
                </w:tcPr>
                <w:p>
                  <w:pPr>
                    <w:jc w:val="center"/>
                    <w:rPr>
                      <w:sz w:val="18"/>
                      <w:szCs w:val="18"/>
                    </w:rPr>
                  </w:pPr>
                  <w:r>
                    <w:rPr>
                      <w:sz w:val="18"/>
                      <w:szCs w:val="18"/>
                    </w:rPr>
                    <w:t>2.5kg/辆</w:t>
                  </w:r>
                </w:p>
              </w:tc>
              <w:tc>
                <w:tcPr>
                  <w:tcW w:w="1276" w:type="dxa"/>
                  <w:vAlign w:val="center"/>
                </w:tcPr>
                <w:p>
                  <w:pPr>
                    <w:jc w:val="center"/>
                    <w:rPr>
                      <w:sz w:val="18"/>
                      <w:szCs w:val="18"/>
                    </w:rPr>
                  </w:pPr>
                  <w:r>
                    <w:rPr>
                      <w:sz w:val="18"/>
                      <w:szCs w:val="18"/>
                    </w:rPr>
                    <w:t>2.5kg/辆</w:t>
                  </w:r>
                </w:p>
              </w:tc>
              <w:tc>
                <w:tcPr>
                  <w:tcW w:w="1275" w:type="dxa"/>
                  <w:vAlign w:val="center"/>
                </w:tcPr>
                <w:p>
                  <w:pPr>
                    <w:jc w:val="center"/>
                    <w:rPr>
                      <w:sz w:val="18"/>
                      <w:szCs w:val="18"/>
                    </w:rPr>
                  </w:pPr>
                  <w:r>
                    <w:rPr>
                      <w:sz w:val="18"/>
                      <w:szCs w:val="18"/>
                    </w:rPr>
                    <w:t>7kg/辆</w:t>
                  </w:r>
                </w:p>
              </w:tc>
              <w:tc>
                <w:tcPr>
                  <w:tcW w:w="1134" w:type="dxa"/>
                  <w:vAlign w:val="center"/>
                </w:tcPr>
                <w:p>
                  <w:pPr>
                    <w:jc w:val="center"/>
                    <w:rPr>
                      <w:sz w:val="18"/>
                      <w:szCs w:val="18"/>
                    </w:rPr>
                  </w:pPr>
                  <w:r>
                    <w:rPr>
                      <w:sz w:val="18"/>
                      <w:szCs w:val="18"/>
                    </w:rPr>
                    <w:t>11kg/辆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机油滤清器</w:t>
                  </w:r>
                </w:p>
              </w:tc>
              <w:tc>
                <w:tcPr>
                  <w:tcW w:w="1158" w:type="dxa"/>
                  <w:vAlign w:val="center"/>
                </w:tcPr>
                <w:p>
                  <w:pPr>
                    <w:jc w:val="center"/>
                    <w:rPr>
                      <w:sz w:val="18"/>
                      <w:szCs w:val="18"/>
                    </w:rPr>
                  </w:pPr>
                  <w:r>
                    <w:rPr>
                      <w:sz w:val="18"/>
                      <w:szCs w:val="18"/>
                    </w:rPr>
                    <w:t>0.1kg/辆</w:t>
                  </w:r>
                </w:p>
              </w:tc>
              <w:tc>
                <w:tcPr>
                  <w:tcW w:w="1276" w:type="dxa"/>
                  <w:vAlign w:val="center"/>
                </w:tcPr>
                <w:p>
                  <w:pPr>
                    <w:jc w:val="center"/>
                    <w:rPr>
                      <w:sz w:val="18"/>
                      <w:szCs w:val="18"/>
                    </w:rPr>
                  </w:pPr>
                  <w:r>
                    <w:rPr>
                      <w:sz w:val="18"/>
                      <w:szCs w:val="18"/>
                    </w:rPr>
                    <w:t>0.3 kg/辆</w:t>
                  </w:r>
                </w:p>
              </w:tc>
              <w:tc>
                <w:tcPr>
                  <w:tcW w:w="1275" w:type="dxa"/>
                  <w:vAlign w:val="center"/>
                </w:tcPr>
                <w:p>
                  <w:pPr>
                    <w:jc w:val="center"/>
                    <w:rPr>
                      <w:sz w:val="18"/>
                      <w:szCs w:val="18"/>
                    </w:rPr>
                  </w:pPr>
                  <w:r>
                    <w:rPr>
                      <w:sz w:val="18"/>
                      <w:szCs w:val="18"/>
                    </w:rPr>
                    <w:t>0.4 kg/辆</w:t>
                  </w:r>
                </w:p>
              </w:tc>
              <w:tc>
                <w:tcPr>
                  <w:tcW w:w="1134" w:type="dxa"/>
                  <w:vAlign w:val="center"/>
                </w:tcPr>
                <w:p>
                  <w:pPr>
                    <w:jc w:val="center"/>
                    <w:rPr>
                      <w:sz w:val="18"/>
                      <w:szCs w:val="18"/>
                    </w:rPr>
                  </w:pPr>
                  <w:r>
                    <w:rPr>
                      <w:sz w:val="18"/>
                      <w:szCs w:val="18"/>
                    </w:rPr>
                    <w:t>0.5 kg/辆</w:t>
                  </w:r>
                </w:p>
              </w:tc>
              <w:tc>
                <w:tcPr>
                  <w:tcW w:w="1287" w:type="dxa"/>
                  <w:vAlign w:val="center"/>
                </w:tcPr>
                <w:p>
                  <w:pPr>
                    <w:autoSpaceDE w:val="0"/>
                    <w:autoSpaceDN w:val="0"/>
                    <w:adjustRightInd w:val="0"/>
                    <w:jc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废电子部件</w:t>
                  </w:r>
                </w:p>
              </w:tc>
              <w:tc>
                <w:tcPr>
                  <w:tcW w:w="1158" w:type="dxa"/>
                  <w:vAlign w:val="center"/>
                </w:tcPr>
                <w:p>
                  <w:pPr>
                    <w:jc w:val="center"/>
                    <w:rPr>
                      <w:sz w:val="18"/>
                      <w:szCs w:val="18"/>
                    </w:rPr>
                  </w:pPr>
                  <w:r>
                    <w:rPr>
                      <w:sz w:val="18"/>
                      <w:szCs w:val="18"/>
                    </w:rPr>
                    <w:t>15kg/辆</w:t>
                  </w:r>
                </w:p>
              </w:tc>
              <w:tc>
                <w:tcPr>
                  <w:tcW w:w="1276" w:type="dxa"/>
                  <w:vAlign w:val="center"/>
                </w:tcPr>
                <w:p>
                  <w:pPr>
                    <w:jc w:val="center"/>
                    <w:rPr>
                      <w:sz w:val="18"/>
                      <w:szCs w:val="18"/>
                    </w:rPr>
                  </w:pPr>
                  <w:r>
                    <w:rPr>
                      <w:sz w:val="18"/>
                      <w:szCs w:val="18"/>
                    </w:rPr>
                    <w:t>15kg/辆</w:t>
                  </w:r>
                </w:p>
              </w:tc>
              <w:tc>
                <w:tcPr>
                  <w:tcW w:w="1275" w:type="dxa"/>
                  <w:vAlign w:val="center"/>
                </w:tcPr>
                <w:p>
                  <w:pPr>
                    <w:jc w:val="center"/>
                    <w:rPr>
                      <w:sz w:val="18"/>
                      <w:szCs w:val="18"/>
                    </w:rPr>
                  </w:pPr>
                  <w:r>
                    <w:rPr>
                      <w:sz w:val="18"/>
                      <w:szCs w:val="18"/>
                    </w:rPr>
                    <w:t>40kg/辆</w:t>
                  </w:r>
                </w:p>
              </w:tc>
              <w:tc>
                <w:tcPr>
                  <w:tcW w:w="1134" w:type="dxa"/>
                  <w:vAlign w:val="center"/>
                </w:tcPr>
                <w:p>
                  <w:pPr>
                    <w:jc w:val="center"/>
                    <w:rPr>
                      <w:sz w:val="18"/>
                      <w:szCs w:val="18"/>
                    </w:rPr>
                  </w:pPr>
                  <w:r>
                    <w:rPr>
                      <w:sz w:val="18"/>
                      <w:szCs w:val="18"/>
                    </w:rPr>
                    <w:t>60kg/辆</w:t>
                  </w:r>
                </w:p>
              </w:tc>
              <w:tc>
                <w:tcPr>
                  <w:tcW w:w="1287" w:type="dxa"/>
                  <w:vAlign w:val="center"/>
                </w:tcPr>
                <w:p>
                  <w:pPr>
                    <w:autoSpaceDE w:val="0"/>
                    <w:autoSpaceDN w:val="0"/>
                    <w:adjustRightInd w:val="0"/>
                    <w:jc w:val="center"/>
                    <w:rPr>
                      <w:kern w:val="0"/>
                      <w:sz w:val="18"/>
                      <w:szCs w:val="18"/>
                    </w:rPr>
                  </w:pPr>
                  <w:r>
                    <w:rPr>
                      <w:kern w:val="0"/>
                      <w:sz w:val="18"/>
                      <w:szCs w:val="18"/>
                    </w:rPr>
                    <w:t>拆转向锁总成、停车装置、倒车雷达、电子控制模块等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01" w:type="dxa"/>
                  <w:vMerge w:val="continue"/>
                  <w:vAlign w:val="center"/>
                </w:tcPr>
                <w:p>
                  <w:pPr>
                    <w:autoSpaceDE w:val="0"/>
                    <w:autoSpaceDN w:val="0"/>
                    <w:adjustRightInd w:val="0"/>
                    <w:jc w:val="center"/>
                    <w:rPr>
                      <w:kern w:val="0"/>
                      <w:sz w:val="18"/>
                      <w:szCs w:val="18"/>
                    </w:rPr>
                  </w:pPr>
                </w:p>
              </w:tc>
              <w:tc>
                <w:tcPr>
                  <w:tcW w:w="1474" w:type="dxa"/>
                  <w:vAlign w:val="center"/>
                </w:tcPr>
                <w:p>
                  <w:pPr>
                    <w:autoSpaceDE w:val="0"/>
                    <w:autoSpaceDN w:val="0"/>
                    <w:adjustRightInd w:val="0"/>
                    <w:jc w:val="center"/>
                    <w:rPr>
                      <w:kern w:val="0"/>
                      <w:sz w:val="18"/>
                      <w:szCs w:val="18"/>
                    </w:rPr>
                  </w:pPr>
                  <w:r>
                    <w:rPr>
                      <w:kern w:val="0"/>
                      <w:sz w:val="18"/>
                      <w:szCs w:val="18"/>
                    </w:rPr>
                    <w:t>其它废物</w:t>
                  </w:r>
                </w:p>
              </w:tc>
              <w:tc>
                <w:tcPr>
                  <w:tcW w:w="1158" w:type="dxa"/>
                  <w:vAlign w:val="center"/>
                </w:tcPr>
                <w:p>
                  <w:pPr>
                    <w:jc w:val="center"/>
                    <w:rPr>
                      <w:sz w:val="18"/>
                      <w:szCs w:val="18"/>
                    </w:rPr>
                  </w:pPr>
                  <w:r>
                    <w:rPr>
                      <w:sz w:val="18"/>
                      <w:szCs w:val="18"/>
                    </w:rPr>
                    <w:t>52.05kg/辆</w:t>
                  </w:r>
                </w:p>
              </w:tc>
              <w:tc>
                <w:tcPr>
                  <w:tcW w:w="1276" w:type="dxa"/>
                  <w:vAlign w:val="center"/>
                </w:tcPr>
                <w:p>
                  <w:pPr>
                    <w:jc w:val="center"/>
                    <w:rPr>
                      <w:sz w:val="18"/>
                      <w:szCs w:val="18"/>
                    </w:rPr>
                  </w:pPr>
                  <w:r>
                    <w:rPr>
                      <w:sz w:val="18"/>
                      <w:szCs w:val="18"/>
                    </w:rPr>
                    <w:t>73.75kg/辆</w:t>
                  </w:r>
                </w:p>
              </w:tc>
              <w:tc>
                <w:tcPr>
                  <w:tcW w:w="1275" w:type="dxa"/>
                  <w:vAlign w:val="center"/>
                </w:tcPr>
                <w:p>
                  <w:pPr>
                    <w:jc w:val="center"/>
                    <w:rPr>
                      <w:sz w:val="18"/>
                      <w:szCs w:val="18"/>
                    </w:rPr>
                  </w:pPr>
                  <w:r>
                    <w:rPr>
                      <w:sz w:val="18"/>
                      <w:szCs w:val="18"/>
                    </w:rPr>
                    <w:t>44.2kg/辆</w:t>
                  </w:r>
                </w:p>
              </w:tc>
              <w:tc>
                <w:tcPr>
                  <w:tcW w:w="1134" w:type="dxa"/>
                  <w:vAlign w:val="center"/>
                </w:tcPr>
                <w:p>
                  <w:pPr>
                    <w:jc w:val="center"/>
                    <w:rPr>
                      <w:sz w:val="18"/>
                      <w:szCs w:val="18"/>
                    </w:rPr>
                  </w:pPr>
                  <w:r>
                    <w:rPr>
                      <w:sz w:val="18"/>
                      <w:szCs w:val="18"/>
                    </w:rPr>
                    <w:t>111.5kg/辆</w:t>
                  </w:r>
                </w:p>
              </w:tc>
              <w:tc>
                <w:tcPr>
                  <w:tcW w:w="1287" w:type="dxa"/>
                  <w:vAlign w:val="center"/>
                </w:tcPr>
                <w:p>
                  <w:pPr>
                    <w:autoSpaceDE w:val="0"/>
                    <w:autoSpaceDN w:val="0"/>
                    <w:adjustRightInd w:val="0"/>
                    <w:jc w:val="center"/>
                    <w:rPr>
                      <w:kern w:val="0"/>
                      <w:sz w:val="18"/>
                      <w:szCs w:val="18"/>
                    </w:rPr>
                  </w:pPr>
                  <w:r>
                    <w:rPr>
                      <w:kern w:val="0"/>
                      <w:sz w:val="18"/>
                      <w:szCs w:val="18"/>
                    </w:rPr>
                    <w:t>主要为引爆后的安全气囊、陶瓷、泡沫、装饰材料、碎玻璃</w:t>
                  </w:r>
                  <w:r>
                    <w:rPr>
                      <w:rFonts w:hint="eastAsia"/>
                      <w:kern w:val="0"/>
                      <w:sz w:val="18"/>
                      <w:szCs w:val="18"/>
                    </w:rPr>
                    <w:t>、含汞光源、废石棉片</w:t>
                  </w:r>
                  <w:r>
                    <w:rPr>
                      <w:kern w:val="0"/>
                      <w:sz w:val="18"/>
                      <w:szCs w:val="18"/>
                    </w:rPr>
                    <w:t>等</w:t>
                  </w:r>
                </w:p>
              </w:tc>
            </w:tr>
          </w:tbl>
          <w:p>
            <w:pPr>
              <w:adjustRightInd w:val="0"/>
              <w:spacing w:line="480" w:lineRule="exact"/>
              <w:ind w:firstLine="480" w:firstLineChars="200"/>
              <w:rPr>
                <w:kern w:val="0"/>
                <w:sz w:val="24"/>
              </w:rPr>
            </w:pPr>
            <w:r>
              <w:rPr>
                <w:kern w:val="0"/>
                <w:sz w:val="24"/>
              </w:rPr>
              <w:t>（2）汽车拆解物料平衡分析</w:t>
            </w:r>
          </w:p>
          <w:p>
            <w:pPr>
              <w:adjustRightInd w:val="0"/>
              <w:spacing w:line="480" w:lineRule="exact"/>
              <w:ind w:firstLine="480" w:firstLineChars="200"/>
              <w:rPr>
                <w:kern w:val="0"/>
                <w:sz w:val="24"/>
              </w:rPr>
            </w:pPr>
            <w:r>
              <w:rPr>
                <w:kern w:val="0"/>
                <w:sz w:val="24"/>
              </w:rPr>
              <w:fldChar w:fldCharType="begin"/>
            </w:r>
            <w:r>
              <w:rPr>
                <w:kern w:val="0"/>
                <w:sz w:val="24"/>
              </w:rPr>
              <w:instrText xml:space="preserve"> = 1 \* GB3 \* MERGEFORMAT </w:instrText>
            </w:r>
            <w:r>
              <w:rPr>
                <w:kern w:val="0"/>
                <w:sz w:val="24"/>
              </w:rPr>
              <w:fldChar w:fldCharType="separate"/>
            </w:r>
            <w:r>
              <w:rPr>
                <w:rFonts w:hint="eastAsia" w:ascii="宋体" w:hAnsi="宋体" w:cs="宋体"/>
                <w:sz w:val="24"/>
              </w:rPr>
              <w:t>①</w:t>
            </w:r>
            <w:r>
              <w:rPr>
                <w:kern w:val="0"/>
                <w:sz w:val="24"/>
              </w:rPr>
              <w:fldChar w:fldCharType="end"/>
            </w:r>
            <w:r>
              <w:rPr>
                <w:rFonts w:hint="eastAsia"/>
                <w:kern w:val="0"/>
                <w:sz w:val="24"/>
              </w:rPr>
              <w:t>电动汽车</w:t>
            </w:r>
          </w:p>
          <w:p>
            <w:pPr>
              <w:adjustRightInd w:val="0"/>
              <w:spacing w:line="480" w:lineRule="exact"/>
              <w:ind w:firstLine="480" w:firstLineChars="200"/>
              <w:rPr>
                <w:kern w:val="0"/>
                <w:sz w:val="24"/>
              </w:rPr>
            </w:pPr>
            <w:r>
              <w:rPr>
                <w:kern w:val="0"/>
                <w:sz w:val="24"/>
              </w:rPr>
              <w:t>本项目年拆解报废</w:t>
            </w:r>
            <w:r>
              <w:rPr>
                <w:rFonts w:hint="eastAsia"/>
                <w:kern w:val="0"/>
                <w:sz w:val="24"/>
              </w:rPr>
              <w:t>电动</w:t>
            </w:r>
            <w:r>
              <w:rPr>
                <w:kern w:val="0"/>
                <w:sz w:val="24"/>
              </w:rPr>
              <w:t>汽车约7500辆，根据年拆解量及拆解数据进行估算，项目报废</w:t>
            </w:r>
            <w:r>
              <w:rPr>
                <w:rFonts w:hint="eastAsia"/>
                <w:kern w:val="0"/>
                <w:sz w:val="24"/>
              </w:rPr>
              <w:t>电动</w:t>
            </w:r>
            <w:r>
              <w:rPr>
                <w:kern w:val="0"/>
                <w:sz w:val="24"/>
              </w:rPr>
              <w:t>汽车拆解线物料平衡一览表见</w:t>
            </w:r>
            <w:r>
              <w:rPr>
                <w:sz w:val="24"/>
              </w:rPr>
              <w:t>表</w:t>
            </w:r>
            <w:r>
              <w:rPr>
                <w:kern w:val="0"/>
                <w:sz w:val="24"/>
              </w:rPr>
              <w:t>2.1.9</w:t>
            </w:r>
            <w:r>
              <w:rPr>
                <w:rFonts w:hint="eastAsia"/>
                <w:kern w:val="0"/>
                <w:sz w:val="24"/>
              </w:rPr>
              <w:t>-</w:t>
            </w:r>
            <w:r>
              <w:rPr>
                <w:kern w:val="0"/>
                <w:sz w:val="24"/>
              </w:rPr>
              <w:t>2。</w:t>
            </w:r>
          </w:p>
          <w:p>
            <w:pPr>
              <w:spacing w:line="460" w:lineRule="exact"/>
              <w:jc w:val="center"/>
              <w:rPr>
                <w:sz w:val="18"/>
                <w:szCs w:val="18"/>
              </w:rPr>
            </w:pPr>
            <w:r>
              <w:rPr>
                <w:sz w:val="18"/>
                <w:szCs w:val="18"/>
              </w:rPr>
              <w:t>表2.1.9</w:t>
            </w:r>
            <w:r>
              <w:rPr>
                <w:rFonts w:hint="eastAsia"/>
                <w:sz w:val="18"/>
                <w:szCs w:val="18"/>
              </w:rPr>
              <w:t>-</w:t>
            </w:r>
            <w:r>
              <w:rPr>
                <w:sz w:val="18"/>
                <w:szCs w:val="18"/>
              </w:rPr>
              <w:t xml:space="preserve">2 </w:t>
            </w:r>
            <w:r>
              <w:rPr>
                <w:rFonts w:hint="eastAsia"/>
                <w:sz w:val="18"/>
                <w:szCs w:val="18"/>
              </w:rPr>
              <w:t>报废电动汽车</w:t>
            </w:r>
            <w:r>
              <w:rPr>
                <w:sz w:val="18"/>
                <w:szCs w:val="18"/>
              </w:rPr>
              <w:t>拆解线物料平衡一览表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929"/>
              <w:gridCol w:w="608"/>
              <w:gridCol w:w="908"/>
              <w:gridCol w:w="1541"/>
              <w:gridCol w:w="1159"/>
              <w:gridCol w:w="42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Align w:val="center"/>
                </w:tcPr>
                <w:p>
                  <w:pPr>
                    <w:overflowPunct w:val="0"/>
                    <w:jc w:val="center"/>
                    <w:rPr>
                      <w:kern w:val="0"/>
                      <w:sz w:val="18"/>
                      <w:szCs w:val="18"/>
                    </w:rPr>
                  </w:pPr>
                  <w:r>
                    <w:rPr>
                      <w:kern w:val="0"/>
                      <w:sz w:val="18"/>
                      <w:szCs w:val="18"/>
                    </w:rPr>
                    <w:t>名称</w:t>
                  </w:r>
                </w:p>
              </w:tc>
              <w:tc>
                <w:tcPr>
                  <w:tcW w:w="929" w:type="dxa"/>
                  <w:vAlign w:val="center"/>
                </w:tcPr>
                <w:p>
                  <w:pPr>
                    <w:overflowPunct w:val="0"/>
                    <w:jc w:val="center"/>
                    <w:rPr>
                      <w:kern w:val="0"/>
                      <w:sz w:val="18"/>
                      <w:szCs w:val="18"/>
                    </w:rPr>
                  </w:pPr>
                  <w:r>
                    <w:rPr>
                      <w:kern w:val="0"/>
                      <w:sz w:val="18"/>
                      <w:szCs w:val="18"/>
                    </w:rPr>
                    <w:t>投入量（t/a）</w:t>
                  </w:r>
                </w:p>
              </w:tc>
              <w:tc>
                <w:tcPr>
                  <w:tcW w:w="3057" w:type="dxa"/>
                  <w:gridSpan w:val="3"/>
                  <w:vAlign w:val="center"/>
                </w:tcPr>
                <w:p>
                  <w:pPr>
                    <w:overflowPunct w:val="0"/>
                    <w:jc w:val="center"/>
                    <w:rPr>
                      <w:kern w:val="0"/>
                      <w:sz w:val="18"/>
                      <w:szCs w:val="18"/>
                    </w:rPr>
                  </w:pPr>
                  <w:r>
                    <w:rPr>
                      <w:kern w:val="0"/>
                      <w:sz w:val="18"/>
                      <w:szCs w:val="18"/>
                    </w:rPr>
                    <w:t>名称</w:t>
                  </w:r>
                </w:p>
              </w:tc>
              <w:tc>
                <w:tcPr>
                  <w:tcW w:w="1159" w:type="dxa"/>
                  <w:vAlign w:val="center"/>
                </w:tcPr>
                <w:p>
                  <w:pPr>
                    <w:overflowPunct w:val="0"/>
                    <w:jc w:val="center"/>
                    <w:rPr>
                      <w:kern w:val="0"/>
                      <w:sz w:val="18"/>
                      <w:szCs w:val="18"/>
                    </w:rPr>
                  </w:pPr>
                  <w:r>
                    <w:rPr>
                      <w:kern w:val="0"/>
                      <w:sz w:val="18"/>
                      <w:szCs w:val="18"/>
                    </w:rPr>
                    <w:t>产出量（t/a）</w:t>
                  </w:r>
                </w:p>
              </w:tc>
              <w:tc>
                <w:tcPr>
                  <w:tcW w:w="428" w:type="dxa"/>
                  <w:vAlign w:val="center"/>
                </w:tcPr>
                <w:p>
                  <w:pPr>
                    <w:overflowPunct w:val="0"/>
                    <w:jc w:val="center"/>
                    <w:rPr>
                      <w:kern w:val="0"/>
                      <w:sz w:val="18"/>
                      <w:szCs w:val="18"/>
                    </w:rPr>
                  </w:pPr>
                  <w:r>
                    <w:rPr>
                      <w:kern w:val="0"/>
                      <w:sz w:val="18"/>
                      <w:szCs w:val="18"/>
                    </w:rPr>
                    <w:t>种类</w:t>
                  </w:r>
                </w:p>
              </w:tc>
              <w:tc>
                <w:tcPr>
                  <w:tcW w:w="1073" w:type="dxa"/>
                  <w:vAlign w:val="center"/>
                </w:tcPr>
                <w:p>
                  <w:pPr>
                    <w:overflowPunct w:val="0"/>
                    <w:jc w:val="center"/>
                    <w:rPr>
                      <w:kern w:val="0"/>
                      <w:sz w:val="18"/>
                      <w:szCs w:val="18"/>
                    </w:rPr>
                  </w:pPr>
                  <w:r>
                    <w:rPr>
                      <w:kern w:val="0"/>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restart"/>
                  <w:vAlign w:val="center"/>
                </w:tcPr>
                <w:p>
                  <w:pPr>
                    <w:overflowPunct w:val="0"/>
                    <w:jc w:val="center"/>
                    <w:rPr>
                      <w:kern w:val="0"/>
                      <w:sz w:val="18"/>
                      <w:szCs w:val="18"/>
                    </w:rPr>
                  </w:pPr>
                  <w:r>
                    <w:rPr>
                      <w:kern w:val="0"/>
                      <w:sz w:val="18"/>
                      <w:szCs w:val="18"/>
                    </w:rPr>
                    <w:t>小型报废汽车（1.8t/辆，拆解量7500辆/年）</w:t>
                  </w:r>
                </w:p>
              </w:tc>
              <w:tc>
                <w:tcPr>
                  <w:tcW w:w="929" w:type="dxa"/>
                  <w:vMerge w:val="restart"/>
                  <w:vAlign w:val="center"/>
                </w:tcPr>
                <w:p>
                  <w:pPr>
                    <w:overflowPunct w:val="0"/>
                    <w:jc w:val="center"/>
                    <w:rPr>
                      <w:kern w:val="0"/>
                      <w:sz w:val="18"/>
                      <w:szCs w:val="18"/>
                    </w:rPr>
                  </w:pPr>
                  <w:r>
                    <w:rPr>
                      <w:kern w:val="0"/>
                      <w:sz w:val="18"/>
                      <w:szCs w:val="18"/>
                    </w:rPr>
                    <w:t>13500</w:t>
                  </w:r>
                </w:p>
              </w:tc>
              <w:tc>
                <w:tcPr>
                  <w:tcW w:w="3057" w:type="dxa"/>
                  <w:gridSpan w:val="3"/>
                  <w:vAlign w:val="center"/>
                </w:tcPr>
                <w:p>
                  <w:pPr>
                    <w:overflowPunct w:val="0"/>
                    <w:jc w:val="center"/>
                    <w:rPr>
                      <w:kern w:val="0"/>
                      <w:sz w:val="18"/>
                      <w:szCs w:val="18"/>
                    </w:rPr>
                  </w:pPr>
                  <w:r>
                    <w:rPr>
                      <w:kern w:val="0"/>
                      <w:sz w:val="18"/>
                      <w:szCs w:val="18"/>
                    </w:rPr>
                    <w:t>钢铁</w:t>
                  </w:r>
                </w:p>
              </w:tc>
              <w:tc>
                <w:tcPr>
                  <w:tcW w:w="1159" w:type="dxa"/>
                  <w:vAlign w:val="center"/>
                </w:tcPr>
                <w:p>
                  <w:pPr>
                    <w:widowControl/>
                    <w:jc w:val="center"/>
                    <w:rPr>
                      <w:kern w:val="0"/>
                      <w:sz w:val="18"/>
                      <w:szCs w:val="18"/>
                    </w:rPr>
                  </w:pPr>
                  <w:r>
                    <w:rPr>
                      <w:sz w:val="18"/>
                      <w:szCs w:val="18"/>
                    </w:rPr>
                    <w:t>7290</w:t>
                  </w:r>
                </w:p>
              </w:tc>
              <w:tc>
                <w:tcPr>
                  <w:tcW w:w="428" w:type="dxa"/>
                  <w:vMerge w:val="restart"/>
                  <w:vAlign w:val="center"/>
                </w:tcPr>
                <w:p>
                  <w:pPr>
                    <w:overflowPunct w:val="0"/>
                    <w:jc w:val="center"/>
                    <w:rPr>
                      <w:kern w:val="0"/>
                      <w:sz w:val="18"/>
                      <w:szCs w:val="18"/>
                    </w:rPr>
                  </w:pPr>
                  <w:r>
                    <w:rPr>
                      <w:kern w:val="0"/>
                      <w:sz w:val="18"/>
                      <w:szCs w:val="18"/>
                    </w:rPr>
                    <w:t>产品</w:t>
                  </w:r>
                </w:p>
              </w:tc>
              <w:tc>
                <w:tcPr>
                  <w:tcW w:w="1073" w:type="dxa"/>
                  <w:vMerge w:val="restart"/>
                  <w:vAlign w:val="center"/>
                </w:tcPr>
                <w:p>
                  <w:pPr>
                    <w:overflowPunct w:val="0"/>
                    <w:jc w:val="center"/>
                    <w:rPr>
                      <w:kern w:val="0"/>
                      <w:sz w:val="18"/>
                      <w:szCs w:val="18"/>
                    </w:rPr>
                  </w:pPr>
                  <w:r>
                    <w:rPr>
                      <w:kern w:val="0"/>
                      <w:sz w:val="18"/>
                      <w:szCs w:val="18"/>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1516" w:type="dxa"/>
                  <w:gridSpan w:val="2"/>
                  <w:vMerge w:val="restart"/>
                  <w:vAlign w:val="center"/>
                </w:tcPr>
                <w:p>
                  <w:pPr>
                    <w:overflowPunct w:val="0"/>
                    <w:jc w:val="center"/>
                    <w:rPr>
                      <w:kern w:val="0"/>
                      <w:sz w:val="18"/>
                      <w:szCs w:val="18"/>
                    </w:rPr>
                  </w:pPr>
                  <w:r>
                    <w:rPr>
                      <w:kern w:val="0"/>
                      <w:sz w:val="18"/>
                      <w:szCs w:val="18"/>
                    </w:rPr>
                    <w:t>有色金属</w:t>
                  </w:r>
                </w:p>
              </w:tc>
              <w:tc>
                <w:tcPr>
                  <w:tcW w:w="1541" w:type="dxa"/>
                  <w:vAlign w:val="center"/>
                </w:tcPr>
                <w:p>
                  <w:pPr>
                    <w:overflowPunct w:val="0"/>
                    <w:jc w:val="center"/>
                    <w:rPr>
                      <w:kern w:val="0"/>
                      <w:sz w:val="18"/>
                      <w:szCs w:val="18"/>
                    </w:rPr>
                  </w:pPr>
                  <w:r>
                    <w:rPr>
                      <w:kern w:val="0"/>
                      <w:sz w:val="18"/>
                      <w:szCs w:val="18"/>
                    </w:rPr>
                    <w:t>铝</w:t>
                  </w:r>
                </w:p>
              </w:tc>
              <w:tc>
                <w:tcPr>
                  <w:tcW w:w="1159" w:type="dxa"/>
                  <w:vAlign w:val="center"/>
                </w:tcPr>
                <w:p>
                  <w:pPr>
                    <w:widowControl/>
                    <w:jc w:val="center"/>
                    <w:rPr>
                      <w:kern w:val="0"/>
                      <w:sz w:val="18"/>
                      <w:szCs w:val="18"/>
                    </w:rPr>
                  </w:pPr>
                  <w:r>
                    <w:rPr>
                      <w:sz w:val="18"/>
                      <w:szCs w:val="18"/>
                    </w:rPr>
                    <w:t>383.4</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1516" w:type="dxa"/>
                  <w:gridSpan w:val="2"/>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铜</w:t>
                  </w:r>
                </w:p>
              </w:tc>
              <w:tc>
                <w:tcPr>
                  <w:tcW w:w="1159" w:type="dxa"/>
                  <w:vAlign w:val="center"/>
                </w:tcPr>
                <w:p>
                  <w:pPr>
                    <w:jc w:val="center"/>
                    <w:rPr>
                      <w:sz w:val="18"/>
                      <w:szCs w:val="18"/>
                    </w:rPr>
                  </w:pPr>
                  <w:r>
                    <w:rPr>
                      <w:sz w:val="18"/>
                      <w:szCs w:val="18"/>
                    </w:rPr>
                    <w:t>113.4</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1516" w:type="dxa"/>
                  <w:gridSpan w:val="2"/>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其它</w:t>
                  </w:r>
                </w:p>
              </w:tc>
              <w:tc>
                <w:tcPr>
                  <w:tcW w:w="1159" w:type="dxa"/>
                  <w:vAlign w:val="center"/>
                </w:tcPr>
                <w:p>
                  <w:pPr>
                    <w:jc w:val="center"/>
                    <w:rPr>
                      <w:sz w:val="18"/>
                      <w:szCs w:val="18"/>
                    </w:rPr>
                  </w:pPr>
                  <w:r>
                    <w:rPr>
                      <w:sz w:val="18"/>
                      <w:szCs w:val="18"/>
                    </w:rPr>
                    <w:t>43.2</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3057" w:type="dxa"/>
                  <w:gridSpan w:val="3"/>
                  <w:vAlign w:val="center"/>
                </w:tcPr>
                <w:p>
                  <w:pPr>
                    <w:overflowPunct w:val="0"/>
                    <w:jc w:val="center"/>
                    <w:rPr>
                      <w:kern w:val="0"/>
                      <w:sz w:val="18"/>
                      <w:szCs w:val="18"/>
                    </w:rPr>
                  </w:pPr>
                  <w:r>
                    <w:rPr>
                      <w:kern w:val="0"/>
                      <w:sz w:val="18"/>
                      <w:szCs w:val="18"/>
                    </w:rPr>
                    <w:t>塑料</w:t>
                  </w:r>
                </w:p>
              </w:tc>
              <w:tc>
                <w:tcPr>
                  <w:tcW w:w="1159" w:type="dxa"/>
                  <w:vAlign w:val="center"/>
                </w:tcPr>
                <w:p>
                  <w:pPr>
                    <w:widowControl/>
                    <w:jc w:val="center"/>
                    <w:rPr>
                      <w:kern w:val="0"/>
                      <w:sz w:val="18"/>
                      <w:szCs w:val="18"/>
                    </w:rPr>
                  </w:pPr>
                  <w:r>
                    <w:rPr>
                      <w:sz w:val="18"/>
                      <w:szCs w:val="18"/>
                    </w:rPr>
                    <w:t>810</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3057" w:type="dxa"/>
                  <w:gridSpan w:val="3"/>
                  <w:vAlign w:val="center"/>
                </w:tcPr>
                <w:p>
                  <w:pPr>
                    <w:overflowPunct w:val="0"/>
                    <w:jc w:val="center"/>
                    <w:rPr>
                      <w:kern w:val="0"/>
                      <w:sz w:val="18"/>
                      <w:szCs w:val="18"/>
                    </w:rPr>
                  </w:pPr>
                  <w:r>
                    <w:rPr>
                      <w:kern w:val="0"/>
                      <w:sz w:val="18"/>
                      <w:szCs w:val="18"/>
                    </w:rPr>
                    <w:t>玻璃</w:t>
                  </w:r>
                </w:p>
              </w:tc>
              <w:tc>
                <w:tcPr>
                  <w:tcW w:w="1159" w:type="dxa"/>
                  <w:vAlign w:val="center"/>
                </w:tcPr>
                <w:p>
                  <w:pPr>
                    <w:jc w:val="center"/>
                    <w:rPr>
                      <w:sz w:val="18"/>
                      <w:szCs w:val="18"/>
                    </w:rPr>
                  </w:pPr>
                  <w:r>
                    <w:rPr>
                      <w:sz w:val="18"/>
                      <w:szCs w:val="18"/>
                    </w:rPr>
                    <w:t>270</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3057" w:type="dxa"/>
                  <w:gridSpan w:val="3"/>
                  <w:vAlign w:val="center"/>
                </w:tcPr>
                <w:p>
                  <w:pPr>
                    <w:overflowPunct w:val="0"/>
                    <w:jc w:val="center"/>
                    <w:rPr>
                      <w:kern w:val="0"/>
                      <w:sz w:val="18"/>
                      <w:szCs w:val="18"/>
                    </w:rPr>
                  </w:pPr>
                  <w:r>
                    <w:rPr>
                      <w:kern w:val="0"/>
                      <w:sz w:val="18"/>
                      <w:szCs w:val="18"/>
                    </w:rPr>
                    <w:t>橡胶</w:t>
                  </w:r>
                </w:p>
              </w:tc>
              <w:tc>
                <w:tcPr>
                  <w:tcW w:w="1159" w:type="dxa"/>
                  <w:vAlign w:val="center"/>
                </w:tcPr>
                <w:p>
                  <w:pPr>
                    <w:jc w:val="center"/>
                    <w:rPr>
                      <w:sz w:val="18"/>
                      <w:szCs w:val="18"/>
                    </w:rPr>
                  </w:pPr>
                  <w:r>
                    <w:rPr>
                      <w:sz w:val="18"/>
                      <w:szCs w:val="18"/>
                    </w:rPr>
                    <w:t>270</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3057" w:type="dxa"/>
                  <w:gridSpan w:val="3"/>
                  <w:vAlign w:val="center"/>
                </w:tcPr>
                <w:p>
                  <w:pPr>
                    <w:overflowPunct w:val="0"/>
                    <w:jc w:val="center"/>
                    <w:rPr>
                      <w:kern w:val="0"/>
                      <w:sz w:val="18"/>
                      <w:szCs w:val="18"/>
                    </w:rPr>
                  </w:pPr>
                  <w:r>
                    <w:rPr>
                      <w:kern w:val="0"/>
                      <w:sz w:val="18"/>
                      <w:szCs w:val="18"/>
                    </w:rPr>
                    <w:t>总成及可用零部件</w:t>
                  </w:r>
                </w:p>
              </w:tc>
              <w:tc>
                <w:tcPr>
                  <w:tcW w:w="1159" w:type="dxa"/>
                  <w:vAlign w:val="center"/>
                </w:tcPr>
                <w:p>
                  <w:pPr>
                    <w:jc w:val="center"/>
                    <w:rPr>
                      <w:sz w:val="18"/>
                      <w:szCs w:val="18"/>
                    </w:rPr>
                  </w:pPr>
                  <w:r>
                    <w:rPr>
                      <w:sz w:val="18"/>
                      <w:szCs w:val="18"/>
                    </w:rPr>
                    <w:t>270</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restart"/>
                  <w:vAlign w:val="center"/>
                </w:tcPr>
                <w:p>
                  <w:pPr>
                    <w:overflowPunct w:val="0"/>
                    <w:jc w:val="center"/>
                    <w:rPr>
                      <w:kern w:val="0"/>
                      <w:sz w:val="18"/>
                      <w:szCs w:val="18"/>
                    </w:rPr>
                  </w:pPr>
                  <w:r>
                    <w:rPr>
                      <w:kern w:val="0"/>
                      <w:sz w:val="18"/>
                      <w:szCs w:val="18"/>
                    </w:rPr>
                    <w:t>不可利用废物</w:t>
                  </w:r>
                </w:p>
              </w:tc>
              <w:tc>
                <w:tcPr>
                  <w:tcW w:w="2449" w:type="dxa"/>
                  <w:gridSpan w:val="2"/>
                  <w:vAlign w:val="center"/>
                </w:tcPr>
                <w:p>
                  <w:pPr>
                    <w:overflowPunct w:val="0"/>
                    <w:jc w:val="center"/>
                    <w:rPr>
                      <w:kern w:val="0"/>
                      <w:sz w:val="18"/>
                      <w:szCs w:val="18"/>
                    </w:rPr>
                  </w:pPr>
                  <w:r>
                    <w:rPr>
                      <w:rFonts w:hint="eastAsia"/>
                      <w:kern w:val="0"/>
                      <w:sz w:val="18"/>
                      <w:szCs w:val="18"/>
                    </w:rPr>
                    <w:t>废铅蓄</w:t>
                  </w:r>
                  <w:r>
                    <w:rPr>
                      <w:kern w:val="0"/>
                      <w:sz w:val="18"/>
                      <w:szCs w:val="18"/>
                    </w:rPr>
                    <w:t>电池</w:t>
                  </w:r>
                </w:p>
              </w:tc>
              <w:tc>
                <w:tcPr>
                  <w:tcW w:w="1159" w:type="dxa"/>
                  <w:vAlign w:val="center"/>
                </w:tcPr>
                <w:p>
                  <w:pPr>
                    <w:widowControl/>
                    <w:jc w:val="center"/>
                    <w:rPr>
                      <w:kern w:val="0"/>
                      <w:sz w:val="18"/>
                      <w:szCs w:val="18"/>
                    </w:rPr>
                  </w:pPr>
                  <w:r>
                    <w:rPr>
                      <w:sz w:val="18"/>
                      <w:szCs w:val="18"/>
                    </w:rPr>
                    <w:t>750</w:t>
                  </w:r>
                </w:p>
              </w:tc>
              <w:tc>
                <w:tcPr>
                  <w:tcW w:w="428" w:type="dxa"/>
                  <w:vMerge w:val="restart"/>
                  <w:vAlign w:val="center"/>
                </w:tcPr>
                <w:p>
                  <w:pPr>
                    <w:overflowPunct w:val="0"/>
                    <w:jc w:val="center"/>
                    <w:rPr>
                      <w:kern w:val="0"/>
                      <w:sz w:val="18"/>
                      <w:szCs w:val="18"/>
                    </w:rPr>
                  </w:pPr>
                  <w:r>
                    <w:rPr>
                      <w:kern w:val="0"/>
                      <w:sz w:val="18"/>
                      <w:szCs w:val="18"/>
                    </w:rPr>
                    <w:t>危险废物</w:t>
                  </w:r>
                </w:p>
              </w:tc>
              <w:tc>
                <w:tcPr>
                  <w:tcW w:w="1073" w:type="dxa"/>
                  <w:vMerge w:val="restart"/>
                  <w:vAlign w:val="center"/>
                </w:tcPr>
                <w:p>
                  <w:pPr>
                    <w:overflowPunct w:val="0"/>
                    <w:jc w:val="center"/>
                    <w:rPr>
                      <w:kern w:val="0"/>
                      <w:sz w:val="18"/>
                      <w:szCs w:val="18"/>
                    </w:rPr>
                  </w:pPr>
                  <w:r>
                    <w:rPr>
                      <w:kern w:val="0"/>
                      <w:sz w:val="18"/>
                      <w:szCs w:val="18"/>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restart"/>
                  <w:vAlign w:val="center"/>
                </w:tcPr>
                <w:p>
                  <w:pPr>
                    <w:overflowPunct w:val="0"/>
                    <w:jc w:val="center"/>
                    <w:rPr>
                      <w:kern w:val="0"/>
                      <w:sz w:val="18"/>
                      <w:szCs w:val="18"/>
                    </w:rPr>
                  </w:pPr>
                  <w:r>
                    <w:rPr>
                      <w:kern w:val="0"/>
                      <w:sz w:val="18"/>
                      <w:szCs w:val="18"/>
                    </w:rPr>
                    <w:t>废油液</w:t>
                  </w:r>
                </w:p>
              </w:tc>
              <w:tc>
                <w:tcPr>
                  <w:tcW w:w="1541" w:type="dxa"/>
                  <w:vAlign w:val="center"/>
                </w:tcPr>
                <w:p>
                  <w:pPr>
                    <w:overflowPunct w:val="0"/>
                    <w:jc w:val="center"/>
                    <w:rPr>
                      <w:kern w:val="0"/>
                      <w:sz w:val="18"/>
                      <w:szCs w:val="18"/>
                    </w:rPr>
                  </w:pPr>
                  <w:r>
                    <w:rPr>
                      <w:kern w:val="0"/>
                      <w:sz w:val="18"/>
                      <w:szCs w:val="18"/>
                    </w:rPr>
                    <w:t>废汽油、柴油</w:t>
                  </w:r>
                </w:p>
              </w:tc>
              <w:tc>
                <w:tcPr>
                  <w:tcW w:w="1159" w:type="dxa"/>
                  <w:vAlign w:val="center"/>
                </w:tcPr>
                <w:p>
                  <w:pPr>
                    <w:jc w:val="center"/>
                    <w:rPr>
                      <w:sz w:val="18"/>
                      <w:szCs w:val="18"/>
                    </w:rPr>
                  </w:pPr>
                  <w:r>
                    <w:rPr>
                      <w:sz w:val="18"/>
                      <w:szCs w:val="18"/>
                    </w:rPr>
                    <w:t>0.75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废机油</w:t>
                  </w:r>
                </w:p>
              </w:tc>
              <w:tc>
                <w:tcPr>
                  <w:tcW w:w="1159" w:type="dxa"/>
                  <w:vAlign w:val="center"/>
                </w:tcPr>
                <w:p>
                  <w:pPr>
                    <w:jc w:val="center"/>
                    <w:rPr>
                      <w:sz w:val="18"/>
                      <w:szCs w:val="18"/>
                    </w:rPr>
                  </w:pPr>
                  <w:r>
                    <w:rPr>
                      <w:sz w:val="18"/>
                      <w:szCs w:val="18"/>
                    </w:rPr>
                    <w:t>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润滑油</w:t>
                  </w:r>
                </w:p>
              </w:tc>
              <w:tc>
                <w:tcPr>
                  <w:tcW w:w="1159" w:type="dxa"/>
                  <w:vAlign w:val="center"/>
                </w:tcPr>
                <w:p>
                  <w:pPr>
                    <w:jc w:val="center"/>
                    <w:rPr>
                      <w:sz w:val="18"/>
                      <w:szCs w:val="18"/>
                    </w:rPr>
                  </w:pPr>
                  <w:r>
                    <w:rPr>
                      <w:sz w:val="18"/>
                      <w:szCs w:val="18"/>
                    </w:rPr>
                    <w:t>14.25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冷却液</w:t>
                  </w:r>
                </w:p>
              </w:tc>
              <w:tc>
                <w:tcPr>
                  <w:tcW w:w="1159" w:type="dxa"/>
                  <w:vAlign w:val="center"/>
                </w:tcPr>
                <w:p>
                  <w:pPr>
                    <w:jc w:val="center"/>
                    <w:rPr>
                      <w:sz w:val="18"/>
                      <w:szCs w:val="18"/>
                    </w:rPr>
                  </w:pPr>
                  <w:r>
                    <w:rPr>
                      <w:sz w:val="18"/>
                      <w:szCs w:val="18"/>
                    </w:rPr>
                    <w:t>45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防冻液</w:t>
                  </w:r>
                </w:p>
              </w:tc>
              <w:tc>
                <w:tcPr>
                  <w:tcW w:w="1159" w:type="dxa"/>
                  <w:vAlign w:val="center"/>
                </w:tcPr>
                <w:p>
                  <w:pPr>
                    <w:jc w:val="center"/>
                    <w:rPr>
                      <w:sz w:val="18"/>
                      <w:szCs w:val="18"/>
                    </w:rPr>
                  </w:pPr>
                  <w:r>
                    <w:rPr>
                      <w:sz w:val="18"/>
                      <w:szCs w:val="18"/>
                    </w:rPr>
                    <w:t>30</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908" w:type="dxa"/>
                  <w:vMerge w:val="continue"/>
                  <w:vAlign w:val="center"/>
                </w:tcPr>
                <w:p>
                  <w:pPr>
                    <w:overflowPunct w:val="0"/>
                    <w:jc w:val="left"/>
                    <w:rPr>
                      <w:kern w:val="0"/>
                      <w:sz w:val="18"/>
                      <w:szCs w:val="18"/>
                    </w:rPr>
                  </w:pPr>
                </w:p>
              </w:tc>
              <w:tc>
                <w:tcPr>
                  <w:tcW w:w="1541" w:type="dxa"/>
                  <w:vAlign w:val="center"/>
                </w:tcPr>
                <w:p>
                  <w:pPr>
                    <w:overflowPunct w:val="0"/>
                    <w:jc w:val="center"/>
                    <w:rPr>
                      <w:kern w:val="0"/>
                      <w:sz w:val="18"/>
                      <w:szCs w:val="18"/>
                    </w:rPr>
                  </w:pPr>
                  <w:r>
                    <w:rPr>
                      <w:kern w:val="0"/>
                      <w:sz w:val="18"/>
                      <w:szCs w:val="18"/>
                    </w:rPr>
                    <w:t>制动液</w:t>
                  </w:r>
                </w:p>
              </w:tc>
              <w:tc>
                <w:tcPr>
                  <w:tcW w:w="1159" w:type="dxa"/>
                  <w:vAlign w:val="center"/>
                </w:tcPr>
                <w:p>
                  <w:pPr>
                    <w:jc w:val="center"/>
                    <w:rPr>
                      <w:sz w:val="18"/>
                      <w:szCs w:val="18"/>
                    </w:rPr>
                  </w:pPr>
                  <w:r>
                    <w:rPr>
                      <w:sz w:val="18"/>
                      <w:szCs w:val="18"/>
                    </w:rPr>
                    <w:t>3.75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废油箱</w:t>
                  </w:r>
                </w:p>
              </w:tc>
              <w:tc>
                <w:tcPr>
                  <w:tcW w:w="1159" w:type="dxa"/>
                  <w:vAlign w:val="center"/>
                </w:tcPr>
                <w:p>
                  <w:pPr>
                    <w:widowControl/>
                    <w:jc w:val="center"/>
                    <w:textAlignment w:val="center"/>
                    <w:rPr>
                      <w:kern w:val="0"/>
                      <w:sz w:val="18"/>
                      <w:szCs w:val="18"/>
                    </w:rPr>
                  </w:pPr>
                  <w:r>
                    <w:rPr>
                      <w:sz w:val="18"/>
                      <w:szCs w:val="18"/>
                    </w:rPr>
                    <w:t>37.5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尾气催化剂</w:t>
                  </w:r>
                </w:p>
              </w:tc>
              <w:tc>
                <w:tcPr>
                  <w:tcW w:w="1159" w:type="dxa"/>
                  <w:vAlign w:val="center"/>
                </w:tcPr>
                <w:p>
                  <w:pPr>
                    <w:jc w:val="center"/>
                    <w:rPr>
                      <w:sz w:val="18"/>
                      <w:szCs w:val="18"/>
                    </w:rPr>
                  </w:pPr>
                  <w:r>
                    <w:rPr>
                      <w:sz w:val="18"/>
                      <w:szCs w:val="18"/>
                    </w:rPr>
                    <w:t>9.37</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电容器</w:t>
                  </w:r>
                </w:p>
              </w:tc>
              <w:tc>
                <w:tcPr>
                  <w:tcW w:w="1159" w:type="dxa"/>
                  <w:vAlign w:val="center"/>
                </w:tcPr>
                <w:p>
                  <w:pPr>
                    <w:jc w:val="center"/>
                    <w:rPr>
                      <w:sz w:val="18"/>
                      <w:szCs w:val="18"/>
                    </w:rPr>
                  </w:pPr>
                  <w:r>
                    <w:rPr>
                      <w:sz w:val="18"/>
                      <w:szCs w:val="18"/>
                    </w:rPr>
                    <w:t>18.75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机油滤清器</w:t>
                  </w:r>
                </w:p>
              </w:tc>
              <w:tc>
                <w:tcPr>
                  <w:tcW w:w="1159" w:type="dxa"/>
                  <w:vAlign w:val="center"/>
                </w:tcPr>
                <w:p>
                  <w:pPr>
                    <w:jc w:val="center"/>
                    <w:rPr>
                      <w:sz w:val="18"/>
                      <w:szCs w:val="18"/>
                    </w:rPr>
                  </w:pPr>
                  <w:r>
                    <w:rPr>
                      <w:sz w:val="18"/>
                      <w:szCs w:val="18"/>
                    </w:rPr>
                    <w:t>0.75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废电子部件</w:t>
                  </w:r>
                </w:p>
              </w:tc>
              <w:tc>
                <w:tcPr>
                  <w:tcW w:w="1159" w:type="dxa"/>
                  <w:vAlign w:val="center"/>
                </w:tcPr>
                <w:p>
                  <w:pPr>
                    <w:jc w:val="center"/>
                    <w:rPr>
                      <w:sz w:val="18"/>
                      <w:szCs w:val="18"/>
                    </w:rPr>
                  </w:pPr>
                  <w:r>
                    <w:rPr>
                      <w:sz w:val="18"/>
                      <w:szCs w:val="18"/>
                    </w:rPr>
                    <w:t>112.5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autoSpaceDE w:val="0"/>
                    <w:autoSpaceDN w:val="0"/>
                    <w:adjustRightInd w:val="0"/>
                    <w:jc w:val="center"/>
                    <w:rPr>
                      <w:kern w:val="0"/>
                      <w:sz w:val="18"/>
                      <w:szCs w:val="18"/>
                    </w:rPr>
                  </w:pPr>
                  <w:r>
                    <w:rPr>
                      <w:rFonts w:hint="eastAsia"/>
                      <w:kern w:val="0"/>
                      <w:sz w:val="18"/>
                      <w:szCs w:val="18"/>
                    </w:rPr>
                    <w:t>含汞光源</w:t>
                  </w:r>
                </w:p>
              </w:tc>
              <w:tc>
                <w:tcPr>
                  <w:tcW w:w="1159" w:type="dxa"/>
                  <w:vAlign w:val="center"/>
                </w:tcPr>
                <w:p>
                  <w:pPr>
                    <w:jc w:val="center"/>
                    <w:rPr>
                      <w:rFonts w:eastAsia="等线"/>
                      <w:sz w:val="18"/>
                      <w:szCs w:val="18"/>
                    </w:rPr>
                  </w:pPr>
                  <w:r>
                    <w:rPr>
                      <w:sz w:val="18"/>
                      <w:szCs w:val="18"/>
                    </w:rPr>
                    <w:t>0.15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autoSpaceDE w:val="0"/>
                    <w:autoSpaceDN w:val="0"/>
                    <w:adjustRightInd w:val="0"/>
                    <w:jc w:val="center"/>
                    <w:rPr>
                      <w:kern w:val="0"/>
                      <w:sz w:val="18"/>
                      <w:szCs w:val="18"/>
                    </w:rPr>
                  </w:pPr>
                  <w:r>
                    <w:rPr>
                      <w:rFonts w:hint="eastAsia"/>
                      <w:kern w:val="0"/>
                      <w:sz w:val="18"/>
                      <w:szCs w:val="18"/>
                    </w:rPr>
                    <w:t>废石棉片</w:t>
                  </w:r>
                </w:p>
              </w:tc>
              <w:tc>
                <w:tcPr>
                  <w:tcW w:w="1159" w:type="dxa"/>
                  <w:vAlign w:val="center"/>
                </w:tcPr>
                <w:p>
                  <w:pPr>
                    <w:jc w:val="center"/>
                    <w:rPr>
                      <w:rFonts w:eastAsia="等线"/>
                      <w:sz w:val="18"/>
                      <w:szCs w:val="18"/>
                    </w:rPr>
                  </w:pPr>
                  <w:r>
                    <w:rPr>
                      <w:sz w:val="18"/>
                      <w:szCs w:val="18"/>
                    </w:rPr>
                    <w:t>0.15</w:t>
                  </w:r>
                </w:p>
              </w:tc>
              <w:tc>
                <w:tcPr>
                  <w:tcW w:w="428" w:type="dxa"/>
                  <w:vMerge w:val="continue"/>
                  <w:vAlign w:val="center"/>
                </w:tcPr>
                <w:p>
                  <w:pPr>
                    <w:overflowPunct w:val="0"/>
                    <w:jc w:val="left"/>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制冷剂</w:t>
                  </w:r>
                </w:p>
              </w:tc>
              <w:tc>
                <w:tcPr>
                  <w:tcW w:w="1159" w:type="dxa"/>
                  <w:vAlign w:val="center"/>
                </w:tcPr>
                <w:p>
                  <w:pPr>
                    <w:widowControl/>
                    <w:jc w:val="center"/>
                    <w:textAlignment w:val="center"/>
                    <w:rPr>
                      <w:kern w:val="0"/>
                      <w:sz w:val="18"/>
                      <w:szCs w:val="18"/>
                    </w:rPr>
                  </w:pPr>
                  <w:r>
                    <w:rPr>
                      <w:sz w:val="18"/>
                      <w:szCs w:val="18"/>
                    </w:rPr>
                    <w:t>4.5</w:t>
                  </w:r>
                </w:p>
              </w:tc>
              <w:tc>
                <w:tcPr>
                  <w:tcW w:w="428" w:type="dxa"/>
                  <w:vMerge w:val="restart"/>
                  <w:vAlign w:val="center"/>
                </w:tcPr>
                <w:p>
                  <w:pPr>
                    <w:overflowPunct w:val="0"/>
                    <w:jc w:val="center"/>
                    <w:rPr>
                      <w:kern w:val="0"/>
                      <w:sz w:val="18"/>
                      <w:szCs w:val="18"/>
                    </w:rPr>
                  </w:pPr>
                  <w:r>
                    <w:rPr>
                      <w:kern w:val="0"/>
                      <w:sz w:val="18"/>
                      <w:szCs w:val="18"/>
                    </w:rPr>
                    <w:t>一般工业固废</w:t>
                  </w:r>
                </w:p>
              </w:tc>
              <w:tc>
                <w:tcPr>
                  <w:tcW w:w="1073" w:type="dxa"/>
                  <w:vMerge w:val="restart"/>
                  <w:vAlign w:val="center"/>
                </w:tcPr>
                <w:p>
                  <w:pPr>
                    <w:overflowPunct w:val="0"/>
                    <w:jc w:val="center"/>
                    <w:rPr>
                      <w:kern w:val="0"/>
                      <w:sz w:val="18"/>
                      <w:szCs w:val="18"/>
                    </w:rPr>
                  </w:pPr>
                  <w:r>
                    <w:rPr>
                      <w:rFonts w:hint="eastAsia"/>
                      <w:kern w:val="0"/>
                      <w:sz w:val="18"/>
                      <w:szCs w:val="18"/>
                    </w:rPr>
                    <w:t>交由相关资质的单位处置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废液化气罐</w:t>
                  </w:r>
                </w:p>
              </w:tc>
              <w:tc>
                <w:tcPr>
                  <w:tcW w:w="1159" w:type="dxa"/>
                  <w:vAlign w:val="center"/>
                </w:tcPr>
                <w:p>
                  <w:pPr>
                    <w:widowControl/>
                    <w:jc w:val="center"/>
                    <w:textAlignment w:val="center"/>
                    <w:rPr>
                      <w:rFonts w:eastAsia="等线"/>
                      <w:kern w:val="0"/>
                      <w:sz w:val="18"/>
                      <w:szCs w:val="18"/>
                      <w:lang w:bidi="ar"/>
                    </w:rPr>
                  </w:pPr>
                  <w:r>
                    <w:rPr>
                      <w:sz w:val="18"/>
                      <w:szCs w:val="18"/>
                    </w:rPr>
                    <w:t>0</w:t>
                  </w:r>
                </w:p>
              </w:tc>
              <w:tc>
                <w:tcPr>
                  <w:tcW w:w="428" w:type="dxa"/>
                  <w:vMerge w:val="continue"/>
                  <w:vAlign w:val="center"/>
                </w:tcPr>
                <w:p>
                  <w:pPr>
                    <w:overflowPunct w:val="0"/>
                    <w:jc w:val="center"/>
                    <w:rPr>
                      <w:kern w:val="0"/>
                      <w:sz w:val="18"/>
                      <w:szCs w:val="18"/>
                    </w:rPr>
                  </w:pPr>
                </w:p>
              </w:tc>
              <w:tc>
                <w:tcPr>
                  <w:tcW w:w="1073"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autoSpaceDE w:val="0"/>
                    <w:autoSpaceDN w:val="0"/>
                    <w:adjustRightInd w:val="0"/>
                    <w:jc w:val="center"/>
                    <w:rPr>
                      <w:kern w:val="0"/>
                      <w:sz w:val="18"/>
                      <w:szCs w:val="18"/>
                    </w:rPr>
                  </w:pPr>
                  <w:r>
                    <w:rPr>
                      <w:rFonts w:hint="eastAsia"/>
                      <w:kern w:val="0"/>
                      <w:sz w:val="18"/>
                      <w:szCs w:val="18"/>
                    </w:rPr>
                    <w:t>废蓄电池</w:t>
                  </w:r>
                </w:p>
                <w:p>
                  <w:pPr>
                    <w:overflowPunct w:val="0"/>
                    <w:jc w:val="center"/>
                    <w:rPr>
                      <w:kern w:val="0"/>
                      <w:sz w:val="18"/>
                      <w:szCs w:val="18"/>
                    </w:rPr>
                  </w:pPr>
                  <w:r>
                    <w:rPr>
                      <w:rFonts w:hint="eastAsia"/>
                      <w:kern w:val="0"/>
                      <w:sz w:val="18"/>
                      <w:szCs w:val="18"/>
                    </w:rPr>
                    <w:t>（不包含废铅蓄电池）</w:t>
                  </w:r>
                </w:p>
              </w:tc>
              <w:tc>
                <w:tcPr>
                  <w:tcW w:w="1159" w:type="dxa"/>
                  <w:vAlign w:val="center"/>
                </w:tcPr>
                <w:p>
                  <w:pPr>
                    <w:widowControl/>
                    <w:jc w:val="center"/>
                    <w:textAlignment w:val="center"/>
                    <w:rPr>
                      <w:rFonts w:eastAsia="等线"/>
                      <w:kern w:val="0"/>
                      <w:sz w:val="18"/>
                      <w:szCs w:val="18"/>
                      <w:lang w:bidi="ar"/>
                    </w:rPr>
                  </w:pPr>
                  <w:r>
                    <w:rPr>
                      <w:rFonts w:eastAsia="等线"/>
                      <w:kern w:val="0"/>
                      <w:sz w:val="18"/>
                      <w:szCs w:val="18"/>
                      <w:lang w:bidi="ar"/>
                    </w:rPr>
                    <w:t>2625</w:t>
                  </w:r>
                </w:p>
              </w:tc>
              <w:tc>
                <w:tcPr>
                  <w:tcW w:w="428" w:type="dxa"/>
                  <w:vMerge w:val="continue"/>
                  <w:vAlign w:val="center"/>
                </w:tcPr>
                <w:p>
                  <w:pPr>
                    <w:overflowPunct w:val="0"/>
                    <w:jc w:val="center"/>
                    <w:rPr>
                      <w:kern w:val="0"/>
                      <w:sz w:val="18"/>
                      <w:szCs w:val="18"/>
                    </w:rPr>
                  </w:pPr>
                </w:p>
              </w:tc>
              <w:tc>
                <w:tcPr>
                  <w:tcW w:w="1073" w:type="dxa"/>
                  <w:vMerge w:val="continue"/>
                  <w:vAlign w:val="center"/>
                </w:tcPr>
                <w:p>
                  <w:pPr>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rFonts w:hint="eastAsia"/>
                      <w:kern w:val="0"/>
                      <w:sz w:val="18"/>
                      <w:szCs w:val="18"/>
                    </w:rPr>
                    <w:t>引爆后的安全气囊</w:t>
                  </w:r>
                </w:p>
              </w:tc>
              <w:tc>
                <w:tcPr>
                  <w:tcW w:w="1159" w:type="dxa"/>
                  <w:vAlign w:val="center"/>
                </w:tcPr>
                <w:p>
                  <w:pPr>
                    <w:widowControl/>
                    <w:jc w:val="center"/>
                    <w:rPr>
                      <w:sz w:val="18"/>
                      <w:szCs w:val="18"/>
                    </w:rPr>
                  </w:pPr>
                  <w:r>
                    <w:rPr>
                      <w:rFonts w:hint="eastAsia"/>
                      <w:sz w:val="18"/>
                      <w:szCs w:val="18"/>
                    </w:rPr>
                    <w:t>3</w:t>
                  </w:r>
                  <w:r>
                    <w:rPr>
                      <w:sz w:val="18"/>
                      <w:szCs w:val="18"/>
                    </w:rPr>
                    <w:t>0</w:t>
                  </w:r>
                </w:p>
              </w:tc>
              <w:tc>
                <w:tcPr>
                  <w:tcW w:w="428" w:type="dxa"/>
                  <w:vMerge w:val="continue"/>
                  <w:vAlign w:val="center"/>
                </w:tcPr>
                <w:p>
                  <w:pPr>
                    <w:overflowPunct w:val="0"/>
                    <w:jc w:val="center"/>
                    <w:rPr>
                      <w:kern w:val="0"/>
                      <w:sz w:val="18"/>
                      <w:szCs w:val="18"/>
                    </w:rPr>
                  </w:pPr>
                </w:p>
              </w:tc>
              <w:tc>
                <w:tcPr>
                  <w:tcW w:w="1073"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9" w:type="dxa"/>
                  <w:vMerge w:val="continue"/>
                  <w:vAlign w:val="center"/>
                </w:tcPr>
                <w:p>
                  <w:pPr>
                    <w:overflowPunct w:val="0"/>
                    <w:jc w:val="left"/>
                    <w:rPr>
                      <w:kern w:val="0"/>
                      <w:sz w:val="18"/>
                      <w:szCs w:val="18"/>
                    </w:rPr>
                  </w:pPr>
                </w:p>
              </w:tc>
              <w:tc>
                <w:tcPr>
                  <w:tcW w:w="929" w:type="dxa"/>
                  <w:vMerge w:val="continue"/>
                  <w:vAlign w:val="center"/>
                </w:tcPr>
                <w:p>
                  <w:pPr>
                    <w:overflowPunct w:val="0"/>
                    <w:jc w:val="left"/>
                    <w:rPr>
                      <w:kern w:val="0"/>
                      <w:sz w:val="18"/>
                      <w:szCs w:val="18"/>
                    </w:rPr>
                  </w:pPr>
                </w:p>
              </w:tc>
              <w:tc>
                <w:tcPr>
                  <w:tcW w:w="608" w:type="dxa"/>
                  <w:vMerge w:val="continue"/>
                  <w:vAlign w:val="center"/>
                </w:tcPr>
                <w:p>
                  <w:pPr>
                    <w:overflowPunct w:val="0"/>
                    <w:jc w:val="left"/>
                    <w:rPr>
                      <w:kern w:val="0"/>
                      <w:sz w:val="18"/>
                      <w:szCs w:val="18"/>
                    </w:rPr>
                  </w:pPr>
                </w:p>
              </w:tc>
              <w:tc>
                <w:tcPr>
                  <w:tcW w:w="2449" w:type="dxa"/>
                  <w:gridSpan w:val="2"/>
                  <w:vAlign w:val="center"/>
                </w:tcPr>
                <w:p>
                  <w:pPr>
                    <w:overflowPunct w:val="0"/>
                    <w:jc w:val="center"/>
                    <w:rPr>
                      <w:kern w:val="0"/>
                      <w:sz w:val="18"/>
                      <w:szCs w:val="18"/>
                    </w:rPr>
                  </w:pPr>
                  <w:r>
                    <w:rPr>
                      <w:kern w:val="0"/>
                      <w:sz w:val="18"/>
                      <w:szCs w:val="18"/>
                    </w:rPr>
                    <w:t>其它不可利用废物（主要为陶瓷、泡沫、装饰材料、碎玻璃等）</w:t>
                  </w:r>
                </w:p>
              </w:tc>
              <w:tc>
                <w:tcPr>
                  <w:tcW w:w="1159" w:type="dxa"/>
                  <w:vAlign w:val="center"/>
                </w:tcPr>
                <w:p>
                  <w:pPr>
                    <w:widowControl/>
                    <w:jc w:val="center"/>
                    <w:rPr>
                      <w:kern w:val="0"/>
                      <w:sz w:val="18"/>
                      <w:szCs w:val="18"/>
                    </w:rPr>
                  </w:pPr>
                  <w:r>
                    <w:rPr>
                      <w:sz w:val="18"/>
                      <w:szCs w:val="18"/>
                    </w:rPr>
                    <w:t>360.08</w:t>
                  </w:r>
                </w:p>
              </w:tc>
              <w:tc>
                <w:tcPr>
                  <w:tcW w:w="428" w:type="dxa"/>
                  <w:vMerge w:val="continue"/>
                  <w:vAlign w:val="center"/>
                </w:tcPr>
                <w:p>
                  <w:pPr>
                    <w:overflowPunct w:val="0"/>
                    <w:jc w:val="center"/>
                    <w:rPr>
                      <w:kern w:val="0"/>
                      <w:sz w:val="18"/>
                      <w:szCs w:val="18"/>
                    </w:rPr>
                  </w:pPr>
                </w:p>
              </w:tc>
              <w:tc>
                <w:tcPr>
                  <w:tcW w:w="1073" w:type="dxa"/>
                  <w:vAlign w:val="center"/>
                </w:tcPr>
                <w:p>
                  <w:pPr>
                    <w:overflowPunct w:val="0"/>
                    <w:jc w:val="center"/>
                    <w:rPr>
                      <w:kern w:val="0"/>
                      <w:sz w:val="18"/>
                      <w:szCs w:val="18"/>
                    </w:rPr>
                  </w:pPr>
                  <w:r>
                    <w:rPr>
                      <w:kern w:val="0"/>
                      <w:sz w:val="18"/>
                      <w:szCs w:val="18"/>
                    </w:rPr>
                    <w:t>运至</w:t>
                  </w:r>
                  <w:r>
                    <w:rPr>
                      <w:rFonts w:hint="eastAsia"/>
                      <w:kern w:val="0"/>
                      <w:sz w:val="18"/>
                      <w:szCs w:val="18"/>
                    </w:rPr>
                    <w:t>一般工业固废处置场处置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75" w:type="dxa"/>
                  <w:gridSpan w:val="5"/>
                  <w:vAlign w:val="center"/>
                </w:tcPr>
                <w:p>
                  <w:pPr>
                    <w:overflowPunct w:val="0"/>
                    <w:jc w:val="center"/>
                    <w:rPr>
                      <w:kern w:val="0"/>
                      <w:sz w:val="18"/>
                      <w:szCs w:val="18"/>
                    </w:rPr>
                  </w:pPr>
                  <w:r>
                    <w:rPr>
                      <w:kern w:val="0"/>
                      <w:sz w:val="18"/>
                      <w:szCs w:val="18"/>
                    </w:rPr>
                    <w:t>合计</w:t>
                  </w:r>
                </w:p>
              </w:tc>
              <w:tc>
                <w:tcPr>
                  <w:tcW w:w="1159" w:type="dxa"/>
                  <w:vAlign w:val="center"/>
                </w:tcPr>
                <w:p>
                  <w:pPr>
                    <w:widowControl/>
                    <w:jc w:val="center"/>
                    <w:rPr>
                      <w:kern w:val="0"/>
                      <w:sz w:val="18"/>
                      <w:szCs w:val="18"/>
                    </w:rPr>
                  </w:pPr>
                  <w:r>
                    <w:rPr>
                      <w:sz w:val="18"/>
                      <w:szCs w:val="18"/>
                    </w:rPr>
                    <w:t>13500</w:t>
                  </w:r>
                </w:p>
              </w:tc>
              <w:tc>
                <w:tcPr>
                  <w:tcW w:w="428" w:type="dxa"/>
                  <w:vAlign w:val="center"/>
                </w:tcPr>
                <w:p>
                  <w:pPr>
                    <w:overflowPunct w:val="0"/>
                    <w:jc w:val="left"/>
                    <w:rPr>
                      <w:kern w:val="0"/>
                      <w:sz w:val="18"/>
                      <w:szCs w:val="18"/>
                    </w:rPr>
                  </w:pPr>
                </w:p>
              </w:tc>
              <w:tc>
                <w:tcPr>
                  <w:tcW w:w="1073" w:type="dxa"/>
                  <w:vAlign w:val="center"/>
                </w:tcPr>
                <w:p>
                  <w:pPr>
                    <w:overflowPunct w:val="0"/>
                    <w:jc w:val="left"/>
                    <w:rPr>
                      <w:kern w:val="0"/>
                      <w:sz w:val="18"/>
                      <w:szCs w:val="18"/>
                    </w:rPr>
                  </w:pPr>
                </w:p>
              </w:tc>
            </w:tr>
          </w:tbl>
          <w:p>
            <w:pPr>
              <w:pStyle w:val="128"/>
              <w:ind w:firstLine="480"/>
            </w:pPr>
          </w:p>
          <w:p>
            <w:pPr>
              <w:adjustRightInd w:val="0"/>
              <w:spacing w:line="360" w:lineRule="auto"/>
              <w:ind w:firstLine="480" w:firstLineChars="200"/>
              <w:rPr>
                <w:kern w:val="0"/>
                <w:sz w:val="24"/>
              </w:rPr>
            </w:pPr>
            <w:r>
              <w:rPr>
                <w:kern w:val="0"/>
                <w:sz w:val="24"/>
              </w:rPr>
              <w:fldChar w:fldCharType="begin"/>
            </w:r>
            <w:r>
              <w:rPr>
                <w:kern w:val="0"/>
                <w:sz w:val="24"/>
              </w:rPr>
              <w:instrText xml:space="preserve"> = 2 \* GB3 </w:instrText>
            </w:r>
            <w:r>
              <w:rPr>
                <w:kern w:val="0"/>
                <w:sz w:val="24"/>
              </w:rPr>
              <w:fldChar w:fldCharType="separate"/>
            </w:r>
            <w:r>
              <w:rPr>
                <w:rFonts w:hint="eastAsia" w:ascii="宋体" w:hAnsi="宋体" w:cs="宋体"/>
                <w:kern w:val="0"/>
                <w:sz w:val="24"/>
              </w:rPr>
              <w:t>②</w:t>
            </w:r>
            <w:r>
              <w:rPr>
                <w:kern w:val="0"/>
                <w:sz w:val="24"/>
              </w:rPr>
              <w:fldChar w:fldCharType="end"/>
            </w:r>
            <w:r>
              <w:rPr>
                <w:rFonts w:hint="eastAsia"/>
                <w:kern w:val="0"/>
                <w:sz w:val="24"/>
              </w:rPr>
              <w:t>传统燃料机动车-</w:t>
            </w:r>
            <w:r>
              <w:rPr>
                <w:kern w:val="0"/>
                <w:sz w:val="24"/>
              </w:rPr>
              <w:t>小型报废汽车</w:t>
            </w:r>
          </w:p>
          <w:p>
            <w:pPr>
              <w:adjustRightInd w:val="0"/>
              <w:spacing w:line="360" w:lineRule="auto"/>
              <w:ind w:firstLine="480" w:firstLineChars="200"/>
              <w:rPr>
                <w:kern w:val="0"/>
                <w:sz w:val="24"/>
              </w:rPr>
            </w:pPr>
            <w:r>
              <w:rPr>
                <w:kern w:val="0"/>
                <w:sz w:val="24"/>
              </w:rPr>
              <w:t>本项目年拆解小型报废汽车约10500辆，根据年拆解量及拆解数据进行估算，项目小型报废汽车拆解线物料平衡一览表见</w:t>
            </w:r>
            <w:r>
              <w:rPr>
                <w:sz w:val="24"/>
              </w:rPr>
              <w:t>表</w:t>
            </w:r>
            <w:r>
              <w:rPr>
                <w:kern w:val="0"/>
                <w:sz w:val="24"/>
              </w:rPr>
              <w:t>2.1.9</w:t>
            </w:r>
            <w:r>
              <w:rPr>
                <w:rFonts w:hint="eastAsia"/>
                <w:kern w:val="0"/>
                <w:sz w:val="24"/>
              </w:rPr>
              <w:t>-</w:t>
            </w:r>
            <w:r>
              <w:rPr>
                <w:kern w:val="0"/>
                <w:sz w:val="24"/>
              </w:rPr>
              <w:t>3。</w:t>
            </w:r>
          </w:p>
          <w:p>
            <w:pPr>
              <w:adjustRightInd w:val="0"/>
              <w:ind w:firstLine="360" w:firstLineChars="200"/>
              <w:jc w:val="center"/>
              <w:rPr>
                <w:sz w:val="18"/>
                <w:szCs w:val="18"/>
              </w:rPr>
            </w:pPr>
            <w:r>
              <w:rPr>
                <w:sz w:val="18"/>
                <w:szCs w:val="18"/>
              </w:rPr>
              <w:t>表</w:t>
            </w:r>
            <w:r>
              <w:rPr>
                <w:kern w:val="0"/>
                <w:sz w:val="18"/>
                <w:szCs w:val="18"/>
              </w:rPr>
              <w:t>2.1.9</w:t>
            </w:r>
            <w:r>
              <w:rPr>
                <w:rFonts w:hint="eastAsia"/>
                <w:kern w:val="0"/>
                <w:sz w:val="18"/>
                <w:szCs w:val="18"/>
              </w:rPr>
              <w:t>-</w:t>
            </w:r>
            <w:r>
              <w:rPr>
                <w:kern w:val="0"/>
                <w:sz w:val="18"/>
                <w:szCs w:val="18"/>
              </w:rPr>
              <w:t>3</w:t>
            </w:r>
            <w:r>
              <w:rPr>
                <w:sz w:val="18"/>
                <w:szCs w:val="18"/>
              </w:rPr>
              <w:t xml:space="preserve"> 小型报废汽车拆解线物料平衡一览表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929"/>
              <w:gridCol w:w="605"/>
              <w:gridCol w:w="908"/>
              <w:gridCol w:w="1544"/>
              <w:gridCol w:w="1159"/>
              <w:gridCol w:w="656"/>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Align w:val="center"/>
                </w:tcPr>
                <w:p>
                  <w:pPr>
                    <w:overflowPunct w:val="0"/>
                    <w:jc w:val="center"/>
                    <w:rPr>
                      <w:kern w:val="0"/>
                      <w:sz w:val="18"/>
                      <w:szCs w:val="18"/>
                    </w:rPr>
                  </w:pPr>
                  <w:r>
                    <w:rPr>
                      <w:kern w:val="0"/>
                      <w:sz w:val="18"/>
                      <w:szCs w:val="18"/>
                    </w:rPr>
                    <w:t>名称</w:t>
                  </w:r>
                </w:p>
              </w:tc>
              <w:tc>
                <w:tcPr>
                  <w:tcW w:w="929" w:type="dxa"/>
                  <w:vAlign w:val="center"/>
                </w:tcPr>
                <w:p>
                  <w:pPr>
                    <w:overflowPunct w:val="0"/>
                    <w:jc w:val="center"/>
                    <w:rPr>
                      <w:kern w:val="0"/>
                      <w:sz w:val="18"/>
                      <w:szCs w:val="18"/>
                    </w:rPr>
                  </w:pPr>
                  <w:r>
                    <w:rPr>
                      <w:kern w:val="0"/>
                      <w:sz w:val="18"/>
                      <w:szCs w:val="18"/>
                    </w:rPr>
                    <w:t>投入量（t/a）</w:t>
                  </w:r>
                </w:p>
              </w:tc>
              <w:tc>
                <w:tcPr>
                  <w:tcW w:w="3057" w:type="dxa"/>
                  <w:gridSpan w:val="3"/>
                  <w:vAlign w:val="center"/>
                </w:tcPr>
                <w:p>
                  <w:pPr>
                    <w:overflowPunct w:val="0"/>
                    <w:jc w:val="center"/>
                    <w:rPr>
                      <w:kern w:val="0"/>
                      <w:sz w:val="18"/>
                      <w:szCs w:val="18"/>
                    </w:rPr>
                  </w:pPr>
                  <w:r>
                    <w:rPr>
                      <w:kern w:val="0"/>
                      <w:sz w:val="18"/>
                      <w:szCs w:val="18"/>
                    </w:rPr>
                    <w:t>名称</w:t>
                  </w:r>
                </w:p>
              </w:tc>
              <w:tc>
                <w:tcPr>
                  <w:tcW w:w="1159" w:type="dxa"/>
                  <w:vAlign w:val="center"/>
                </w:tcPr>
                <w:p>
                  <w:pPr>
                    <w:overflowPunct w:val="0"/>
                    <w:jc w:val="center"/>
                    <w:rPr>
                      <w:kern w:val="0"/>
                      <w:sz w:val="18"/>
                      <w:szCs w:val="18"/>
                    </w:rPr>
                  </w:pPr>
                  <w:r>
                    <w:rPr>
                      <w:kern w:val="0"/>
                      <w:sz w:val="18"/>
                      <w:szCs w:val="18"/>
                    </w:rPr>
                    <w:t>产出量（t/a）</w:t>
                  </w:r>
                </w:p>
              </w:tc>
              <w:tc>
                <w:tcPr>
                  <w:tcW w:w="656" w:type="dxa"/>
                  <w:vAlign w:val="center"/>
                </w:tcPr>
                <w:p>
                  <w:pPr>
                    <w:overflowPunct w:val="0"/>
                    <w:jc w:val="center"/>
                    <w:rPr>
                      <w:kern w:val="0"/>
                      <w:sz w:val="18"/>
                      <w:szCs w:val="18"/>
                    </w:rPr>
                  </w:pPr>
                  <w:r>
                    <w:rPr>
                      <w:kern w:val="0"/>
                      <w:sz w:val="18"/>
                      <w:szCs w:val="18"/>
                    </w:rPr>
                    <w:t>种类</w:t>
                  </w:r>
                </w:p>
              </w:tc>
              <w:tc>
                <w:tcPr>
                  <w:tcW w:w="846" w:type="dxa"/>
                  <w:vAlign w:val="center"/>
                </w:tcPr>
                <w:p>
                  <w:pPr>
                    <w:overflowPunct w:val="0"/>
                    <w:jc w:val="center"/>
                    <w:rPr>
                      <w:kern w:val="0"/>
                      <w:sz w:val="18"/>
                      <w:szCs w:val="18"/>
                    </w:rPr>
                  </w:pPr>
                  <w:r>
                    <w:rPr>
                      <w:kern w:val="0"/>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restart"/>
                  <w:vAlign w:val="center"/>
                </w:tcPr>
                <w:p>
                  <w:pPr>
                    <w:overflowPunct w:val="0"/>
                    <w:jc w:val="center"/>
                    <w:rPr>
                      <w:kern w:val="0"/>
                      <w:sz w:val="18"/>
                      <w:szCs w:val="18"/>
                    </w:rPr>
                  </w:pPr>
                  <w:r>
                    <w:rPr>
                      <w:kern w:val="0"/>
                      <w:sz w:val="18"/>
                      <w:szCs w:val="18"/>
                    </w:rPr>
                    <w:t>小型报废汽车（1.5t/辆，拆解量10500辆/年）</w:t>
                  </w:r>
                </w:p>
              </w:tc>
              <w:tc>
                <w:tcPr>
                  <w:tcW w:w="929" w:type="dxa"/>
                  <w:vMerge w:val="restart"/>
                  <w:vAlign w:val="center"/>
                </w:tcPr>
                <w:p>
                  <w:pPr>
                    <w:widowControl/>
                    <w:jc w:val="center"/>
                    <w:rPr>
                      <w:kern w:val="0"/>
                      <w:sz w:val="18"/>
                      <w:szCs w:val="18"/>
                    </w:rPr>
                  </w:pPr>
                  <w:r>
                    <w:rPr>
                      <w:sz w:val="18"/>
                      <w:szCs w:val="18"/>
                    </w:rPr>
                    <w:t>15750</w:t>
                  </w:r>
                </w:p>
              </w:tc>
              <w:tc>
                <w:tcPr>
                  <w:tcW w:w="3057" w:type="dxa"/>
                  <w:gridSpan w:val="3"/>
                  <w:vAlign w:val="center"/>
                </w:tcPr>
                <w:p>
                  <w:pPr>
                    <w:overflowPunct w:val="0"/>
                    <w:jc w:val="center"/>
                    <w:rPr>
                      <w:kern w:val="0"/>
                      <w:sz w:val="18"/>
                      <w:szCs w:val="18"/>
                    </w:rPr>
                  </w:pPr>
                  <w:r>
                    <w:rPr>
                      <w:kern w:val="0"/>
                      <w:sz w:val="18"/>
                      <w:szCs w:val="18"/>
                    </w:rPr>
                    <w:t>钢铁</w:t>
                  </w:r>
                </w:p>
              </w:tc>
              <w:tc>
                <w:tcPr>
                  <w:tcW w:w="1159" w:type="dxa"/>
                  <w:vAlign w:val="center"/>
                </w:tcPr>
                <w:p>
                  <w:pPr>
                    <w:widowControl/>
                    <w:jc w:val="center"/>
                    <w:rPr>
                      <w:kern w:val="0"/>
                      <w:sz w:val="18"/>
                      <w:szCs w:val="18"/>
                    </w:rPr>
                  </w:pPr>
                  <w:r>
                    <w:rPr>
                      <w:sz w:val="18"/>
                      <w:szCs w:val="18"/>
                    </w:rPr>
                    <w:t>10237.5</w:t>
                  </w:r>
                </w:p>
              </w:tc>
              <w:tc>
                <w:tcPr>
                  <w:tcW w:w="656" w:type="dxa"/>
                  <w:vMerge w:val="restart"/>
                  <w:vAlign w:val="center"/>
                </w:tcPr>
                <w:p>
                  <w:pPr>
                    <w:overflowPunct w:val="0"/>
                    <w:jc w:val="center"/>
                    <w:rPr>
                      <w:kern w:val="0"/>
                      <w:sz w:val="18"/>
                      <w:szCs w:val="18"/>
                    </w:rPr>
                  </w:pPr>
                  <w:r>
                    <w:rPr>
                      <w:kern w:val="0"/>
                      <w:sz w:val="18"/>
                      <w:szCs w:val="18"/>
                    </w:rPr>
                    <w:t>产品</w:t>
                  </w:r>
                </w:p>
              </w:tc>
              <w:tc>
                <w:tcPr>
                  <w:tcW w:w="846" w:type="dxa"/>
                  <w:vMerge w:val="restart"/>
                  <w:vAlign w:val="center"/>
                </w:tcPr>
                <w:p>
                  <w:pPr>
                    <w:overflowPunct w:val="0"/>
                    <w:jc w:val="center"/>
                    <w:rPr>
                      <w:kern w:val="0"/>
                      <w:sz w:val="18"/>
                      <w:szCs w:val="18"/>
                    </w:rPr>
                  </w:pPr>
                  <w:r>
                    <w:rPr>
                      <w:kern w:val="0"/>
                      <w:sz w:val="18"/>
                      <w:szCs w:val="18"/>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1513" w:type="dxa"/>
                  <w:gridSpan w:val="2"/>
                  <w:vMerge w:val="restart"/>
                  <w:vAlign w:val="center"/>
                </w:tcPr>
                <w:p>
                  <w:pPr>
                    <w:overflowPunct w:val="0"/>
                    <w:jc w:val="center"/>
                    <w:rPr>
                      <w:kern w:val="0"/>
                      <w:sz w:val="18"/>
                      <w:szCs w:val="18"/>
                    </w:rPr>
                  </w:pPr>
                  <w:r>
                    <w:rPr>
                      <w:kern w:val="0"/>
                      <w:sz w:val="18"/>
                      <w:szCs w:val="18"/>
                    </w:rPr>
                    <w:t>有色金属</w:t>
                  </w:r>
                </w:p>
              </w:tc>
              <w:tc>
                <w:tcPr>
                  <w:tcW w:w="1544" w:type="dxa"/>
                  <w:vAlign w:val="center"/>
                </w:tcPr>
                <w:p>
                  <w:pPr>
                    <w:overflowPunct w:val="0"/>
                    <w:jc w:val="center"/>
                    <w:rPr>
                      <w:kern w:val="0"/>
                      <w:sz w:val="18"/>
                      <w:szCs w:val="18"/>
                    </w:rPr>
                  </w:pPr>
                  <w:r>
                    <w:rPr>
                      <w:kern w:val="0"/>
                      <w:sz w:val="18"/>
                      <w:szCs w:val="18"/>
                    </w:rPr>
                    <w:t>铝</w:t>
                  </w:r>
                </w:p>
              </w:tc>
              <w:tc>
                <w:tcPr>
                  <w:tcW w:w="1159" w:type="dxa"/>
                  <w:vAlign w:val="center"/>
                </w:tcPr>
                <w:p>
                  <w:pPr>
                    <w:widowControl/>
                    <w:jc w:val="center"/>
                    <w:rPr>
                      <w:kern w:val="0"/>
                      <w:sz w:val="18"/>
                      <w:szCs w:val="18"/>
                    </w:rPr>
                  </w:pPr>
                  <w:r>
                    <w:rPr>
                      <w:sz w:val="18"/>
                      <w:szCs w:val="18"/>
                    </w:rPr>
                    <w:t>559.12</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1513" w:type="dxa"/>
                  <w:gridSpan w:val="2"/>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铜</w:t>
                  </w:r>
                </w:p>
              </w:tc>
              <w:tc>
                <w:tcPr>
                  <w:tcW w:w="1159" w:type="dxa"/>
                  <w:vAlign w:val="center"/>
                </w:tcPr>
                <w:p>
                  <w:pPr>
                    <w:jc w:val="center"/>
                    <w:rPr>
                      <w:sz w:val="18"/>
                      <w:szCs w:val="18"/>
                    </w:rPr>
                  </w:pPr>
                  <w:r>
                    <w:rPr>
                      <w:sz w:val="18"/>
                      <w:szCs w:val="18"/>
                    </w:rPr>
                    <w:t>165.38</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1513" w:type="dxa"/>
                  <w:gridSpan w:val="2"/>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其它</w:t>
                  </w:r>
                </w:p>
              </w:tc>
              <w:tc>
                <w:tcPr>
                  <w:tcW w:w="1159" w:type="dxa"/>
                  <w:vAlign w:val="center"/>
                </w:tcPr>
                <w:p>
                  <w:pPr>
                    <w:jc w:val="center"/>
                    <w:rPr>
                      <w:sz w:val="18"/>
                      <w:szCs w:val="18"/>
                    </w:rPr>
                  </w:pPr>
                  <w:r>
                    <w:rPr>
                      <w:sz w:val="18"/>
                      <w:szCs w:val="18"/>
                    </w:rPr>
                    <w:t>63</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3057" w:type="dxa"/>
                  <w:gridSpan w:val="3"/>
                  <w:vAlign w:val="center"/>
                </w:tcPr>
                <w:p>
                  <w:pPr>
                    <w:overflowPunct w:val="0"/>
                    <w:jc w:val="center"/>
                    <w:rPr>
                      <w:kern w:val="0"/>
                      <w:sz w:val="18"/>
                      <w:szCs w:val="18"/>
                    </w:rPr>
                  </w:pPr>
                  <w:r>
                    <w:rPr>
                      <w:kern w:val="0"/>
                      <w:sz w:val="18"/>
                      <w:szCs w:val="18"/>
                    </w:rPr>
                    <w:t>塑料</w:t>
                  </w:r>
                </w:p>
              </w:tc>
              <w:tc>
                <w:tcPr>
                  <w:tcW w:w="1159" w:type="dxa"/>
                  <w:vAlign w:val="center"/>
                </w:tcPr>
                <w:p>
                  <w:pPr>
                    <w:jc w:val="center"/>
                    <w:rPr>
                      <w:sz w:val="18"/>
                      <w:szCs w:val="18"/>
                    </w:rPr>
                  </w:pPr>
                  <w:r>
                    <w:rPr>
                      <w:sz w:val="18"/>
                      <w:szCs w:val="18"/>
                    </w:rPr>
                    <w:t>1102.5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3057" w:type="dxa"/>
                  <w:gridSpan w:val="3"/>
                  <w:vAlign w:val="center"/>
                </w:tcPr>
                <w:p>
                  <w:pPr>
                    <w:overflowPunct w:val="0"/>
                    <w:jc w:val="center"/>
                    <w:rPr>
                      <w:kern w:val="0"/>
                      <w:sz w:val="18"/>
                      <w:szCs w:val="18"/>
                    </w:rPr>
                  </w:pPr>
                  <w:r>
                    <w:rPr>
                      <w:kern w:val="0"/>
                      <w:sz w:val="18"/>
                      <w:szCs w:val="18"/>
                    </w:rPr>
                    <w:t>玻璃</w:t>
                  </w:r>
                </w:p>
              </w:tc>
              <w:tc>
                <w:tcPr>
                  <w:tcW w:w="1159" w:type="dxa"/>
                  <w:vAlign w:val="center"/>
                </w:tcPr>
                <w:p>
                  <w:pPr>
                    <w:jc w:val="center"/>
                    <w:rPr>
                      <w:sz w:val="18"/>
                      <w:szCs w:val="18"/>
                    </w:rPr>
                  </w:pPr>
                  <w:r>
                    <w:rPr>
                      <w:sz w:val="18"/>
                      <w:szCs w:val="18"/>
                    </w:rPr>
                    <w:t>315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3057" w:type="dxa"/>
                  <w:gridSpan w:val="3"/>
                  <w:vAlign w:val="center"/>
                </w:tcPr>
                <w:p>
                  <w:pPr>
                    <w:overflowPunct w:val="0"/>
                    <w:jc w:val="center"/>
                    <w:rPr>
                      <w:kern w:val="0"/>
                      <w:sz w:val="18"/>
                      <w:szCs w:val="18"/>
                    </w:rPr>
                  </w:pPr>
                  <w:r>
                    <w:rPr>
                      <w:kern w:val="0"/>
                      <w:sz w:val="18"/>
                      <w:szCs w:val="18"/>
                    </w:rPr>
                    <w:t>橡胶</w:t>
                  </w:r>
                </w:p>
              </w:tc>
              <w:tc>
                <w:tcPr>
                  <w:tcW w:w="1159" w:type="dxa"/>
                  <w:vAlign w:val="center"/>
                </w:tcPr>
                <w:p>
                  <w:pPr>
                    <w:jc w:val="center"/>
                    <w:rPr>
                      <w:sz w:val="18"/>
                      <w:szCs w:val="18"/>
                    </w:rPr>
                  </w:pPr>
                  <w:r>
                    <w:rPr>
                      <w:sz w:val="18"/>
                      <w:szCs w:val="18"/>
                    </w:rPr>
                    <w:t>472.5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3057" w:type="dxa"/>
                  <w:gridSpan w:val="3"/>
                  <w:vAlign w:val="center"/>
                </w:tcPr>
                <w:p>
                  <w:pPr>
                    <w:overflowPunct w:val="0"/>
                    <w:jc w:val="center"/>
                    <w:rPr>
                      <w:kern w:val="0"/>
                      <w:sz w:val="18"/>
                      <w:szCs w:val="18"/>
                    </w:rPr>
                  </w:pPr>
                  <w:r>
                    <w:rPr>
                      <w:kern w:val="0"/>
                      <w:sz w:val="18"/>
                      <w:szCs w:val="18"/>
                    </w:rPr>
                    <w:t>总成及可用零部件</w:t>
                  </w:r>
                </w:p>
              </w:tc>
              <w:tc>
                <w:tcPr>
                  <w:tcW w:w="1159" w:type="dxa"/>
                  <w:vAlign w:val="center"/>
                </w:tcPr>
                <w:p>
                  <w:pPr>
                    <w:jc w:val="center"/>
                    <w:rPr>
                      <w:sz w:val="18"/>
                      <w:szCs w:val="18"/>
                    </w:rPr>
                  </w:pPr>
                  <w:r>
                    <w:rPr>
                      <w:sz w:val="18"/>
                      <w:szCs w:val="18"/>
                    </w:rPr>
                    <w:t>1260</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restart"/>
                  <w:vAlign w:val="center"/>
                </w:tcPr>
                <w:p>
                  <w:pPr>
                    <w:overflowPunct w:val="0"/>
                    <w:jc w:val="center"/>
                    <w:rPr>
                      <w:kern w:val="0"/>
                      <w:sz w:val="18"/>
                      <w:szCs w:val="18"/>
                    </w:rPr>
                  </w:pPr>
                  <w:r>
                    <w:rPr>
                      <w:kern w:val="0"/>
                      <w:sz w:val="18"/>
                      <w:szCs w:val="18"/>
                    </w:rPr>
                    <w:t>不可利用废物</w:t>
                  </w:r>
                </w:p>
              </w:tc>
              <w:tc>
                <w:tcPr>
                  <w:tcW w:w="2452" w:type="dxa"/>
                  <w:gridSpan w:val="2"/>
                  <w:vAlign w:val="center"/>
                </w:tcPr>
                <w:p>
                  <w:pPr>
                    <w:overflowPunct w:val="0"/>
                    <w:jc w:val="center"/>
                    <w:rPr>
                      <w:kern w:val="0"/>
                      <w:sz w:val="18"/>
                      <w:szCs w:val="18"/>
                    </w:rPr>
                  </w:pPr>
                  <w:r>
                    <w:rPr>
                      <w:rFonts w:hint="eastAsia"/>
                      <w:kern w:val="0"/>
                      <w:sz w:val="18"/>
                      <w:szCs w:val="18"/>
                    </w:rPr>
                    <w:t>废铅蓄</w:t>
                  </w:r>
                  <w:r>
                    <w:rPr>
                      <w:kern w:val="0"/>
                      <w:sz w:val="18"/>
                      <w:szCs w:val="18"/>
                    </w:rPr>
                    <w:t>电池</w:t>
                  </w:r>
                </w:p>
              </w:tc>
              <w:tc>
                <w:tcPr>
                  <w:tcW w:w="1159" w:type="dxa"/>
                  <w:vAlign w:val="center"/>
                </w:tcPr>
                <w:p>
                  <w:pPr>
                    <w:widowControl/>
                    <w:jc w:val="center"/>
                    <w:rPr>
                      <w:kern w:val="0"/>
                      <w:sz w:val="18"/>
                      <w:szCs w:val="18"/>
                    </w:rPr>
                  </w:pPr>
                  <w:r>
                    <w:rPr>
                      <w:sz w:val="18"/>
                      <w:szCs w:val="18"/>
                    </w:rPr>
                    <w:t>157.5</w:t>
                  </w:r>
                </w:p>
              </w:tc>
              <w:tc>
                <w:tcPr>
                  <w:tcW w:w="656" w:type="dxa"/>
                  <w:vMerge w:val="restart"/>
                  <w:vAlign w:val="center"/>
                </w:tcPr>
                <w:p>
                  <w:pPr>
                    <w:overflowPunct w:val="0"/>
                    <w:jc w:val="center"/>
                    <w:rPr>
                      <w:kern w:val="0"/>
                      <w:sz w:val="18"/>
                      <w:szCs w:val="18"/>
                    </w:rPr>
                  </w:pPr>
                  <w:r>
                    <w:rPr>
                      <w:kern w:val="0"/>
                      <w:sz w:val="18"/>
                      <w:szCs w:val="18"/>
                    </w:rPr>
                    <w:t>危险废物</w:t>
                  </w:r>
                </w:p>
              </w:tc>
              <w:tc>
                <w:tcPr>
                  <w:tcW w:w="846" w:type="dxa"/>
                  <w:vMerge w:val="restart"/>
                  <w:vAlign w:val="center"/>
                </w:tcPr>
                <w:p>
                  <w:pPr>
                    <w:overflowPunct w:val="0"/>
                    <w:jc w:val="center"/>
                    <w:rPr>
                      <w:kern w:val="0"/>
                      <w:sz w:val="18"/>
                      <w:szCs w:val="18"/>
                    </w:rPr>
                  </w:pPr>
                  <w:r>
                    <w:rPr>
                      <w:kern w:val="0"/>
                      <w:sz w:val="18"/>
                      <w:szCs w:val="18"/>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restart"/>
                  <w:vAlign w:val="center"/>
                </w:tcPr>
                <w:p>
                  <w:pPr>
                    <w:overflowPunct w:val="0"/>
                    <w:jc w:val="center"/>
                    <w:rPr>
                      <w:kern w:val="0"/>
                      <w:sz w:val="18"/>
                      <w:szCs w:val="18"/>
                    </w:rPr>
                  </w:pPr>
                  <w:r>
                    <w:rPr>
                      <w:kern w:val="0"/>
                      <w:sz w:val="18"/>
                      <w:szCs w:val="18"/>
                    </w:rPr>
                    <w:t>废油液</w:t>
                  </w:r>
                </w:p>
              </w:tc>
              <w:tc>
                <w:tcPr>
                  <w:tcW w:w="1544" w:type="dxa"/>
                  <w:vAlign w:val="center"/>
                </w:tcPr>
                <w:p>
                  <w:pPr>
                    <w:overflowPunct w:val="0"/>
                    <w:jc w:val="center"/>
                    <w:rPr>
                      <w:kern w:val="0"/>
                      <w:sz w:val="18"/>
                      <w:szCs w:val="18"/>
                    </w:rPr>
                  </w:pPr>
                  <w:r>
                    <w:rPr>
                      <w:kern w:val="0"/>
                      <w:sz w:val="18"/>
                      <w:szCs w:val="18"/>
                    </w:rPr>
                    <w:t>废汽油、柴油</w:t>
                  </w:r>
                </w:p>
              </w:tc>
              <w:tc>
                <w:tcPr>
                  <w:tcW w:w="1159" w:type="dxa"/>
                  <w:vAlign w:val="center"/>
                </w:tcPr>
                <w:p>
                  <w:pPr>
                    <w:widowControl/>
                    <w:jc w:val="center"/>
                    <w:rPr>
                      <w:kern w:val="0"/>
                      <w:sz w:val="18"/>
                      <w:szCs w:val="18"/>
                    </w:rPr>
                  </w:pPr>
                  <w:r>
                    <w:rPr>
                      <w:sz w:val="18"/>
                      <w:szCs w:val="18"/>
                    </w:rPr>
                    <w:t>4.2</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废机油</w:t>
                  </w:r>
                </w:p>
              </w:tc>
              <w:tc>
                <w:tcPr>
                  <w:tcW w:w="1159" w:type="dxa"/>
                  <w:vAlign w:val="center"/>
                </w:tcPr>
                <w:p>
                  <w:pPr>
                    <w:jc w:val="center"/>
                    <w:rPr>
                      <w:sz w:val="18"/>
                      <w:szCs w:val="18"/>
                    </w:rPr>
                  </w:pPr>
                  <w:r>
                    <w:rPr>
                      <w:sz w:val="18"/>
                      <w:szCs w:val="18"/>
                    </w:rPr>
                    <w:t>39.9</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润滑油</w:t>
                  </w:r>
                </w:p>
              </w:tc>
              <w:tc>
                <w:tcPr>
                  <w:tcW w:w="1159" w:type="dxa"/>
                  <w:vAlign w:val="center"/>
                </w:tcPr>
                <w:p>
                  <w:pPr>
                    <w:jc w:val="center"/>
                    <w:rPr>
                      <w:sz w:val="18"/>
                      <w:szCs w:val="18"/>
                    </w:rPr>
                  </w:pPr>
                  <w:r>
                    <w:rPr>
                      <w:sz w:val="18"/>
                      <w:szCs w:val="18"/>
                    </w:rPr>
                    <w:t>19.95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冷却液</w:t>
                  </w:r>
                </w:p>
              </w:tc>
              <w:tc>
                <w:tcPr>
                  <w:tcW w:w="1159" w:type="dxa"/>
                  <w:vAlign w:val="center"/>
                </w:tcPr>
                <w:p>
                  <w:pPr>
                    <w:jc w:val="center"/>
                    <w:rPr>
                      <w:sz w:val="18"/>
                      <w:szCs w:val="18"/>
                    </w:rPr>
                  </w:pPr>
                  <w:r>
                    <w:rPr>
                      <w:sz w:val="18"/>
                      <w:szCs w:val="18"/>
                    </w:rPr>
                    <w:t>63</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防冻液</w:t>
                  </w:r>
                </w:p>
              </w:tc>
              <w:tc>
                <w:tcPr>
                  <w:tcW w:w="1159" w:type="dxa"/>
                  <w:vAlign w:val="center"/>
                </w:tcPr>
                <w:p>
                  <w:pPr>
                    <w:jc w:val="center"/>
                    <w:rPr>
                      <w:sz w:val="18"/>
                      <w:szCs w:val="18"/>
                    </w:rPr>
                  </w:pPr>
                  <w:r>
                    <w:rPr>
                      <w:sz w:val="18"/>
                      <w:szCs w:val="18"/>
                    </w:rPr>
                    <w:t>42</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908" w:type="dxa"/>
                  <w:vMerge w:val="continue"/>
                  <w:vAlign w:val="center"/>
                </w:tcPr>
                <w:p>
                  <w:pPr>
                    <w:overflowPunct w:val="0"/>
                    <w:jc w:val="center"/>
                    <w:rPr>
                      <w:kern w:val="0"/>
                      <w:sz w:val="18"/>
                      <w:szCs w:val="18"/>
                    </w:rPr>
                  </w:pPr>
                </w:p>
              </w:tc>
              <w:tc>
                <w:tcPr>
                  <w:tcW w:w="1544" w:type="dxa"/>
                  <w:vAlign w:val="center"/>
                </w:tcPr>
                <w:p>
                  <w:pPr>
                    <w:overflowPunct w:val="0"/>
                    <w:jc w:val="center"/>
                    <w:rPr>
                      <w:kern w:val="0"/>
                      <w:sz w:val="18"/>
                      <w:szCs w:val="18"/>
                    </w:rPr>
                  </w:pPr>
                  <w:r>
                    <w:rPr>
                      <w:kern w:val="0"/>
                      <w:sz w:val="18"/>
                      <w:szCs w:val="18"/>
                    </w:rPr>
                    <w:t>制动液</w:t>
                  </w:r>
                </w:p>
              </w:tc>
              <w:tc>
                <w:tcPr>
                  <w:tcW w:w="1159" w:type="dxa"/>
                  <w:vAlign w:val="center"/>
                </w:tcPr>
                <w:p>
                  <w:pPr>
                    <w:jc w:val="center"/>
                    <w:rPr>
                      <w:sz w:val="18"/>
                      <w:szCs w:val="18"/>
                    </w:rPr>
                  </w:pPr>
                  <w:r>
                    <w:rPr>
                      <w:sz w:val="18"/>
                      <w:szCs w:val="18"/>
                    </w:rPr>
                    <w:t>5.25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废油箱</w:t>
                  </w:r>
                </w:p>
              </w:tc>
              <w:tc>
                <w:tcPr>
                  <w:tcW w:w="1159" w:type="dxa"/>
                  <w:vAlign w:val="center"/>
                </w:tcPr>
                <w:p>
                  <w:pPr>
                    <w:widowControl/>
                    <w:jc w:val="center"/>
                    <w:rPr>
                      <w:rFonts w:eastAsia="等线"/>
                      <w:kern w:val="0"/>
                      <w:sz w:val="18"/>
                      <w:szCs w:val="18"/>
                    </w:rPr>
                  </w:pPr>
                  <w:r>
                    <w:rPr>
                      <w:sz w:val="18"/>
                      <w:szCs w:val="18"/>
                    </w:rPr>
                    <w:t>210</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尾气催化剂</w:t>
                  </w:r>
                </w:p>
              </w:tc>
              <w:tc>
                <w:tcPr>
                  <w:tcW w:w="1159" w:type="dxa"/>
                  <w:vAlign w:val="center"/>
                </w:tcPr>
                <w:p>
                  <w:pPr>
                    <w:jc w:val="center"/>
                    <w:rPr>
                      <w:sz w:val="18"/>
                      <w:szCs w:val="18"/>
                    </w:rPr>
                  </w:pPr>
                  <w:r>
                    <w:rPr>
                      <w:sz w:val="18"/>
                      <w:szCs w:val="18"/>
                    </w:rPr>
                    <w:t>13.12</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电容器</w:t>
                  </w:r>
                </w:p>
              </w:tc>
              <w:tc>
                <w:tcPr>
                  <w:tcW w:w="1159" w:type="dxa"/>
                  <w:vAlign w:val="center"/>
                </w:tcPr>
                <w:p>
                  <w:pPr>
                    <w:jc w:val="center"/>
                    <w:rPr>
                      <w:sz w:val="18"/>
                      <w:szCs w:val="18"/>
                    </w:rPr>
                  </w:pPr>
                  <w:r>
                    <w:rPr>
                      <w:sz w:val="18"/>
                      <w:szCs w:val="18"/>
                    </w:rPr>
                    <w:t>26.25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机油滤清器</w:t>
                  </w:r>
                </w:p>
              </w:tc>
              <w:tc>
                <w:tcPr>
                  <w:tcW w:w="1159" w:type="dxa"/>
                  <w:vAlign w:val="center"/>
                </w:tcPr>
                <w:p>
                  <w:pPr>
                    <w:jc w:val="center"/>
                    <w:rPr>
                      <w:sz w:val="18"/>
                      <w:szCs w:val="18"/>
                    </w:rPr>
                  </w:pPr>
                  <w:r>
                    <w:rPr>
                      <w:sz w:val="18"/>
                      <w:szCs w:val="18"/>
                    </w:rPr>
                    <w:t>3.15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废电子部件</w:t>
                  </w:r>
                </w:p>
              </w:tc>
              <w:tc>
                <w:tcPr>
                  <w:tcW w:w="1159" w:type="dxa"/>
                  <w:vAlign w:val="center"/>
                </w:tcPr>
                <w:p>
                  <w:pPr>
                    <w:jc w:val="center"/>
                    <w:rPr>
                      <w:sz w:val="18"/>
                      <w:szCs w:val="18"/>
                    </w:rPr>
                  </w:pPr>
                  <w:r>
                    <w:rPr>
                      <w:sz w:val="18"/>
                      <w:szCs w:val="18"/>
                    </w:rPr>
                    <w:t>157.5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autoSpaceDE w:val="0"/>
                    <w:autoSpaceDN w:val="0"/>
                    <w:adjustRightInd w:val="0"/>
                    <w:jc w:val="center"/>
                    <w:rPr>
                      <w:kern w:val="0"/>
                      <w:sz w:val="18"/>
                      <w:szCs w:val="18"/>
                    </w:rPr>
                  </w:pPr>
                  <w:r>
                    <w:rPr>
                      <w:rFonts w:hint="eastAsia"/>
                      <w:kern w:val="0"/>
                      <w:sz w:val="18"/>
                      <w:szCs w:val="18"/>
                    </w:rPr>
                    <w:t>含汞光源</w:t>
                  </w:r>
                </w:p>
              </w:tc>
              <w:tc>
                <w:tcPr>
                  <w:tcW w:w="1159" w:type="dxa"/>
                  <w:vAlign w:val="center"/>
                </w:tcPr>
                <w:p>
                  <w:pPr>
                    <w:jc w:val="center"/>
                    <w:rPr>
                      <w:rFonts w:eastAsia="等线"/>
                      <w:sz w:val="18"/>
                      <w:szCs w:val="18"/>
                    </w:rPr>
                  </w:pPr>
                  <w:r>
                    <w:rPr>
                      <w:sz w:val="18"/>
                      <w:szCs w:val="18"/>
                    </w:rPr>
                    <w:t>0.6</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autoSpaceDE w:val="0"/>
                    <w:autoSpaceDN w:val="0"/>
                    <w:adjustRightInd w:val="0"/>
                    <w:jc w:val="center"/>
                    <w:rPr>
                      <w:kern w:val="0"/>
                      <w:sz w:val="18"/>
                      <w:szCs w:val="18"/>
                    </w:rPr>
                  </w:pPr>
                  <w:r>
                    <w:rPr>
                      <w:rFonts w:hint="eastAsia"/>
                      <w:kern w:val="0"/>
                      <w:sz w:val="18"/>
                      <w:szCs w:val="18"/>
                    </w:rPr>
                    <w:t>废石棉片</w:t>
                  </w:r>
                </w:p>
              </w:tc>
              <w:tc>
                <w:tcPr>
                  <w:tcW w:w="1159" w:type="dxa"/>
                  <w:vAlign w:val="center"/>
                </w:tcPr>
                <w:p>
                  <w:pPr>
                    <w:jc w:val="center"/>
                    <w:rPr>
                      <w:rFonts w:eastAsia="等线"/>
                      <w:sz w:val="18"/>
                      <w:szCs w:val="18"/>
                    </w:rPr>
                  </w:pPr>
                  <w:r>
                    <w:rPr>
                      <w:sz w:val="18"/>
                      <w:szCs w:val="18"/>
                    </w:rPr>
                    <w:t>0.6</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制冷剂（部分为氟利昂）</w:t>
                  </w:r>
                </w:p>
              </w:tc>
              <w:tc>
                <w:tcPr>
                  <w:tcW w:w="1159" w:type="dxa"/>
                  <w:vAlign w:val="center"/>
                </w:tcPr>
                <w:p>
                  <w:pPr>
                    <w:jc w:val="center"/>
                    <w:rPr>
                      <w:sz w:val="18"/>
                      <w:szCs w:val="18"/>
                    </w:rPr>
                  </w:pPr>
                  <w:r>
                    <w:rPr>
                      <w:sz w:val="18"/>
                      <w:szCs w:val="18"/>
                    </w:rPr>
                    <w:t>6.3</w:t>
                  </w:r>
                </w:p>
              </w:tc>
              <w:tc>
                <w:tcPr>
                  <w:tcW w:w="656" w:type="dxa"/>
                  <w:vMerge w:val="restart"/>
                  <w:vAlign w:val="center"/>
                </w:tcPr>
                <w:p>
                  <w:pPr>
                    <w:overflowPunct w:val="0"/>
                    <w:jc w:val="center"/>
                    <w:rPr>
                      <w:kern w:val="0"/>
                      <w:sz w:val="18"/>
                      <w:szCs w:val="18"/>
                    </w:rPr>
                  </w:pPr>
                  <w:r>
                    <w:rPr>
                      <w:kern w:val="0"/>
                      <w:sz w:val="18"/>
                      <w:szCs w:val="18"/>
                    </w:rPr>
                    <w:t>一般工业固废</w:t>
                  </w:r>
                </w:p>
              </w:tc>
              <w:tc>
                <w:tcPr>
                  <w:tcW w:w="846" w:type="dxa"/>
                  <w:vMerge w:val="restart"/>
                  <w:vAlign w:val="center"/>
                </w:tcPr>
                <w:p>
                  <w:pPr>
                    <w:overflowPunct w:val="0"/>
                    <w:jc w:val="center"/>
                    <w:rPr>
                      <w:kern w:val="0"/>
                      <w:sz w:val="18"/>
                      <w:szCs w:val="18"/>
                    </w:rPr>
                  </w:pPr>
                  <w:r>
                    <w:rPr>
                      <w:rFonts w:hint="eastAsia"/>
                      <w:kern w:val="0"/>
                      <w:sz w:val="18"/>
                      <w:szCs w:val="18"/>
                    </w:rPr>
                    <w:t>交由相关资质的单位处置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废液化气罐</w:t>
                  </w:r>
                </w:p>
              </w:tc>
              <w:tc>
                <w:tcPr>
                  <w:tcW w:w="1159" w:type="dxa"/>
                  <w:vAlign w:val="center"/>
                </w:tcPr>
                <w:p>
                  <w:pPr>
                    <w:jc w:val="center"/>
                    <w:rPr>
                      <w:sz w:val="18"/>
                      <w:szCs w:val="18"/>
                    </w:rPr>
                  </w:pPr>
                  <w:r>
                    <w:rPr>
                      <w:sz w:val="18"/>
                      <w:szCs w:val="18"/>
                    </w:rPr>
                    <w:t>52.5</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rFonts w:hint="eastAsia"/>
                      <w:kern w:val="0"/>
                      <w:sz w:val="18"/>
                      <w:szCs w:val="18"/>
                    </w:rPr>
                    <w:t>引爆后的安全气囊</w:t>
                  </w:r>
                </w:p>
              </w:tc>
              <w:tc>
                <w:tcPr>
                  <w:tcW w:w="1159" w:type="dxa"/>
                  <w:vAlign w:val="center"/>
                </w:tcPr>
                <w:p>
                  <w:pPr>
                    <w:jc w:val="center"/>
                    <w:rPr>
                      <w:sz w:val="18"/>
                      <w:szCs w:val="18"/>
                    </w:rPr>
                  </w:pPr>
                  <w:r>
                    <w:rPr>
                      <w:rFonts w:hint="eastAsia"/>
                      <w:sz w:val="18"/>
                      <w:szCs w:val="18"/>
                    </w:rPr>
                    <w:t>3</w:t>
                  </w:r>
                  <w:r>
                    <w:rPr>
                      <w:sz w:val="18"/>
                      <w:szCs w:val="18"/>
                    </w:rPr>
                    <w:t>0.77</w:t>
                  </w:r>
                </w:p>
              </w:tc>
              <w:tc>
                <w:tcPr>
                  <w:tcW w:w="656" w:type="dxa"/>
                  <w:vMerge w:val="continue"/>
                  <w:vAlign w:val="center"/>
                </w:tcPr>
                <w:p>
                  <w:pPr>
                    <w:overflowPunct w:val="0"/>
                    <w:jc w:val="center"/>
                    <w:rPr>
                      <w:kern w:val="0"/>
                      <w:sz w:val="18"/>
                      <w:szCs w:val="18"/>
                    </w:rPr>
                  </w:pPr>
                </w:p>
              </w:tc>
              <w:tc>
                <w:tcPr>
                  <w:tcW w:w="846" w:type="dxa"/>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88" w:type="dxa"/>
                  <w:vMerge w:val="continue"/>
                  <w:vAlign w:val="center"/>
                </w:tcPr>
                <w:p>
                  <w:pPr>
                    <w:overflowPunct w:val="0"/>
                    <w:jc w:val="center"/>
                    <w:rPr>
                      <w:kern w:val="0"/>
                      <w:sz w:val="18"/>
                      <w:szCs w:val="18"/>
                    </w:rPr>
                  </w:pPr>
                </w:p>
              </w:tc>
              <w:tc>
                <w:tcPr>
                  <w:tcW w:w="929" w:type="dxa"/>
                  <w:vMerge w:val="continue"/>
                  <w:vAlign w:val="center"/>
                </w:tcPr>
                <w:p>
                  <w:pPr>
                    <w:overflowPunct w:val="0"/>
                    <w:jc w:val="center"/>
                    <w:rPr>
                      <w:kern w:val="0"/>
                      <w:sz w:val="18"/>
                      <w:szCs w:val="18"/>
                    </w:rPr>
                  </w:pPr>
                </w:p>
              </w:tc>
              <w:tc>
                <w:tcPr>
                  <w:tcW w:w="605" w:type="dxa"/>
                  <w:vMerge w:val="continue"/>
                  <w:vAlign w:val="center"/>
                </w:tcPr>
                <w:p>
                  <w:pPr>
                    <w:overflowPunct w:val="0"/>
                    <w:jc w:val="center"/>
                    <w:rPr>
                      <w:kern w:val="0"/>
                      <w:sz w:val="18"/>
                      <w:szCs w:val="18"/>
                    </w:rPr>
                  </w:pPr>
                </w:p>
              </w:tc>
              <w:tc>
                <w:tcPr>
                  <w:tcW w:w="2452" w:type="dxa"/>
                  <w:gridSpan w:val="2"/>
                  <w:vAlign w:val="center"/>
                </w:tcPr>
                <w:p>
                  <w:pPr>
                    <w:overflowPunct w:val="0"/>
                    <w:jc w:val="center"/>
                    <w:rPr>
                      <w:kern w:val="0"/>
                      <w:sz w:val="18"/>
                      <w:szCs w:val="18"/>
                    </w:rPr>
                  </w:pPr>
                  <w:r>
                    <w:rPr>
                      <w:kern w:val="0"/>
                      <w:sz w:val="18"/>
                      <w:szCs w:val="18"/>
                    </w:rPr>
                    <w:t>其它不可利用废物（主要为陶瓷、泡沫、装饰材料、碎玻璃等）</w:t>
                  </w:r>
                </w:p>
              </w:tc>
              <w:tc>
                <w:tcPr>
                  <w:tcW w:w="1159" w:type="dxa"/>
                  <w:vAlign w:val="center"/>
                </w:tcPr>
                <w:p>
                  <w:pPr>
                    <w:jc w:val="center"/>
                    <w:rPr>
                      <w:sz w:val="18"/>
                      <w:szCs w:val="18"/>
                    </w:rPr>
                  </w:pPr>
                  <w:r>
                    <w:rPr>
                      <w:sz w:val="18"/>
                      <w:szCs w:val="18"/>
                    </w:rPr>
                    <w:t>742.41</w:t>
                  </w:r>
                </w:p>
              </w:tc>
              <w:tc>
                <w:tcPr>
                  <w:tcW w:w="656" w:type="dxa"/>
                  <w:vMerge w:val="continue"/>
                  <w:vAlign w:val="center"/>
                </w:tcPr>
                <w:p>
                  <w:pPr>
                    <w:overflowPunct w:val="0"/>
                    <w:jc w:val="center"/>
                    <w:rPr>
                      <w:kern w:val="0"/>
                      <w:sz w:val="18"/>
                      <w:szCs w:val="18"/>
                    </w:rPr>
                  </w:pPr>
                </w:p>
              </w:tc>
              <w:tc>
                <w:tcPr>
                  <w:tcW w:w="846" w:type="dxa"/>
                  <w:vAlign w:val="center"/>
                </w:tcPr>
                <w:p>
                  <w:pPr>
                    <w:overflowPunct w:val="0"/>
                    <w:jc w:val="center"/>
                    <w:rPr>
                      <w:kern w:val="0"/>
                      <w:sz w:val="18"/>
                      <w:szCs w:val="18"/>
                    </w:rPr>
                  </w:pPr>
                  <w:r>
                    <w:rPr>
                      <w:kern w:val="0"/>
                      <w:sz w:val="18"/>
                      <w:szCs w:val="18"/>
                    </w:rPr>
                    <w:t>运至</w:t>
                  </w:r>
                  <w:r>
                    <w:rPr>
                      <w:rFonts w:hint="eastAsia"/>
                      <w:kern w:val="0"/>
                      <w:sz w:val="18"/>
                      <w:szCs w:val="18"/>
                    </w:rPr>
                    <w:t>一般工业固废处置场处置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274" w:type="dxa"/>
                  <w:gridSpan w:val="5"/>
                  <w:vAlign w:val="center"/>
                </w:tcPr>
                <w:p>
                  <w:pPr>
                    <w:overflowPunct w:val="0"/>
                    <w:jc w:val="center"/>
                    <w:rPr>
                      <w:kern w:val="0"/>
                      <w:sz w:val="18"/>
                      <w:szCs w:val="18"/>
                    </w:rPr>
                  </w:pPr>
                  <w:r>
                    <w:rPr>
                      <w:kern w:val="0"/>
                      <w:sz w:val="18"/>
                      <w:szCs w:val="18"/>
                    </w:rPr>
                    <w:t>合计</w:t>
                  </w:r>
                </w:p>
              </w:tc>
              <w:tc>
                <w:tcPr>
                  <w:tcW w:w="1159" w:type="dxa"/>
                  <w:vAlign w:val="center"/>
                </w:tcPr>
                <w:p>
                  <w:pPr>
                    <w:widowControl/>
                    <w:jc w:val="center"/>
                    <w:rPr>
                      <w:kern w:val="0"/>
                      <w:sz w:val="18"/>
                      <w:szCs w:val="18"/>
                    </w:rPr>
                  </w:pPr>
                  <w:r>
                    <w:rPr>
                      <w:sz w:val="18"/>
                      <w:szCs w:val="18"/>
                    </w:rPr>
                    <w:t>15750</w:t>
                  </w:r>
                </w:p>
              </w:tc>
              <w:tc>
                <w:tcPr>
                  <w:tcW w:w="656" w:type="dxa"/>
                  <w:vAlign w:val="center"/>
                </w:tcPr>
                <w:p>
                  <w:pPr>
                    <w:overflowPunct w:val="0"/>
                    <w:jc w:val="center"/>
                    <w:rPr>
                      <w:kern w:val="0"/>
                      <w:sz w:val="18"/>
                      <w:szCs w:val="18"/>
                    </w:rPr>
                  </w:pPr>
                </w:p>
              </w:tc>
              <w:tc>
                <w:tcPr>
                  <w:tcW w:w="846" w:type="dxa"/>
                  <w:vAlign w:val="center"/>
                </w:tcPr>
                <w:p>
                  <w:pPr>
                    <w:overflowPunct w:val="0"/>
                    <w:jc w:val="center"/>
                    <w:rPr>
                      <w:kern w:val="0"/>
                      <w:sz w:val="18"/>
                      <w:szCs w:val="18"/>
                    </w:rPr>
                  </w:pPr>
                </w:p>
              </w:tc>
            </w:tr>
          </w:tbl>
          <w:p>
            <w:pPr>
              <w:adjustRightInd w:val="0"/>
              <w:spacing w:line="460" w:lineRule="exact"/>
              <w:ind w:firstLine="480" w:firstLineChars="200"/>
              <w:rPr>
                <w:kern w:val="0"/>
                <w:sz w:val="24"/>
              </w:rPr>
            </w:pPr>
            <w:r>
              <w:rPr>
                <w:kern w:val="0"/>
                <w:sz w:val="24"/>
              </w:rPr>
              <w:fldChar w:fldCharType="begin"/>
            </w:r>
            <w:r>
              <w:rPr>
                <w:kern w:val="0"/>
                <w:sz w:val="24"/>
              </w:rPr>
              <w:instrText xml:space="preserve"> = 3 \* GB3 </w:instrText>
            </w:r>
            <w:r>
              <w:rPr>
                <w:kern w:val="0"/>
                <w:sz w:val="24"/>
              </w:rPr>
              <w:fldChar w:fldCharType="separate"/>
            </w:r>
            <w:r>
              <w:rPr>
                <w:rFonts w:hint="eastAsia" w:ascii="宋体" w:hAnsi="宋体" w:cs="宋体"/>
                <w:kern w:val="0"/>
                <w:sz w:val="24"/>
              </w:rPr>
              <w:t>③</w:t>
            </w:r>
            <w:r>
              <w:rPr>
                <w:kern w:val="0"/>
                <w:sz w:val="24"/>
              </w:rPr>
              <w:fldChar w:fldCharType="end"/>
            </w:r>
            <w:r>
              <w:rPr>
                <w:rFonts w:hint="eastAsia"/>
                <w:kern w:val="0"/>
                <w:sz w:val="24"/>
              </w:rPr>
              <w:t>传统燃料机动车-</w:t>
            </w:r>
            <w:r>
              <w:rPr>
                <w:kern w:val="0"/>
                <w:sz w:val="24"/>
              </w:rPr>
              <w:t>中型报废汽车</w:t>
            </w:r>
          </w:p>
          <w:p>
            <w:pPr>
              <w:adjustRightInd w:val="0"/>
              <w:spacing w:line="460" w:lineRule="exact"/>
              <w:ind w:firstLine="480" w:firstLineChars="200"/>
              <w:rPr>
                <w:kern w:val="0"/>
                <w:sz w:val="24"/>
              </w:rPr>
            </w:pPr>
            <w:r>
              <w:rPr>
                <w:kern w:val="0"/>
                <w:sz w:val="24"/>
              </w:rPr>
              <w:t>本项目年拆解中型报废汽车约7500辆，根据年拆解量及拆解数据进行估算，项目中型报废汽车拆解线物料平衡一览表见</w:t>
            </w:r>
            <w:r>
              <w:rPr>
                <w:sz w:val="24"/>
              </w:rPr>
              <w:t>表</w:t>
            </w:r>
            <w:r>
              <w:rPr>
                <w:kern w:val="0"/>
                <w:sz w:val="24"/>
              </w:rPr>
              <w:t>2.1.9</w:t>
            </w:r>
            <w:r>
              <w:rPr>
                <w:rFonts w:hint="eastAsia"/>
                <w:kern w:val="0"/>
                <w:sz w:val="24"/>
              </w:rPr>
              <w:t>-</w:t>
            </w:r>
            <w:r>
              <w:rPr>
                <w:kern w:val="0"/>
                <w:sz w:val="24"/>
              </w:rPr>
              <w:t>4。</w:t>
            </w:r>
          </w:p>
          <w:p>
            <w:pPr>
              <w:adjustRightInd w:val="0"/>
              <w:spacing w:line="460" w:lineRule="exact"/>
              <w:ind w:firstLine="360" w:firstLineChars="200"/>
              <w:jc w:val="center"/>
              <w:rPr>
                <w:sz w:val="18"/>
                <w:szCs w:val="18"/>
              </w:rPr>
            </w:pPr>
            <w:r>
              <w:rPr>
                <w:sz w:val="18"/>
                <w:szCs w:val="18"/>
              </w:rPr>
              <w:t>表</w:t>
            </w:r>
            <w:r>
              <w:rPr>
                <w:kern w:val="0"/>
                <w:sz w:val="18"/>
                <w:szCs w:val="18"/>
              </w:rPr>
              <w:t>2.1.9</w:t>
            </w:r>
            <w:r>
              <w:rPr>
                <w:rFonts w:hint="eastAsia"/>
                <w:kern w:val="0"/>
                <w:sz w:val="18"/>
                <w:szCs w:val="18"/>
              </w:rPr>
              <w:t>-</w:t>
            </w:r>
            <w:r>
              <w:rPr>
                <w:kern w:val="0"/>
                <w:sz w:val="18"/>
                <w:szCs w:val="18"/>
              </w:rPr>
              <w:t xml:space="preserve">4 </w:t>
            </w:r>
            <w:r>
              <w:rPr>
                <w:sz w:val="18"/>
                <w:szCs w:val="18"/>
              </w:rPr>
              <w:t>中型报废汽车拆解线物料平衡一览表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708"/>
              <w:gridCol w:w="1001"/>
              <w:gridCol w:w="1463"/>
              <w:gridCol w:w="1003"/>
              <w:gridCol w:w="786"/>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Align w:val="center"/>
                </w:tcPr>
                <w:p>
                  <w:pPr>
                    <w:widowControl/>
                    <w:overflowPunct w:val="0"/>
                    <w:jc w:val="center"/>
                    <w:rPr>
                      <w:kern w:val="0"/>
                      <w:sz w:val="18"/>
                      <w:szCs w:val="18"/>
                    </w:rPr>
                  </w:pPr>
                  <w:r>
                    <w:rPr>
                      <w:kern w:val="0"/>
                      <w:sz w:val="18"/>
                      <w:szCs w:val="18"/>
                    </w:rPr>
                    <w:t>名称</w:t>
                  </w:r>
                </w:p>
              </w:tc>
              <w:tc>
                <w:tcPr>
                  <w:tcW w:w="625" w:type="pct"/>
                  <w:vAlign w:val="center"/>
                </w:tcPr>
                <w:p>
                  <w:pPr>
                    <w:widowControl/>
                    <w:overflowPunct w:val="0"/>
                    <w:jc w:val="center"/>
                    <w:rPr>
                      <w:kern w:val="0"/>
                      <w:sz w:val="18"/>
                      <w:szCs w:val="18"/>
                    </w:rPr>
                  </w:pPr>
                  <w:r>
                    <w:rPr>
                      <w:kern w:val="0"/>
                      <w:sz w:val="18"/>
                      <w:szCs w:val="18"/>
                    </w:rPr>
                    <w:t>投入量（t/a）</w:t>
                  </w:r>
                </w:p>
              </w:tc>
              <w:tc>
                <w:tcPr>
                  <w:tcW w:w="1999" w:type="pct"/>
                  <w:gridSpan w:val="3"/>
                  <w:vAlign w:val="center"/>
                </w:tcPr>
                <w:p>
                  <w:pPr>
                    <w:widowControl/>
                    <w:overflowPunct w:val="0"/>
                    <w:jc w:val="center"/>
                    <w:rPr>
                      <w:kern w:val="0"/>
                      <w:sz w:val="18"/>
                      <w:szCs w:val="18"/>
                    </w:rPr>
                  </w:pPr>
                  <w:r>
                    <w:rPr>
                      <w:kern w:val="0"/>
                      <w:sz w:val="18"/>
                      <w:szCs w:val="18"/>
                    </w:rPr>
                    <w:t>名称</w:t>
                  </w:r>
                </w:p>
              </w:tc>
              <w:tc>
                <w:tcPr>
                  <w:tcW w:w="632" w:type="pct"/>
                  <w:vAlign w:val="center"/>
                </w:tcPr>
                <w:p>
                  <w:pPr>
                    <w:widowControl/>
                    <w:overflowPunct w:val="0"/>
                    <w:jc w:val="center"/>
                    <w:rPr>
                      <w:kern w:val="0"/>
                      <w:sz w:val="18"/>
                      <w:szCs w:val="18"/>
                    </w:rPr>
                  </w:pPr>
                  <w:r>
                    <w:rPr>
                      <w:kern w:val="0"/>
                      <w:sz w:val="18"/>
                      <w:szCs w:val="18"/>
                    </w:rPr>
                    <w:t>产出量（t/a）</w:t>
                  </w:r>
                </w:p>
              </w:tc>
              <w:tc>
                <w:tcPr>
                  <w:tcW w:w="495" w:type="pct"/>
                  <w:vAlign w:val="center"/>
                </w:tcPr>
                <w:p>
                  <w:pPr>
                    <w:widowControl/>
                    <w:overflowPunct w:val="0"/>
                    <w:jc w:val="center"/>
                    <w:rPr>
                      <w:kern w:val="0"/>
                      <w:sz w:val="18"/>
                      <w:szCs w:val="18"/>
                    </w:rPr>
                  </w:pPr>
                  <w:r>
                    <w:rPr>
                      <w:kern w:val="0"/>
                      <w:sz w:val="18"/>
                      <w:szCs w:val="18"/>
                    </w:rPr>
                    <w:t>种类</w:t>
                  </w:r>
                </w:p>
              </w:tc>
              <w:tc>
                <w:tcPr>
                  <w:tcW w:w="624" w:type="pct"/>
                  <w:vAlign w:val="center"/>
                </w:tcPr>
                <w:p>
                  <w:pPr>
                    <w:widowControl/>
                    <w:overflowPunct w:val="0"/>
                    <w:jc w:val="center"/>
                    <w:rPr>
                      <w:kern w:val="0"/>
                      <w:sz w:val="18"/>
                      <w:szCs w:val="18"/>
                    </w:rPr>
                  </w:pPr>
                  <w:r>
                    <w:rPr>
                      <w:kern w:val="0"/>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restart"/>
                  <w:vAlign w:val="center"/>
                </w:tcPr>
                <w:p>
                  <w:pPr>
                    <w:widowControl/>
                    <w:overflowPunct w:val="0"/>
                    <w:jc w:val="center"/>
                    <w:rPr>
                      <w:kern w:val="0"/>
                      <w:sz w:val="18"/>
                      <w:szCs w:val="18"/>
                    </w:rPr>
                  </w:pPr>
                  <w:r>
                    <w:rPr>
                      <w:kern w:val="0"/>
                      <w:sz w:val="18"/>
                      <w:szCs w:val="18"/>
                    </w:rPr>
                    <w:t>中型报废汽车（3t/辆，拆解量7500辆/年）</w:t>
                  </w:r>
                </w:p>
              </w:tc>
              <w:tc>
                <w:tcPr>
                  <w:tcW w:w="625" w:type="pct"/>
                  <w:vMerge w:val="restart"/>
                  <w:vAlign w:val="center"/>
                </w:tcPr>
                <w:p>
                  <w:pPr>
                    <w:widowControl/>
                    <w:overflowPunct w:val="0"/>
                    <w:jc w:val="center"/>
                    <w:rPr>
                      <w:kern w:val="0"/>
                      <w:sz w:val="18"/>
                      <w:szCs w:val="18"/>
                    </w:rPr>
                  </w:pPr>
                  <w:r>
                    <w:rPr>
                      <w:kern w:val="0"/>
                      <w:sz w:val="18"/>
                      <w:szCs w:val="18"/>
                    </w:rPr>
                    <w:t>22500</w:t>
                  </w:r>
                </w:p>
              </w:tc>
              <w:tc>
                <w:tcPr>
                  <w:tcW w:w="1999" w:type="pct"/>
                  <w:gridSpan w:val="3"/>
                  <w:vAlign w:val="center"/>
                </w:tcPr>
                <w:p>
                  <w:pPr>
                    <w:widowControl/>
                    <w:overflowPunct w:val="0"/>
                    <w:jc w:val="center"/>
                    <w:rPr>
                      <w:kern w:val="0"/>
                      <w:sz w:val="18"/>
                      <w:szCs w:val="18"/>
                    </w:rPr>
                  </w:pPr>
                  <w:r>
                    <w:rPr>
                      <w:kern w:val="0"/>
                      <w:sz w:val="18"/>
                      <w:szCs w:val="18"/>
                    </w:rPr>
                    <w:t>钢铁</w:t>
                  </w:r>
                </w:p>
              </w:tc>
              <w:tc>
                <w:tcPr>
                  <w:tcW w:w="632" w:type="pct"/>
                  <w:vAlign w:val="center"/>
                </w:tcPr>
                <w:p>
                  <w:pPr>
                    <w:widowControl/>
                    <w:jc w:val="center"/>
                    <w:rPr>
                      <w:kern w:val="0"/>
                      <w:sz w:val="18"/>
                      <w:szCs w:val="18"/>
                    </w:rPr>
                  </w:pPr>
                  <w:r>
                    <w:rPr>
                      <w:sz w:val="18"/>
                      <w:szCs w:val="18"/>
                    </w:rPr>
                    <w:t>16875</w:t>
                  </w:r>
                </w:p>
              </w:tc>
              <w:tc>
                <w:tcPr>
                  <w:tcW w:w="495" w:type="pct"/>
                  <w:vMerge w:val="restart"/>
                  <w:vAlign w:val="center"/>
                </w:tcPr>
                <w:p>
                  <w:pPr>
                    <w:widowControl/>
                    <w:overflowPunct w:val="0"/>
                    <w:jc w:val="center"/>
                    <w:rPr>
                      <w:kern w:val="0"/>
                      <w:sz w:val="18"/>
                      <w:szCs w:val="18"/>
                    </w:rPr>
                  </w:pPr>
                  <w:r>
                    <w:rPr>
                      <w:kern w:val="0"/>
                      <w:sz w:val="18"/>
                      <w:szCs w:val="18"/>
                    </w:rPr>
                    <w:t>产品</w:t>
                  </w:r>
                </w:p>
              </w:tc>
              <w:tc>
                <w:tcPr>
                  <w:tcW w:w="624" w:type="pct"/>
                  <w:vMerge w:val="restart"/>
                  <w:vAlign w:val="center"/>
                </w:tcPr>
                <w:p>
                  <w:pPr>
                    <w:widowControl/>
                    <w:overflowPunct w:val="0"/>
                    <w:jc w:val="center"/>
                    <w:rPr>
                      <w:kern w:val="0"/>
                      <w:sz w:val="18"/>
                      <w:szCs w:val="18"/>
                    </w:rPr>
                  </w:pPr>
                  <w:r>
                    <w:rPr>
                      <w:kern w:val="0"/>
                      <w:sz w:val="18"/>
                      <w:szCs w:val="18"/>
                    </w:rPr>
                    <w:t>外售，综合利用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restart"/>
                  <w:vAlign w:val="center"/>
                </w:tcPr>
                <w:p>
                  <w:pPr>
                    <w:widowControl/>
                    <w:overflowPunct w:val="0"/>
                    <w:jc w:val="center"/>
                    <w:rPr>
                      <w:kern w:val="0"/>
                      <w:sz w:val="18"/>
                      <w:szCs w:val="18"/>
                    </w:rPr>
                  </w:pPr>
                  <w:r>
                    <w:rPr>
                      <w:kern w:val="0"/>
                      <w:sz w:val="18"/>
                      <w:szCs w:val="18"/>
                    </w:rPr>
                    <w:t>有色金属</w:t>
                  </w:r>
                </w:p>
              </w:tc>
              <w:tc>
                <w:tcPr>
                  <w:tcW w:w="1553" w:type="pct"/>
                  <w:gridSpan w:val="2"/>
                  <w:vAlign w:val="center"/>
                </w:tcPr>
                <w:p>
                  <w:pPr>
                    <w:widowControl/>
                    <w:overflowPunct w:val="0"/>
                    <w:jc w:val="center"/>
                    <w:rPr>
                      <w:kern w:val="0"/>
                      <w:sz w:val="18"/>
                      <w:szCs w:val="18"/>
                    </w:rPr>
                  </w:pPr>
                  <w:r>
                    <w:rPr>
                      <w:kern w:val="0"/>
                      <w:sz w:val="18"/>
                      <w:szCs w:val="18"/>
                    </w:rPr>
                    <w:t>铝</w:t>
                  </w:r>
                </w:p>
              </w:tc>
              <w:tc>
                <w:tcPr>
                  <w:tcW w:w="632" w:type="pct"/>
                  <w:vAlign w:val="center"/>
                </w:tcPr>
                <w:p>
                  <w:pPr>
                    <w:widowControl/>
                    <w:jc w:val="center"/>
                    <w:textAlignment w:val="center"/>
                    <w:rPr>
                      <w:kern w:val="0"/>
                      <w:sz w:val="18"/>
                      <w:szCs w:val="18"/>
                    </w:rPr>
                  </w:pPr>
                  <w:r>
                    <w:rPr>
                      <w:sz w:val="18"/>
                      <w:szCs w:val="18"/>
                    </w:rPr>
                    <w:t>798.75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铜</w:t>
                  </w:r>
                </w:p>
              </w:tc>
              <w:tc>
                <w:tcPr>
                  <w:tcW w:w="632" w:type="pct"/>
                  <w:vAlign w:val="center"/>
                </w:tcPr>
                <w:p>
                  <w:pPr>
                    <w:widowControl/>
                    <w:jc w:val="center"/>
                    <w:textAlignment w:val="center"/>
                    <w:rPr>
                      <w:kern w:val="0"/>
                      <w:sz w:val="18"/>
                      <w:szCs w:val="18"/>
                    </w:rPr>
                  </w:pPr>
                  <w:r>
                    <w:rPr>
                      <w:sz w:val="18"/>
                      <w:szCs w:val="18"/>
                    </w:rPr>
                    <w:t>236.25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其它</w:t>
                  </w:r>
                </w:p>
              </w:tc>
              <w:tc>
                <w:tcPr>
                  <w:tcW w:w="632" w:type="pct"/>
                  <w:vAlign w:val="center"/>
                </w:tcPr>
                <w:p>
                  <w:pPr>
                    <w:widowControl/>
                    <w:jc w:val="center"/>
                    <w:textAlignment w:val="center"/>
                    <w:rPr>
                      <w:kern w:val="0"/>
                      <w:sz w:val="18"/>
                      <w:szCs w:val="18"/>
                    </w:rPr>
                  </w:pPr>
                  <w:r>
                    <w:rPr>
                      <w:sz w:val="18"/>
                      <w:szCs w:val="18"/>
                    </w:rPr>
                    <w:t>90</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1999" w:type="pct"/>
                  <w:gridSpan w:val="3"/>
                  <w:vAlign w:val="center"/>
                </w:tcPr>
                <w:p>
                  <w:pPr>
                    <w:widowControl/>
                    <w:overflowPunct w:val="0"/>
                    <w:jc w:val="center"/>
                    <w:rPr>
                      <w:kern w:val="0"/>
                      <w:sz w:val="18"/>
                      <w:szCs w:val="18"/>
                    </w:rPr>
                  </w:pPr>
                  <w:r>
                    <w:rPr>
                      <w:kern w:val="0"/>
                      <w:sz w:val="18"/>
                      <w:szCs w:val="18"/>
                    </w:rPr>
                    <w:t>塑料</w:t>
                  </w:r>
                </w:p>
              </w:tc>
              <w:tc>
                <w:tcPr>
                  <w:tcW w:w="632" w:type="pct"/>
                  <w:vAlign w:val="center"/>
                </w:tcPr>
                <w:p>
                  <w:pPr>
                    <w:widowControl/>
                    <w:jc w:val="center"/>
                    <w:textAlignment w:val="center"/>
                    <w:rPr>
                      <w:kern w:val="0"/>
                      <w:sz w:val="18"/>
                      <w:szCs w:val="18"/>
                    </w:rPr>
                  </w:pPr>
                  <w:r>
                    <w:rPr>
                      <w:sz w:val="18"/>
                      <w:szCs w:val="18"/>
                    </w:rPr>
                    <w:t>675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1999" w:type="pct"/>
                  <w:gridSpan w:val="3"/>
                  <w:vAlign w:val="center"/>
                </w:tcPr>
                <w:p>
                  <w:pPr>
                    <w:widowControl/>
                    <w:overflowPunct w:val="0"/>
                    <w:jc w:val="center"/>
                    <w:rPr>
                      <w:kern w:val="0"/>
                      <w:sz w:val="18"/>
                      <w:szCs w:val="18"/>
                    </w:rPr>
                  </w:pPr>
                  <w:r>
                    <w:rPr>
                      <w:kern w:val="0"/>
                      <w:sz w:val="18"/>
                      <w:szCs w:val="18"/>
                    </w:rPr>
                    <w:t>玻璃</w:t>
                  </w:r>
                </w:p>
              </w:tc>
              <w:tc>
                <w:tcPr>
                  <w:tcW w:w="632" w:type="pct"/>
                  <w:vAlign w:val="center"/>
                </w:tcPr>
                <w:p>
                  <w:pPr>
                    <w:widowControl/>
                    <w:jc w:val="center"/>
                    <w:textAlignment w:val="center"/>
                    <w:rPr>
                      <w:kern w:val="0"/>
                      <w:sz w:val="18"/>
                      <w:szCs w:val="18"/>
                    </w:rPr>
                  </w:pPr>
                  <w:r>
                    <w:rPr>
                      <w:sz w:val="18"/>
                      <w:szCs w:val="18"/>
                    </w:rPr>
                    <w:t>450</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1999" w:type="pct"/>
                  <w:gridSpan w:val="3"/>
                  <w:vAlign w:val="center"/>
                </w:tcPr>
                <w:p>
                  <w:pPr>
                    <w:widowControl/>
                    <w:overflowPunct w:val="0"/>
                    <w:jc w:val="center"/>
                    <w:rPr>
                      <w:kern w:val="0"/>
                      <w:sz w:val="18"/>
                      <w:szCs w:val="18"/>
                    </w:rPr>
                  </w:pPr>
                  <w:r>
                    <w:rPr>
                      <w:kern w:val="0"/>
                      <w:sz w:val="18"/>
                      <w:szCs w:val="18"/>
                    </w:rPr>
                    <w:t>橡胶</w:t>
                  </w:r>
                </w:p>
              </w:tc>
              <w:tc>
                <w:tcPr>
                  <w:tcW w:w="632" w:type="pct"/>
                  <w:vAlign w:val="center"/>
                </w:tcPr>
                <w:p>
                  <w:pPr>
                    <w:widowControl/>
                    <w:jc w:val="center"/>
                    <w:textAlignment w:val="center"/>
                    <w:rPr>
                      <w:kern w:val="0"/>
                      <w:sz w:val="18"/>
                      <w:szCs w:val="18"/>
                    </w:rPr>
                  </w:pPr>
                  <w:r>
                    <w:rPr>
                      <w:sz w:val="18"/>
                      <w:szCs w:val="18"/>
                    </w:rPr>
                    <w:t>675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1999" w:type="pct"/>
                  <w:gridSpan w:val="3"/>
                  <w:vAlign w:val="center"/>
                </w:tcPr>
                <w:p>
                  <w:pPr>
                    <w:widowControl/>
                    <w:overflowPunct w:val="0"/>
                    <w:jc w:val="center"/>
                    <w:rPr>
                      <w:kern w:val="0"/>
                      <w:sz w:val="18"/>
                      <w:szCs w:val="18"/>
                    </w:rPr>
                  </w:pPr>
                  <w:r>
                    <w:rPr>
                      <w:kern w:val="0"/>
                      <w:sz w:val="18"/>
                      <w:szCs w:val="18"/>
                    </w:rPr>
                    <w:t>总成及可用零部件</w:t>
                  </w:r>
                </w:p>
              </w:tc>
              <w:tc>
                <w:tcPr>
                  <w:tcW w:w="632" w:type="pct"/>
                  <w:vAlign w:val="center"/>
                </w:tcPr>
                <w:p>
                  <w:pPr>
                    <w:widowControl/>
                    <w:jc w:val="center"/>
                    <w:textAlignment w:val="center"/>
                    <w:rPr>
                      <w:kern w:val="0"/>
                      <w:sz w:val="18"/>
                      <w:szCs w:val="18"/>
                    </w:rPr>
                  </w:pPr>
                  <w:r>
                    <w:rPr>
                      <w:sz w:val="18"/>
                      <w:szCs w:val="18"/>
                    </w:rPr>
                    <w:t>1350</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restart"/>
                  <w:vAlign w:val="center"/>
                </w:tcPr>
                <w:p>
                  <w:pPr>
                    <w:widowControl/>
                    <w:overflowPunct w:val="0"/>
                    <w:jc w:val="center"/>
                    <w:rPr>
                      <w:kern w:val="0"/>
                      <w:sz w:val="18"/>
                      <w:szCs w:val="18"/>
                    </w:rPr>
                  </w:pPr>
                  <w:r>
                    <w:rPr>
                      <w:kern w:val="0"/>
                      <w:sz w:val="18"/>
                      <w:szCs w:val="18"/>
                    </w:rPr>
                    <w:t>不可利用废物</w:t>
                  </w:r>
                </w:p>
              </w:tc>
              <w:tc>
                <w:tcPr>
                  <w:tcW w:w="1553" w:type="pct"/>
                  <w:gridSpan w:val="2"/>
                  <w:vAlign w:val="center"/>
                </w:tcPr>
                <w:p>
                  <w:pPr>
                    <w:widowControl/>
                    <w:overflowPunct w:val="0"/>
                    <w:jc w:val="center"/>
                    <w:rPr>
                      <w:kern w:val="0"/>
                      <w:sz w:val="18"/>
                      <w:szCs w:val="18"/>
                    </w:rPr>
                  </w:pPr>
                  <w:r>
                    <w:rPr>
                      <w:rFonts w:hint="eastAsia"/>
                      <w:kern w:val="0"/>
                      <w:sz w:val="18"/>
                      <w:szCs w:val="18"/>
                    </w:rPr>
                    <w:t>废铅蓄</w:t>
                  </w:r>
                  <w:r>
                    <w:rPr>
                      <w:kern w:val="0"/>
                      <w:sz w:val="18"/>
                      <w:szCs w:val="18"/>
                    </w:rPr>
                    <w:t>电池</w:t>
                  </w:r>
                </w:p>
              </w:tc>
              <w:tc>
                <w:tcPr>
                  <w:tcW w:w="632" w:type="pct"/>
                  <w:vAlign w:val="center"/>
                </w:tcPr>
                <w:p>
                  <w:pPr>
                    <w:widowControl/>
                    <w:jc w:val="center"/>
                    <w:rPr>
                      <w:kern w:val="0"/>
                      <w:sz w:val="18"/>
                      <w:szCs w:val="18"/>
                    </w:rPr>
                  </w:pPr>
                  <w:r>
                    <w:rPr>
                      <w:sz w:val="18"/>
                      <w:szCs w:val="18"/>
                    </w:rPr>
                    <w:t>172.5</w:t>
                  </w:r>
                </w:p>
              </w:tc>
              <w:tc>
                <w:tcPr>
                  <w:tcW w:w="495" w:type="pct"/>
                  <w:vMerge w:val="restart"/>
                  <w:vAlign w:val="center"/>
                </w:tcPr>
                <w:p>
                  <w:pPr>
                    <w:widowControl/>
                    <w:overflowPunct w:val="0"/>
                    <w:jc w:val="center"/>
                    <w:rPr>
                      <w:kern w:val="0"/>
                      <w:sz w:val="18"/>
                      <w:szCs w:val="18"/>
                    </w:rPr>
                  </w:pPr>
                  <w:r>
                    <w:rPr>
                      <w:kern w:val="0"/>
                      <w:sz w:val="18"/>
                      <w:szCs w:val="18"/>
                    </w:rPr>
                    <w:t>危险废物</w:t>
                  </w:r>
                </w:p>
              </w:tc>
              <w:tc>
                <w:tcPr>
                  <w:tcW w:w="624" w:type="pct"/>
                  <w:vMerge w:val="restart"/>
                  <w:vAlign w:val="center"/>
                </w:tcPr>
                <w:p>
                  <w:pPr>
                    <w:widowControl/>
                    <w:overflowPunct w:val="0"/>
                    <w:jc w:val="center"/>
                    <w:rPr>
                      <w:kern w:val="0"/>
                      <w:sz w:val="18"/>
                      <w:szCs w:val="18"/>
                    </w:rPr>
                  </w:pPr>
                  <w:r>
                    <w:rPr>
                      <w:kern w:val="0"/>
                      <w:sz w:val="18"/>
                      <w:szCs w:val="18"/>
                    </w:rPr>
                    <w:t>委托具有相应危废处理资质的单位外运处置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restart"/>
                  <w:vAlign w:val="center"/>
                </w:tcPr>
                <w:p>
                  <w:pPr>
                    <w:widowControl/>
                    <w:overflowPunct w:val="0"/>
                    <w:jc w:val="center"/>
                    <w:rPr>
                      <w:kern w:val="0"/>
                      <w:sz w:val="18"/>
                      <w:szCs w:val="18"/>
                    </w:rPr>
                  </w:pPr>
                  <w:r>
                    <w:rPr>
                      <w:kern w:val="0"/>
                      <w:sz w:val="18"/>
                      <w:szCs w:val="18"/>
                    </w:rPr>
                    <w:t>废油液</w:t>
                  </w:r>
                </w:p>
              </w:tc>
              <w:tc>
                <w:tcPr>
                  <w:tcW w:w="922" w:type="pct"/>
                  <w:vAlign w:val="center"/>
                </w:tcPr>
                <w:p>
                  <w:pPr>
                    <w:widowControl/>
                    <w:overflowPunct w:val="0"/>
                    <w:jc w:val="center"/>
                    <w:rPr>
                      <w:kern w:val="0"/>
                      <w:sz w:val="18"/>
                      <w:szCs w:val="18"/>
                    </w:rPr>
                  </w:pPr>
                  <w:r>
                    <w:rPr>
                      <w:kern w:val="0"/>
                      <w:sz w:val="18"/>
                      <w:szCs w:val="18"/>
                    </w:rPr>
                    <w:t>废汽油、柴油</w:t>
                  </w:r>
                </w:p>
              </w:tc>
              <w:tc>
                <w:tcPr>
                  <w:tcW w:w="632" w:type="pct"/>
                  <w:vAlign w:val="center"/>
                </w:tcPr>
                <w:p>
                  <w:pPr>
                    <w:widowControl/>
                    <w:jc w:val="center"/>
                    <w:textAlignment w:val="center"/>
                    <w:rPr>
                      <w:kern w:val="0"/>
                      <w:sz w:val="18"/>
                      <w:szCs w:val="18"/>
                    </w:rPr>
                  </w:pPr>
                  <w:r>
                    <w:rPr>
                      <w:sz w:val="18"/>
                      <w:szCs w:val="18"/>
                    </w:rPr>
                    <w:t>3</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continue"/>
                  <w:vAlign w:val="center"/>
                </w:tcPr>
                <w:p>
                  <w:pPr>
                    <w:widowControl/>
                    <w:overflowPunct w:val="0"/>
                    <w:jc w:val="left"/>
                    <w:rPr>
                      <w:kern w:val="0"/>
                      <w:sz w:val="18"/>
                      <w:szCs w:val="18"/>
                    </w:rPr>
                  </w:pPr>
                </w:p>
              </w:tc>
              <w:tc>
                <w:tcPr>
                  <w:tcW w:w="922" w:type="pct"/>
                  <w:vAlign w:val="center"/>
                </w:tcPr>
                <w:p>
                  <w:pPr>
                    <w:widowControl/>
                    <w:overflowPunct w:val="0"/>
                    <w:jc w:val="center"/>
                    <w:rPr>
                      <w:kern w:val="0"/>
                      <w:sz w:val="18"/>
                      <w:szCs w:val="18"/>
                    </w:rPr>
                  </w:pPr>
                  <w:r>
                    <w:rPr>
                      <w:kern w:val="0"/>
                      <w:sz w:val="18"/>
                      <w:szCs w:val="18"/>
                    </w:rPr>
                    <w:t>废机油</w:t>
                  </w:r>
                </w:p>
              </w:tc>
              <w:tc>
                <w:tcPr>
                  <w:tcW w:w="632" w:type="pct"/>
                  <w:vAlign w:val="center"/>
                </w:tcPr>
                <w:p>
                  <w:pPr>
                    <w:widowControl/>
                    <w:jc w:val="center"/>
                    <w:textAlignment w:val="center"/>
                    <w:rPr>
                      <w:kern w:val="0"/>
                      <w:sz w:val="18"/>
                      <w:szCs w:val="18"/>
                    </w:rPr>
                  </w:pPr>
                  <w:r>
                    <w:rPr>
                      <w:sz w:val="18"/>
                      <w:szCs w:val="18"/>
                    </w:rPr>
                    <w:t>40.5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continue"/>
                  <w:vAlign w:val="center"/>
                </w:tcPr>
                <w:p>
                  <w:pPr>
                    <w:widowControl/>
                    <w:overflowPunct w:val="0"/>
                    <w:jc w:val="left"/>
                    <w:rPr>
                      <w:kern w:val="0"/>
                      <w:sz w:val="18"/>
                      <w:szCs w:val="18"/>
                    </w:rPr>
                  </w:pPr>
                </w:p>
              </w:tc>
              <w:tc>
                <w:tcPr>
                  <w:tcW w:w="922" w:type="pct"/>
                  <w:vAlign w:val="center"/>
                </w:tcPr>
                <w:p>
                  <w:pPr>
                    <w:widowControl/>
                    <w:overflowPunct w:val="0"/>
                    <w:jc w:val="center"/>
                    <w:rPr>
                      <w:kern w:val="0"/>
                      <w:sz w:val="18"/>
                      <w:szCs w:val="18"/>
                    </w:rPr>
                  </w:pPr>
                  <w:r>
                    <w:rPr>
                      <w:kern w:val="0"/>
                      <w:sz w:val="18"/>
                      <w:szCs w:val="18"/>
                    </w:rPr>
                    <w:t>润滑油</w:t>
                  </w:r>
                </w:p>
              </w:tc>
              <w:tc>
                <w:tcPr>
                  <w:tcW w:w="632" w:type="pct"/>
                  <w:vAlign w:val="center"/>
                </w:tcPr>
                <w:p>
                  <w:pPr>
                    <w:widowControl/>
                    <w:jc w:val="center"/>
                    <w:textAlignment w:val="center"/>
                    <w:rPr>
                      <w:kern w:val="0"/>
                      <w:sz w:val="18"/>
                      <w:szCs w:val="18"/>
                    </w:rPr>
                  </w:pPr>
                  <w:r>
                    <w:rPr>
                      <w:sz w:val="18"/>
                      <w:szCs w:val="18"/>
                    </w:rPr>
                    <w:t>21</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continue"/>
                  <w:vAlign w:val="center"/>
                </w:tcPr>
                <w:p>
                  <w:pPr>
                    <w:widowControl/>
                    <w:overflowPunct w:val="0"/>
                    <w:jc w:val="left"/>
                    <w:rPr>
                      <w:kern w:val="0"/>
                      <w:sz w:val="18"/>
                      <w:szCs w:val="18"/>
                    </w:rPr>
                  </w:pPr>
                </w:p>
              </w:tc>
              <w:tc>
                <w:tcPr>
                  <w:tcW w:w="922" w:type="pct"/>
                  <w:vAlign w:val="center"/>
                </w:tcPr>
                <w:p>
                  <w:pPr>
                    <w:widowControl/>
                    <w:overflowPunct w:val="0"/>
                    <w:jc w:val="center"/>
                    <w:rPr>
                      <w:kern w:val="0"/>
                      <w:sz w:val="18"/>
                      <w:szCs w:val="18"/>
                    </w:rPr>
                  </w:pPr>
                  <w:r>
                    <w:rPr>
                      <w:kern w:val="0"/>
                      <w:sz w:val="18"/>
                      <w:szCs w:val="18"/>
                    </w:rPr>
                    <w:t>冷却液</w:t>
                  </w:r>
                </w:p>
              </w:tc>
              <w:tc>
                <w:tcPr>
                  <w:tcW w:w="632" w:type="pct"/>
                  <w:vAlign w:val="center"/>
                </w:tcPr>
                <w:p>
                  <w:pPr>
                    <w:widowControl/>
                    <w:jc w:val="center"/>
                    <w:textAlignment w:val="center"/>
                    <w:rPr>
                      <w:kern w:val="0"/>
                      <w:sz w:val="18"/>
                      <w:szCs w:val="18"/>
                    </w:rPr>
                  </w:pPr>
                  <w:r>
                    <w:rPr>
                      <w:sz w:val="18"/>
                      <w:szCs w:val="18"/>
                    </w:rPr>
                    <w:t>67.5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continue"/>
                  <w:vAlign w:val="center"/>
                </w:tcPr>
                <w:p>
                  <w:pPr>
                    <w:widowControl/>
                    <w:overflowPunct w:val="0"/>
                    <w:jc w:val="left"/>
                    <w:rPr>
                      <w:kern w:val="0"/>
                      <w:sz w:val="18"/>
                      <w:szCs w:val="18"/>
                    </w:rPr>
                  </w:pPr>
                </w:p>
              </w:tc>
              <w:tc>
                <w:tcPr>
                  <w:tcW w:w="922" w:type="pct"/>
                  <w:vAlign w:val="center"/>
                </w:tcPr>
                <w:p>
                  <w:pPr>
                    <w:widowControl/>
                    <w:overflowPunct w:val="0"/>
                    <w:jc w:val="center"/>
                    <w:rPr>
                      <w:kern w:val="0"/>
                      <w:sz w:val="18"/>
                      <w:szCs w:val="18"/>
                    </w:rPr>
                  </w:pPr>
                  <w:r>
                    <w:rPr>
                      <w:kern w:val="0"/>
                      <w:sz w:val="18"/>
                      <w:szCs w:val="18"/>
                    </w:rPr>
                    <w:t>防冻液</w:t>
                  </w:r>
                </w:p>
              </w:tc>
              <w:tc>
                <w:tcPr>
                  <w:tcW w:w="632" w:type="pct"/>
                  <w:vAlign w:val="center"/>
                </w:tcPr>
                <w:p>
                  <w:pPr>
                    <w:widowControl/>
                    <w:jc w:val="center"/>
                    <w:textAlignment w:val="center"/>
                    <w:rPr>
                      <w:kern w:val="0"/>
                      <w:sz w:val="18"/>
                      <w:szCs w:val="18"/>
                    </w:rPr>
                  </w:pPr>
                  <w:r>
                    <w:rPr>
                      <w:sz w:val="18"/>
                      <w:szCs w:val="18"/>
                    </w:rPr>
                    <w:t>45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631" w:type="pct"/>
                  <w:vMerge w:val="continue"/>
                  <w:vAlign w:val="center"/>
                </w:tcPr>
                <w:p>
                  <w:pPr>
                    <w:widowControl/>
                    <w:overflowPunct w:val="0"/>
                    <w:jc w:val="left"/>
                    <w:rPr>
                      <w:kern w:val="0"/>
                      <w:sz w:val="18"/>
                      <w:szCs w:val="18"/>
                    </w:rPr>
                  </w:pPr>
                </w:p>
              </w:tc>
              <w:tc>
                <w:tcPr>
                  <w:tcW w:w="922" w:type="pct"/>
                  <w:vAlign w:val="center"/>
                </w:tcPr>
                <w:p>
                  <w:pPr>
                    <w:widowControl/>
                    <w:overflowPunct w:val="0"/>
                    <w:jc w:val="center"/>
                    <w:rPr>
                      <w:kern w:val="0"/>
                      <w:sz w:val="18"/>
                      <w:szCs w:val="18"/>
                    </w:rPr>
                  </w:pPr>
                  <w:r>
                    <w:rPr>
                      <w:kern w:val="0"/>
                      <w:sz w:val="18"/>
                      <w:szCs w:val="18"/>
                    </w:rPr>
                    <w:t>制动液</w:t>
                  </w:r>
                </w:p>
              </w:tc>
              <w:tc>
                <w:tcPr>
                  <w:tcW w:w="632" w:type="pct"/>
                  <w:vAlign w:val="center"/>
                </w:tcPr>
                <w:p>
                  <w:pPr>
                    <w:widowControl/>
                    <w:jc w:val="center"/>
                    <w:textAlignment w:val="center"/>
                    <w:rPr>
                      <w:kern w:val="0"/>
                      <w:sz w:val="18"/>
                      <w:szCs w:val="18"/>
                    </w:rPr>
                  </w:pPr>
                  <w:r>
                    <w:rPr>
                      <w:sz w:val="18"/>
                      <w:szCs w:val="18"/>
                    </w:rPr>
                    <w:t>6</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废油箱</w:t>
                  </w:r>
                </w:p>
              </w:tc>
              <w:tc>
                <w:tcPr>
                  <w:tcW w:w="632" w:type="pct"/>
                  <w:vAlign w:val="center"/>
                </w:tcPr>
                <w:p>
                  <w:pPr>
                    <w:widowControl/>
                    <w:jc w:val="center"/>
                    <w:textAlignment w:val="center"/>
                    <w:rPr>
                      <w:kern w:val="0"/>
                      <w:sz w:val="18"/>
                      <w:szCs w:val="18"/>
                    </w:rPr>
                  </w:pPr>
                  <w:r>
                    <w:rPr>
                      <w:sz w:val="18"/>
                      <w:szCs w:val="18"/>
                    </w:rPr>
                    <w:t>225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尾气催化剂</w:t>
                  </w:r>
                </w:p>
              </w:tc>
              <w:tc>
                <w:tcPr>
                  <w:tcW w:w="632" w:type="pct"/>
                  <w:vAlign w:val="center"/>
                </w:tcPr>
                <w:p>
                  <w:pPr>
                    <w:widowControl/>
                    <w:jc w:val="center"/>
                    <w:textAlignment w:val="center"/>
                    <w:rPr>
                      <w:kern w:val="0"/>
                      <w:sz w:val="18"/>
                      <w:szCs w:val="18"/>
                    </w:rPr>
                  </w:pPr>
                  <w:r>
                    <w:rPr>
                      <w:sz w:val="18"/>
                      <w:szCs w:val="18"/>
                    </w:rPr>
                    <w:t>30</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电容器</w:t>
                  </w:r>
                </w:p>
              </w:tc>
              <w:tc>
                <w:tcPr>
                  <w:tcW w:w="632" w:type="pct"/>
                  <w:vAlign w:val="center"/>
                </w:tcPr>
                <w:p>
                  <w:pPr>
                    <w:widowControl/>
                    <w:jc w:val="center"/>
                    <w:textAlignment w:val="center"/>
                    <w:rPr>
                      <w:kern w:val="0"/>
                      <w:sz w:val="18"/>
                      <w:szCs w:val="18"/>
                    </w:rPr>
                  </w:pPr>
                  <w:r>
                    <w:rPr>
                      <w:sz w:val="18"/>
                      <w:szCs w:val="18"/>
                    </w:rPr>
                    <w:t>52.5</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机油滤清器</w:t>
                  </w:r>
                </w:p>
              </w:tc>
              <w:tc>
                <w:tcPr>
                  <w:tcW w:w="632" w:type="pct"/>
                  <w:vAlign w:val="center"/>
                </w:tcPr>
                <w:p>
                  <w:pPr>
                    <w:widowControl/>
                    <w:jc w:val="center"/>
                    <w:textAlignment w:val="center"/>
                    <w:rPr>
                      <w:kern w:val="0"/>
                      <w:sz w:val="18"/>
                      <w:szCs w:val="18"/>
                    </w:rPr>
                  </w:pPr>
                  <w:r>
                    <w:rPr>
                      <w:sz w:val="18"/>
                      <w:szCs w:val="18"/>
                    </w:rPr>
                    <w:t>3</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废电子部件</w:t>
                  </w:r>
                </w:p>
              </w:tc>
              <w:tc>
                <w:tcPr>
                  <w:tcW w:w="632" w:type="pct"/>
                  <w:vAlign w:val="center"/>
                </w:tcPr>
                <w:p>
                  <w:pPr>
                    <w:widowControl/>
                    <w:jc w:val="center"/>
                    <w:textAlignment w:val="center"/>
                    <w:rPr>
                      <w:kern w:val="0"/>
                      <w:sz w:val="18"/>
                      <w:szCs w:val="18"/>
                    </w:rPr>
                  </w:pPr>
                  <w:r>
                    <w:rPr>
                      <w:sz w:val="18"/>
                      <w:szCs w:val="18"/>
                    </w:rPr>
                    <w:t>300</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autoSpaceDE w:val="0"/>
                    <w:autoSpaceDN w:val="0"/>
                    <w:adjustRightInd w:val="0"/>
                    <w:jc w:val="center"/>
                    <w:rPr>
                      <w:kern w:val="0"/>
                      <w:sz w:val="18"/>
                      <w:szCs w:val="18"/>
                    </w:rPr>
                  </w:pPr>
                  <w:r>
                    <w:rPr>
                      <w:rFonts w:hint="eastAsia"/>
                      <w:kern w:val="0"/>
                      <w:sz w:val="18"/>
                      <w:szCs w:val="18"/>
                    </w:rPr>
                    <w:t>含汞光源</w:t>
                  </w:r>
                </w:p>
              </w:tc>
              <w:tc>
                <w:tcPr>
                  <w:tcW w:w="632" w:type="pct"/>
                  <w:vAlign w:val="center"/>
                </w:tcPr>
                <w:p>
                  <w:pPr>
                    <w:jc w:val="center"/>
                    <w:rPr>
                      <w:rFonts w:eastAsia="等线"/>
                      <w:sz w:val="18"/>
                      <w:szCs w:val="18"/>
                    </w:rPr>
                  </w:pPr>
                  <w:r>
                    <w:rPr>
                      <w:sz w:val="18"/>
                      <w:szCs w:val="18"/>
                    </w:rPr>
                    <w:t>0.3</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autoSpaceDE w:val="0"/>
                    <w:autoSpaceDN w:val="0"/>
                    <w:adjustRightInd w:val="0"/>
                    <w:jc w:val="center"/>
                    <w:rPr>
                      <w:kern w:val="0"/>
                      <w:sz w:val="18"/>
                      <w:szCs w:val="18"/>
                    </w:rPr>
                  </w:pPr>
                  <w:r>
                    <w:rPr>
                      <w:rFonts w:hint="eastAsia"/>
                      <w:kern w:val="0"/>
                      <w:sz w:val="18"/>
                      <w:szCs w:val="18"/>
                    </w:rPr>
                    <w:t>废石棉片</w:t>
                  </w:r>
                </w:p>
              </w:tc>
              <w:tc>
                <w:tcPr>
                  <w:tcW w:w="632" w:type="pct"/>
                  <w:vAlign w:val="center"/>
                </w:tcPr>
                <w:p>
                  <w:pPr>
                    <w:jc w:val="center"/>
                    <w:rPr>
                      <w:rFonts w:eastAsia="等线"/>
                      <w:sz w:val="18"/>
                      <w:szCs w:val="18"/>
                    </w:rPr>
                  </w:pPr>
                  <w:r>
                    <w:rPr>
                      <w:sz w:val="18"/>
                      <w:szCs w:val="18"/>
                    </w:rPr>
                    <w:t>0.3</w:t>
                  </w:r>
                </w:p>
              </w:tc>
              <w:tc>
                <w:tcPr>
                  <w:tcW w:w="495" w:type="pct"/>
                  <w:vMerge w:val="continue"/>
                  <w:vAlign w:val="center"/>
                </w:tcPr>
                <w:p>
                  <w:pPr>
                    <w:widowControl/>
                    <w:overflowPunct w:val="0"/>
                    <w:jc w:val="left"/>
                    <w:rPr>
                      <w:kern w:val="0"/>
                      <w:sz w:val="18"/>
                      <w:szCs w:val="18"/>
                    </w:rPr>
                  </w:pPr>
                </w:p>
              </w:tc>
              <w:tc>
                <w:tcPr>
                  <w:tcW w:w="624" w:type="pct"/>
                  <w:vMerge w:val="continue"/>
                  <w:vAlign w:val="center"/>
                </w:tcPr>
                <w:p>
                  <w:pPr>
                    <w:widowControl/>
                    <w:overflowPunct w:val="0"/>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制冷剂（部分为氟利昂）</w:t>
                  </w:r>
                </w:p>
              </w:tc>
              <w:tc>
                <w:tcPr>
                  <w:tcW w:w="632" w:type="pct"/>
                  <w:vAlign w:val="center"/>
                </w:tcPr>
                <w:p>
                  <w:pPr>
                    <w:widowControl/>
                    <w:jc w:val="center"/>
                    <w:textAlignment w:val="center"/>
                    <w:rPr>
                      <w:kern w:val="0"/>
                      <w:sz w:val="18"/>
                      <w:szCs w:val="18"/>
                    </w:rPr>
                  </w:pPr>
                  <w:r>
                    <w:rPr>
                      <w:sz w:val="18"/>
                      <w:szCs w:val="18"/>
                    </w:rPr>
                    <w:t>7.5</w:t>
                  </w:r>
                </w:p>
              </w:tc>
              <w:tc>
                <w:tcPr>
                  <w:tcW w:w="495" w:type="pct"/>
                  <w:vMerge w:val="restart"/>
                  <w:vAlign w:val="center"/>
                </w:tcPr>
                <w:p>
                  <w:pPr>
                    <w:overflowPunct w:val="0"/>
                    <w:jc w:val="center"/>
                    <w:rPr>
                      <w:kern w:val="0"/>
                      <w:sz w:val="18"/>
                      <w:szCs w:val="18"/>
                    </w:rPr>
                  </w:pPr>
                  <w:r>
                    <w:rPr>
                      <w:kern w:val="0"/>
                      <w:sz w:val="18"/>
                      <w:szCs w:val="18"/>
                    </w:rPr>
                    <w:t>一般工业固废</w:t>
                  </w:r>
                </w:p>
              </w:tc>
              <w:tc>
                <w:tcPr>
                  <w:tcW w:w="624" w:type="pct"/>
                  <w:vMerge w:val="restart"/>
                  <w:vAlign w:val="center"/>
                </w:tcPr>
                <w:p>
                  <w:pPr>
                    <w:overflowPunct w:val="0"/>
                    <w:jc w:val="center"/>
                    <w:rPr>
                      <w:kern w:val="0"/>
                      <w:sz w:val="18"/>
                      <w:szCs w:val="18"/>
                    </w:rPr>
                  </w:pPr>
                  <w:r>
                    <w:rPr>
                      <w:rFonts w:hint="eastAsia"/>
                      <w:kern w:val="0"/>
                      <w:sz w:val="18"/>
                      <w:szCs w:val="18"/>
                    </w:rPr>
                    <w:t>交由相关资质的单位处置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废液化气罐</w:t>
                  </w:r>
                </w:p>
              </w:tc>
              <w:tc>
                <w:tcPr>
                  <w:tcW w:w="632" w:type="pct"/>
                  <w:vAlign w:val="center"/>
                </w:tcPr>
                <w:p>
                  <w:pPr>
                    <w:widowControl/>
                    <w:jc w:val="center"/>
                    <w:textAlignment w:val="center"/>
                    <w:rPr>
                      <w:kern w:val="0"/>
                      <w:sz w:val="18"/>
                      <w:szCs w:val="18"/>
                    </w:rPr>
                  </w:pPr>
                  <w:r>
                    <w:rPr>
                      <w:sz w:val="18"/>
                      <w:szCs w:val="18"/>
                    </w:rPr>
                    <w:t>45</w:t>
                  </w:r>
                </w:p>
              </w:tc>
              <w:tc>
                <w:tcPr>
                  <w:tcW w:w="495" w:type="pct"/>
                  <w:vMerge w:val="continue"/>
                  <w:vAlign w:val="center"/>
                </w:tcPr>
                <w:p>
                  <w:pPr>
                    <w:overflowPunct w:val="0"/>
                    <w:jc w:val="center"/>
                    <w:rPr>
                      <w:kern w:val="0"/>
                      <w:sz w:val="18"/>
                      <w:szCs w:val="18"/>
                    </w:rPr>
                  </w:pPr>
                </w:p>
              </w:tc>
              <w:tc>
                <w:tcPr>
                  <w:tcW w:w="624" w:type="pct"/>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rFonts w:hint="eastAsia"/>
                      <w:kern w:val="0"/>
                      <w:sz w:val="18"/>
                      <w:szCs w:val="18"/>
                    </w:rPr>
                    <w:t>引爆后的安全气囊</w:t>
                  </w:r>
                </w:p>
              </w:tc>
              <w:tc>
                <w:tcPr>
                  <w:tcW w:w="632" w:type="pct"/>
                  <w:vAlign w:val="center"/>
                </w:tcPr>
                <w:p>
                  <w:pPr>
                    <w:widowControl/>
                    <w:jc w:val="center"/>
                    <w:textAlignment w:val="center"/>
                    <w:rPr>
                      <w:sz w:val="18"/>
                      <w:szCs w:val="18"/>
                    </w:rPr>
                  </w:pPr>
                  <w:r>
                    <w:rPr>
                      <w:rFonts w:hint="eastAsia"/>
                      <w:sz w:val="18"/>
                      <w:szCs w:val="18"/>
                    </w:rPr>
                    <w:t>4</w:t>
                  </w:r>
                  <w:r>
                    <w:rPr>
                      <w:sz w:val="18"/>
                      <w:szCs w:val="18"/>
                    </w:rPr>
                    <w:t>5</w:t>
                  </w:r>
                </w:p>
              </w:tc>
              <w:tc>
                <w:tcPr>
                  <w:tcW w:w="495" w:type="pct"/>
                  <w:vMerge w:val="continue"/>
                  <w:vAlign w:val="center"/>
                </w:tcPr>
                <w:p>
                  <w:pPr>
                    <w:widowControl/>
                    <w:overflowPunct w:val="0"/>
                    <w:jc w:val="center"/>
                    <w:rPr>
                      <w:kern w:val="0"/>
                      <w:sz w:val="18"/>
                      <w:szCs w:val="18"/>
                    </w:rPr>
                  </w:pPr>
                </w:p>
              </w:tc>
              <w:tc>
                <w:tcPr>
                  <w:tcW w:w="624" w:type="pct"/>
                  <w:vMerge w:val="continue"/>
                  <w:vAlign w:val="center"/>
                </w:tcPr>
                <w:p>
                  <w:pPr>
                    <w:overflowPunct w:val="0"/>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5" w:type="pct"/>
                  <w:vMerge w:val="continue"/>
                  <w:vAlign w:val="center"/>
                </w:tcPr>
                <w:p>
                  <w:pPr>
                    <w:widowControl/>
                    <w:overflowPunct w:val="0"/>
                    <w:jc w:val="left"/>
                    <w:rPr>
                      <w:kern w:val="0"/>
                      <w:sz w:val="18"/>
                      <w:szCs w:val="18"/>
                    </w:rPr>
                  </w:pPr>
                </w:p>
              </w:tc>
              <w:tc>
                <w:tcPr>
                  <w:tcW w:w="625" w:type="pct"/>
                  <w:vMerge w:val="continue"/>
                  <w:vAlign w:val="center"/>
                </w:tcPr>
                <w:p>
                  <w:pPr>
                    <w:widowControl/>
                    <w:overflowPunct w:val="0"/>
                    <w:jc w:val="left"/>
                    <w:rPr>
                      <w:kern w:val="0"/>
                      <w:sz w:val="18"/>
                      <w:szCs w:val="18"/>
                    </w:rPr>
                  </w:pPr>
                </w:p>
              </w:tc>
              <w:tc>
                <w:tcPr>
                  <w:tcW w:w="446" w:type="pct"/>
                  <w:vMerge w:val="continue"/>
                  <w:vAlign w:val="center"/>
                </w:tcPr>
                <w:p>
                  <w:pPr>
                    <w:widowControl/>
                    <w:overflowPunct w:val="0"/>
                    <w:jc w:val="left"/>
                    <w:rPr>
                      <w:kern w:val="0"/>
                      <w:sz w:val="18"/>
                      <w:szCs w:val="18"/>
                    </w:rPr>
                  </w:pPr>
                </w:p>
              </w:tc>
              <w:tc>
                <w:tcPr>
                  <w:tcW w:w="1553" w:type="pct"/>
                  <w:gridSpan w:val="2"/>
                  <w:vAlign w:val="center"/>
                </w:tcPr>
                <w:p>
                  <w:pPr>
                    <w:widowControl/>
                    <w:overflowPunct w:val="0"/>
                    <w:jc w:val="center"/>
                    <w:rPr>
                      <w:kern w:val="0"/>
                      <w:sz w:val="18"/>
                      <w:szCs w:val="18"/>
                    </w:rPr>
                  </w:pPr>
                  <w:r>
                    <w:rPr>
                      <w:kern w:val="0"/>
                      <w:sz w:val="18"/>
                      <w:szCs w:val="18"/>
                    </w:rPr>
                    <w:t>其它不可利用废物（主要为陶瓷、泡沫、装饰材料、碎玻璃等）</w:t>
                  </w:r>
                </w:p>
              </w:tc>
              <w:tc>
                <w:tcPr>
                  <w:tcW w:w="632" w:type="pct"/>
                  <w:vAlign w:val="center"/>
                </w:tcPr>
                <w:p>
                  <w:pPr>
                    <w:widowControl/>
                    <w:jc w:val="center"/>
                    <w:textAlignment w:val="center"/>
                    <w:rPr>
                      <w:kern w:val="0"/>
                      <w:sz w:val="18"/>
                      <w:szCs w:val="18"/>
                    </w:rPr>
                  </w:pPr>
                  <w:r>
                    <w:rPr>
                      <w:sz w:val="18"/>
                      <w:szCs w:val="18"/>
                    </w:rPr>
                    <w:t>285.9</w:t>
                  </w:r>
                </w:p>
              </w:tc>
              <w:tc>
                <w:tcPr>
                  <w:tcW w:w="495" w:type="pct"/>
                  <w:vMerge w:val="continue"/>
                  <w:vAlign w:val="center"/>
                </w:tcPr>
                <w:p>
                  <w:pPr>
                    <w:widowControl/>
                    <w:overflowPunct w:val="0"/>
                    <w:jc w:val="center"/>
                    <w:rPr>
                      <w:kern w:val="0"/>
                      <w:sz w:val="18"/>
                      <w:szCs w:val="18"/>
                    </w:rPr>
                  </w:pPr>
                </w:p>
              </w:tc>
              <w:tc>
                <w:tcPr>
                  <w:tcW w:w="624" w:type="pct"/>
                  <w:vAlign w:val="center"/>
                </w:tcPr>
                <w:p>
                  <w:pPr>
                    <w:overflowPunct w:val="0"/>
                    <w:jc w:val="center"/>
                    <w:rPr>
                      <w:kern w:val="0"/>
                      <w:sz w:val="18"/>
                      <w:szCs w:val="18"/>
                    </w:rPr>
                  </w:pPr>
                  <w:r>
                    <w:rPr>
                      <w:kern w:val="0"/>
                      <w:sz w:val="18"/>
                      <w:szCs w:val="18"/>
                    </w:rPr>
                    <w:t>运至</w:t>
                  </w:r>
                  <w:r>
                    <w:rPr>
                      <w:rFonts w:hint="eastAsia"/>
                      <w:kern w:val="0"/>
                      <w:sz w:val="18"/>
                      <w:szCs w:val="18"/>
                    </w:rPr>
                    <w:t>一般工业固废处置场处置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49" w:type="pct"/>
                  <w:gridSpan w:val="5"/>
                  <w:vAlign w:val="center"/>
                </w:tcPr>
                <w:p>
                  <w:pPr>
                    <w:widowControl/>
                    <w:overflowPunct w:val="0"/>
                    <w:jc w:val="center"/>
                    <w:rPr>
                      <w:kern w:val="0"/>
                      <w:sz w:val="18"/>
                      <w:szCs w:val="18"/>
                    </w:rPr>
                  </w:pPr>
                  <w:r>
                    <w:rPr>
                      <w:kern w:val="0"/>
                      <w:sz w:val="18"/>
                      <w:szCs w:val="18"/>
                    </w:rPr>
                    <w:t>合计</w:t>
                  </w:r>
                </w:p>
              </w:tc>
              <w:tc>
                <w:tcPr>
                  <w:tcW w:w="632" w:type="pct"/>
                  <w:vAlign w:val="center"/>
                </w:tcPr>
                <w:p>
                  <w:pPr>
                    <w:widowControl/>
                    <w:jc w:val="center"/>
                    <w:rPr>
                      <w:kern w:val="0"/>
                      <w:sz w:val="18"/>
                      <w:szCs w:val="18"/>
                    </w:rPr>
                  </w:pPr>
                  <w:r>
                    <w:rPr>
                      <w:sz w:val="18"/>
                      <w:szCs w:val="18"/>
                    </w:rPr>
                    <w:t>22500</w:t>
                  </w:r>
                </w:p>
              </w:tc>
              <w:tc>
                <w:tcPr>
                  <w:tcW w:w="495" w:type="pct"/>
                  <w:vAlign w:val="center"/>
                </w:tcPr>
                <w:p>
                  <w:pPr>
                    <w:widowControl/>
                    <w:overflowPunct w:val="0"/>
                    <w:jc w:val="left"/>
                    <w:rPr>
                      <w:kern w:val="0"/>
                      <w:sz w:val="18"/>
                      <w:szCs w:val="18"/>
                    </w:rPr>
                  </w:pPr>
                  <w:r>
                    <w:rPr>
                      <w:rFonts w:hint="eastAsia"/>
                      <w:kern w:val="0"/>
                      <w:sz w:val="18"/>
                      <w:szCs w:val="18"/>
                    </w:rPr>
                    <w:t>/</w:t>
                  </w:r>
                </w:p>
              </w:tc>
              <w:tc>
                <w:tcPr>
                  <w:tcW w:w="624" w:type="pct"/>
                  <w:vAlign w:val="center"/>
                </w:tcPr>
                <w:p>
                  <w:pPr>
                    <w:widowControl/>
                    <w:overflowPunct w:val="0"/>
                    <w:jc w:val="left"/>
                    <w:rPr>
                      <w:kern w:val="0"/>
                      <w:sz w:val="18"/>
                      <w:szCs w:val="18"/>
                    </w:rPr>
                  </w:pPr>
                  <w:r>
                    <w:rPr>
                      <w:rFonts w:hint="eastAsia"/>
                      <w:kern w:val="0"/>
                      <w:sz w:val="18"/>
                      <w:szCs w:val="18"/>
                    </w:rPr>
                    <w:t>/</w:t>
                  </w:r>
                </w:p>
              </w:tc>
            </w:tr>
          </w:tbl>
          <w:p>
            <w:pPr>
              <w:adjustRightInd w:val="0"/>
              <w:spacing w:line="460" w:lineRule="exact"/>
              <w:ind w:firstLine="480" w:firstLineChars="200"/>
              <w:rPr>
                <w:kern w:val="0"/>
                <w:sz w:val="24"/>
              </w:rPr>
            </w:pPr>
            <w:r>
              <w:rPr>
                <w:rFonts w:hint="eastAsia" w:ascii="宋体" w:hAnsi="宋体"/>
                <w:kern w:val="0"/>
                <w:sz w:val="24"/>
              </w:rPr>
              <w:t>④</w:t>
            </w:r>
            <w:r>
              <w:rPr>
                <w:rFonts w:hint="eastAsia"/>
                <w:kern w:val="0"/>
                <w:sz w:val="24"/>
              </w:rPr>
              <w:t>传统燃料机动车-</w:t>
            </w:r>
            <w:r>
              <w:rPr>
                <w:kern w:val="0"/>
                <w:sz w:val="24"/>
              </w:rPr>
              <w:t>大型报废汽车</w:t>
            </w:r>
          </w:p>
          <w:p>
            <w:pPr>
              <w:adjustRightInd w:val="0"/>
              <w:spacing w:line="460" w:lineRule="exact"/>
              <w:ind w:firstLine="480" w:firstLineChars="200"/>
              <w:rPr>
                <w:kern w:val="0"/>
                <w:sz w:val="24"/>
              </w:rPr>
            </w:pPr>
            <w:r>
              <w:rPr>
                <w:kern w:val="0"/>
                <w:sz w:val="24"/>
              </w:rPr>
              <w:t>本项目年拆解大型报废汽车约4500辆，根据年拆解量及拆解数据进行估算，项目大型报废汽车拆解线物料平衡一览表见表2.1.9</w:t>
            </w:r>
            <w:r>
              <w:rPr>
                <w:rFonts w:hint="eastAsia"/>
                <w:kern w:val="0"/>
                <w:sz w:val="24"/>
              </w:rPr>
              <w:t>-</w:t>
            </w:r>
            <w:r>
              <w:rPr>
                <w:kern w:val="0"/>
                <w:sz w:val="24"/>
              </w:rPr>
              <w:t>5。</w:t>
            </w:r>
          </w:p>
          <w:p>
            <w:pPr>
              <w:adjustRightInd w:val="0"/>
              <w:spacing w:line="460" w:lineRule="exact"/>
              <w:ind w:firstLine="360" w:firstLineChars="200"/>
              <w:jc w:val="center"/>
              <w:rPr>
                <w:sz w:val="18"/>
                <w:szCs w:val="18"/>
              </w:rPr>
            </w:pPr>
            <w:r>
              <w:rPr>
                <w:sz w:val="18"/>
                <w:szCs w:val="18"/>
              </w:rPr>
              <w:t>表</w:t>
            </w:r>
            <w:r>
              <w:rPr>
                <w:kern w:val="0"/>
                <w:sz w:val="18"/>
                <w:szCs w:val="18"/>
              </w:rPr>
              <w:t>2.1.9</w:t>
            </w:r>
            <w:r>
              <w:rPr>
                <w:rFonts w:hint="eastAsia"/>
                <w:kern w:val="0"/>
                <w:sz w:val="18"/>
                <w:szCs w:val="18"/>
              </w:rPr>
              <w:t>-</w:t>
            </w:r>
            <w:r>
              <w:rPr>
                <w:kern w:val="0"/>
                <w:sz w:val="18"/>
                <w:szCs w:val="18"/>
              </w:rPr>
              <w:t xml:space="preserve">5 </w:t>
            </w:r>
            <w:r>
              <w:rPr>
                <w:sz w:val="18"/>
                <w:szCs w:val="18"/>
              </w:rPr>
              <w:t>大型报废汽车拆解线物料平衡一览表</w:t>
            </w:r>
          </w:p>
          <w:tbl>
            <w:tblPr>
              <w:tblStyle w:val="21"/>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97"/>
              <w:gridCol w:w="926"/>
              <w:gridCol w:w="843"/>
              <w:gridCol w:w="811"/>
              <w:gridCol w:w="314"/>
              <w:gridCol w:w="1447"/>
              <w:gridCol w:w="927"/>
              <w:gridCol w:w="681"/>
              <w:gridCol w:w="109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名称</w:t>
                  </w:r>
                </w:p>
              </w:tc>
              <w:tc>
                <w:tcPr>
                  <w:tcW w:w="92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投入量（t/a）</w:t>
                  </w: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名称</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产出量（t/a）</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种类</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去向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大型报废汽车（5t/辆，拆解量4500辆/年）</w:t>
                  </w:r>
                </w:p>
              </w:tc>
              <w:tc>
                <w:tcPr>
                  <w:tcW w:w="9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22500</w:t>
                  </w: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钢铁</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sz w:val="18"/>
                      <w:szCs w:val="18"/>
                    </w:rPr>
                    <w:t>16875</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产品</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外售，综合利用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有色金属</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铝</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798.75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铜</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236.25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7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其它</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90</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塑料</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675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玻璃</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450</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橡胶</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675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3414"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总成及可用零部件</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1350</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不可利用废物</w:t>
                  </w: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废铅蓄</w:t>
                  </w:r>
                  <w:r>
                    <w:rPr>
                      <w:kern w:val="0"/>
                      <w:sz w:val="18"/>
                      <w:szCs w:val="18"/>
                    </w:rPr>
                    <w:t>电池</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sz w:val="18"/>
                      <w:szCs w:val="18"/>
                    </w:rPr>
                    <w:t>135</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危险废物</w:t>
                  </w:r>
                </w:p>
              </w:tc>
              <w:tc>
                <w:tcPr>
                  <w:tcW w:w="10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委托具有相应危废处理资质的单位外运处置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废油液</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废汽油、柴油</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1.8</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废机油</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34.2</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润滑油</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17.1</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冷却液</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54</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防冻液</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36</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制动液</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4.5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废油箱</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180</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尾气催化剂</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27</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电容器</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49.5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机油滤清器</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2.25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废电子部件</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270</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16"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18"/>
                      <w:szCs w:val="18"/>
                    </w:rPr>
                  </w:pPr>
                  <w:r>
                    <w:rPr>
                      <w:rFonts w:hint="eastAsia"/>
                      <w:kern w:val="0"/>
                      <w:sz w:val="18"/>
                      <w:szCs w:val="18"/>
                    </w:rPr>
                    <w:t>含汞光源</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eastAsia="等线"/>
                      <w:sz w:val="18"/>
                      <w:szCs w:val="18"/>
                    </w:rPr>
                  </w:pPr>
                  <w:r>
                    <w:rPr>
                      <w:sz w:val="18"/>
                      <w:szCs w:val="18"/>
                    </w:rPr>
                    <w:t>0.45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116"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18"/>
                      <w:szCs w:val="18"/>
                    </w:rPr>
                  </w:pPr>
                  <w:r>
                    <w:rPr>
                      <w:rFonts w:hint="eastAsia"/>
                      <w:kern w:val="0"/>
                      <w:sz w:val="18"/>
                      <w:szCs w:val="18"/>
                    </w:rPr>
                    <w:t>废石棉片</w:t>
                  </w:r>
                </w:p>
              </w:tc>
              <w:tc>
                <w:tcPr>
                  <w:tcW w:w="927" w:type="dxa"/>
                  <w:tcBorders>
                    <w:top w:val="single" w:color="auto" w:sz="4" w:space="0"/>
                    <w:left w:val="single" w:color="auto" w:sz="4" w:space="0"/>
                    <w:bottom w:val="single" w:color="auto" w:sz="4" w:space="0"/>
                    <w:right w:val="single" w:color="auto" w:sz="4" w:space="0"/>
                  </w:tcBorders>
                  <w:vAlign w:val="center"/>
                </w:tcPr>
                <w:p>
                  <w:pPr>
                    <w:jc w:val="center"/>
                    <w:rPr>
                      <w:rFonts w:eastAsia="等线"/>
                      <w:sz w:val="18"/>
                      <w:szCs w:val="18"/>
                    </w:rPr>
                  </w:pPr>
                  <w:r>
                    <w:rPr>
                      <w:sz w:val="18"/>
                      <w:szCs w:val="18"/>
                    </w:rPr>
                    <w:t>0.45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1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制冷剂（部分为氟利昂）</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5.4</w:t>
                  </w:r>
                </w:p>
              </w:tc>
              <w:tc>
                <w:tcPr>
                  <w:tcW w:w="681" w:type="dxa"/>
                  <w:vMerge w:val="restart"/>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一般工业固废</w:t>
                  </w:r>
                </w:p>
              </w:tc>
              <w:tc>
                <w:tcPr>
                  <w:tcW w:w="1090" w:type="dxa"/>
                  <w:vMerge w:val="restart"/>
                  <w:tcBorders>
                    <w:top w:val="single" w:color="auto" w:sz="4" w:space="0"/>
                    <w:left w:val="single" w:color="auto" w:sz="4" w:space="0"/>
                    <w:right w:val="single" w:color="auto" w:sz="4" w:space="0"/>
                  </w:tcBorders>
                  <w:vAlign w:val="center"/>
                </w:tcPr>
                <w:p>
                  <w:pPr>
                    <w:overflowPunct w:val="0"/>
                    <w:jc w:val="center"/>
                    <w:rPr>
                      <w:kern w:val="0"/>
                      <w:sz w:val="18"/>
                      <w:szCs w:val="18"/>
                    </w:rPr>
                  </w:pPr>
                  <w:r>
                    <w:rPr>
                      <w:rFonts w:hint="eastAsia"/>
                      <w:kern w:val="0"/>
                      <w:sz w:val="18"/>
                      <w:szCs w:val="18"/>
                    </w:rPr>
                    <w:t>交由相关资质的单位处置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废液化气罐</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31.5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p>
              </w:tc>
              <w:tc>
                <w:tcPr>
                  <w:tcW w:w="1090" w:type="dxa"/>
                  <w:vMerge w:val="continue"/>
                  <w:tcBorders>
                    <w:left w:val="single" w:color="auto" w:sz="4" w:space="0"/>
                    <w:right w:val="single" w:color="auto" w:sz="4" w:space="0"/>
                  </w:tcBorders>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引爆后的安全气囊</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18"/>
                      <w:szCs w:val="18"/>
                    </w:rPr>
                  </w:pPr>
                  <w:r>
                    <w:rPr>
                      <w:rFonts w:hint="eastAsia"/>
                      <w:sz w:val="18"/>
                      <w:szCs w:val="18"/>
                    </w:rPr>
                    <w:t>3</w:t>
                  </w:r>
                  <w:r>
                    <w:rPr>
                      <w:sz w:val="18"/>
                      <w:szCs w:val="18"/>
                    </w:rPr>
                    <w:t>6</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p>
              </w:tc>
              <w:tc>
                <w:tcPr>
                  <w:tcW w:w="1090" w:type="dxa"/>
                  <w:vMerge w:val="continue"/>
                  <w:tcBorders>
                    <w:left w:val="single" w:color="auto" w:sz="4" w:space="0"/>
                    <w:bottom w:val="single" w:color="auto" w:sz="4" w:space="0"/>
                    <w:right w:val="single" w:color="auto" w:sz="4" w:space="0"/>
                  </w:tcBorders>
                  <w:vAlign w:val="center"/>
                </w:tcPr>
                <w:p>
                  <w:pPr>
                    <w:overflowPunct w:val="0"/>
                    <w:jc w:val="center"/>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9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p>
              </w:tc>
              <w:tc>
                <w:tcPr>
                  <w:tcW w:w="257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其它不可利用废物（主要为陶瓷、泡沫、装饰材料、碎玻璃等）</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sz w:val="18"/>
                      <w:szCs w:val="18"/>
                    </w:rPr>
                    <w:t>464.85</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p>
              </w:tc>
              <w:tc>
                <w:tcPr>
                  <w:tcW w:w="1090" w:type="dxa"/>
                  <w:tcBorders>
                    <w:top w:val="single" w:color="auto" w:sz="4" w:space="0"/>
                    <w:left w:val="single" w:color="auto" w:sz="4" w:space="0"/>
                    <w:bottom w:val="single" w:color="auto" w:sz="4" w:space="0"/>
                    <w:right w:val="single" w:color="auto" w:sz="4" w:space="0"/>
                  </w:tcBorders>
                  <w:vAlign w:val="center"/>
                </w:tcPr>
                <w:p>
                  <w:pPr>
                    <w:overflowPunct w:val="0"/>
                    <w:jc w:val="center"/>
                    <w:rPr>
                      <w:kern w:val="0"/>
                      <w:sz w:val="18"/>
                      <w:szCs w:val="18"/>
                    </w:rPr>
                  </w:pPr>
                  <w:r>
                    <w:rPr>
                      <w:kern w:val="0"/>
                      <w:sz w:val="18"/>
                      <w:szCs w:val="18"/>
                    </w:rPr>
                    <w:t>运至</w:t>
                  </w:r>
                  <w:r>
                    <w:rPr>
                      <w:rFonts w:hint="eastAsia"/>
                      <w:kern w:val="0"/>
                      <w:sz w:val="18"/>
                      <w:szCs w:val="18"/>
                    </w:rPr>
                    <w:t>一般工业固废处置场处置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523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合计</w:t>
                  </w:r>
                </w:p>
              </w:tc>
              <w:tc>
                <w:tcPr>
                  <w:tcW w:w="9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 w:val="18"/>
                      <w:szCs w:val="18"/>
                    </w:rPr>
                  </w:pPr>
                  <w:r>
                    <w:rPr>
                      <w:kern w:val="0"/>
                      <w:sz w:val="18"/>
                      <w:szCs w:val="18"/>
                      <w:lang w:bidi="ar"/>
                    </w:rPr>
                    <w:t>22500</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w:t>
                  </w:r>
                </w:p>
              </w:tc>
            </w:tr>
          </w:tbl>
          <w:p>
            <w:pPr>
              <w:numPr>
                <w:ilvl w:val="0"/>
                <w:numId w:val="1"/>
              </w:numPr>
              <w:adjustRightInd w:val="0"/>
              <w:snapToGrid w:val="0"/>
              <w:spacing w:line="360" w:lineRule="auto"/>
              <w:jc w:val="left"/>
              <w:rPr>
                <w:bCs/>
                <w:sz w:val="24"/>
              </w:rPr>
            </w:pPr>
            <w:r>
              <w:rPr>
                <w:bCs/>
                <w:sz w:val="24"/>
              </w:rPr>
              <w:t>项目总体物料平衡</w:t>
            </w:r>
          </w:p>
          <w:p>
            <w:pPr>
              <w:adjustRightInd w:val="0"/>
              <w:spacing w:line="460" w:lineRule="exact"/>
              <w:ind w:firstLine="360" w:firstLineChars="200"/>
              <w:jc w:val="center"/>
              <w:rPr>
                <w:sz w:val="18"/>
                <w:szCs w:val="18"/>
              </w:rPr>
            </w:pPr>
            <w:r>
              <w:rPr>
                <w:sz w:val="18"/>
                <w:szCs w:val="18"/>
              </w:rPr>
              <w:t>表</w:t>
            </w:r>
            <w:r>
              <w:rPr>
                <w:kern w:val="0"/>
                <w:sz w:val="18"/>
                <w:szCs w:val="18"/>
              </w:rPr>
              <w:t>2.1.9</w:t>
            </w:r>
            <w:r>
              <w:rPr>
                <w:rFonts w:hint="eastAsia"/>
                <w:kern w:val="0"/>
                <w:sz w:val="18"/>
                <w:szCs w:val="18"/>
              </w:rPr>
              <w:t>-</w:t>
            </w:r>
            <w:r>
              <w:rPr>
                <w:kern w:val="0"/>
                <w:sz w:val="18"/>
                <w:szCs w:val="18"/>
              </w:rPr>
              <w:t>6</w:t>
            </w:r>
            <w:r>
              <w:rPr>
                <w:sz w:val="18"/>
                <w:szCs w:val="18"/>
              </w:rPr>
              <w:t xml:space="preserve"> 项目总体物料平衡一览表</w:t>
            </w:r>
          </w:p>
          <w:tbl>
            <w:tblPr>
              <w:tblStyle w:val="21"/>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993"/>
              <w:gridCol w:w="592"/>
              <w:gridCol w:w="684"/>
              <w:gridCol w:w="1840"/>
              <w:gridCol w:w="1083"/>
              <w:gridCol w:w="730"/>
              <w:gridCol w:w="1024"/>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7" w:hRule="atLeast"/>
                <w:jc w:val="center"/>
              </w:trPr>
              <w:tc>
                <w:tcPr>
                  <w:tcW w:w="625" w:type="pct"/>
                  <w:vAlign w:val="center"/>
                </w:tcPr>
                <w:p>
                  <w:pPr>
                    <w:widowControl/>
                    <w:jc w:val="center"/>
                    <w:rPr>
                      <w:kern w:val="0"/>
                      <w:sz w:val="18"/>
                      <w:szCs w:val="18"/>
                    </w:rPr>
                  </w:pPr>
                  <w:r>
                    <w:rPr>
                      <w:kern w:val="0"/>
                      <w:sz w:val="18"/>
                      <w:szCs w:val="18"/>
                    </w:rPr>
                    <w:t>名称</w:t>
                  </w:r>
                </w:p>
              </w:tc>
              <w:tc>
                <w:tcPr>
                  <w:tcW w:w="625" w:type="pct"/>
                  <w:vAlign w:val="center"/>
                </w:tcPr>
                <w:p>
                  <w:pPr>
                    <w:widowControl/>
                    <w:jc w:val="center"/>
                    <w:rPr>
                      <w:kern w:val="0"/>
                      <w:sz w:val="18"/>
                      <w:szCs w:val="18"/>
                    </w:rPr>
                  </w:pPr>
                  <w:r>
                    <w:rPr>
                      <w:kern w:val="0"/>
                      <w:sz w:val="18"/>
                      <w:szCs w:val="18"/>
                    </w:rPr>
                    <w:t>投入量（t/a）</w:t>
                  </w:r>
                </w:p>
              </w:tc>
              <w:tc>
                <w:tcPr>
                  <w:tcW w:w="1962" w:type="pct"/>
                  <w:gridSpan w:val="3"/>
                  <w:vAlign w:val="center"/>
                </w:tcPr>
                <w:p>
                  <w:pPr>
                    <w:widowControl/>
                    <w:jc w:val="center"/>
                    <w:rPr>
                      <w:kern w:val="0"/>
                      <w:sz w:val="18"/>
                      <w:szCs w:val="18"/>
                    </w:rPr>
                  </w:pPr>
                  <w:r>
                    <w:rPr>
                      <w:kern w:val="0"/>
                      <w:sz w:val="18"/>
                      <w:szCs w:val="18"/>
                    </w:rPr>
                    <w:t>名称</w:t>
                  </w:r>
                </w:p>
              </w:tc>
              <w:tc>
                <w:tcPr>
                  <w:tcW w:w="682" w:type="pct"/>
                  <w:vAlign w:val="center"/>
                </w:tcPr>
                <w:p>
                  <w:pPr>
                    <w:widowControl/>
                    <w:jc w:val="center"/>
                    <w:rPr>
                      <w:kern w:val="0"/>
                      <w:sz w:val="18"/>
                      <w:szCs w:val="18"/>
                    </w:rPr>
                  </w:pPr>
                  <w:r>
                    <w:rPr>
                      <w:kern w:val="0"/>
                      <w:sz w:val="18"/>
                      <w:szCs w:val="18"/>
                    </w:rPr>
                    <w:t>产出量（t/a）</w:t>
                  </w:r>
                </w:p>
              </w:tc>
              <w:tc>
                <w:tcPr>
                  <w:tcW w:w="460" w:type="pct"/>
                  <w:vAlign w:val="center"/>
                </w:tcPr>
                <w:p>
                  <w:pPr>
                    <w:widowControl/>
                    <w:jc w:val="center"/>
                    <w:rPr>
                      <w:kern w:val="0"/>
                      <w:sz w:val="18"/>
                      <w:szCs w:val="18"/>
                    </w:rPr>
                  </w:pPr>
                  <w:r>
                    <w:rPr>
                      <w:kern w:val="0"/>
                      <w:sz w:val="18"/>
                      <w:szCs w:val="18"/>
                    </w:rPr>
                    <w:t>种类</w:t>
                  </w:r>
                </w:p>
              </w:tc>
              <w:tc>
                <w:tcPr>
                  <w:tcW w:w="645" w:type="pct"/>
                  <w:vAlign w:val="center"/>
                </w:tcPr>
                <w:p>
                  <w:pPr>
                    <w:widowControl/>
                    <w:jc w:val="center"/>
                    <w:rPr>
                      <w:kern w:val="0"/>
                      <w:sz w:val="18"/>
                      <w:szCs w:val="18"/>
                    </w:rPr>
                  </w:pPr>
                  <w:r>
                    <w:rPr>
                      <w:kern w:val="0"/>
                      <w:sz w:val="18"/>
                      <w:szCs w:val="18"/>
                    </w:rPr>
                    <w:t>去向</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restart"/>
                  <w:vAlign w:val="center"/>
                </w:tcPr>
                <w:p>
                  <w:pPr>
                    <w:widowControl/>
                    <w:jc w:val="center"/>
                    <w:rPr>
                      <w:kern w:val="0"/>
                      <w:sz w:val="18"/>
                      <w:szCs w:val="18"/>
                    </w:rPr>
                  </w:pPr>
                  <w:r>
                    <w:rPr>
                      <w:kern w:val="0"/>
                      <w:sz w:val="18"/>
                      <w:szCs w:val="18"/>
                    </w:rPr>
                    <w:t>报废汽车</w:t>
                  </w:r>
                </w:p>
                <w:p>
                  <w:pPr>
                    <w:widowControl/>
                    <w:jc w:val="center"/>
                    <w:rPr>
                      <w:kern w:val="0"/>
                      <w:sz w:val="18"/>
                      <w:szCs w:val="18"/>
                    </w:rPr>
                  </w:pPr>
                  <w:r>
                    <w:rPr>
                      <w:kern w:val="0"/>
                      <w:sz w:val="18"/>
                      <w:szCs w:val="18"/>
                    </w:rPr>
                    <w:t>（30000辆）</w:t>
                  </w:r>
                </w:p>
              </w:tc>
              <w:tc>
                <w:tcPr>
                  <w:tcW w:w="625" w:type="pct"/>
                  <w:vMerge w:val="restart"/>
                  <w:vAlign w:val="center"/>
                </w:tcPr>
                <w:p>
                  <w:pPr>
                    <w:widowControl/>
                    <w:jc w:val="center"/>
                    <w:rPr>
                      <w:kern w:val="0"/>
                      <w:sz w:val="18"/>
                      <w:szCs w:val="18"/>
                    </w:rPr>
                  </w:pPr>
                  <w:r>
                    <w:rPr>
                      <w:kern w:val="0"/>
                      <w:sz w:val="18"/>
                      <w:szCs w:val="18"/>
                    </w:rPr>
                    <w:t>74150</w:t>
                  </w:r>
                </w:p>
              </w:tc>
              <w:tc>
                <w:tcPr>
                  <w:tcW w:w="1962" w:type="pct"/>
                  <w:gridSpan w:val="3"/>
                  <w:vAlign w:val="center"/>
                </w:tcPr>
                <w:p>
                  <w:pPr>
                    <w:widowControl/>
                    <w:jc w:val="center"/>
                    <w:rPr>
                      <w:kern w:val="0"/>
                      <w:sz w:val="18"/>
                      <w:szCs w:val="18"/>
                    </w:rPr>
                  </w:pPr>
                  <w:r>
                    <w:rPr>
                      <w:kern w:val="0"/>
                      <w:sz w:val="18"/>
                      <w:szCs w:val="18"/>
                    </w:rPr>
                    <w:t>废钢铁</w:t>
                  </w:r>
                </w:p>
              </w:tc>
              <w:tc>
                <w:tcPr>
                  <w:tcW w:w="682" w:type="pct"/>
                  <w:vAlign w:val="center"/>
                </w:tcPr>
                <w:p>
                  <w:pPr>
                    <w:widowControl/>
                    <w:jc w:val="center"/>
                    <w:rPr>
                      <w:kern w:val="0"/>
                      <w:sz w:val="18"/>
                      <w:szCs w:val="18"/>
                    </w:rPr>
                  </w:pPr>
                  <w:r>
                    <w:rPr>
                      <w:sz w:val="18"/>
                      <w:szCs w:val="18"/>
                    </w:rPr>
                    <w:t>51277.5</w:t>
                  </w:r>
                </w:p>
              </w:tc>
              <w:tc>
                <w:tcPr>
                  <w:tcW w:w="460" w:type="pct"/>
                  <w:vMerge w:val="restart"/>
                  <w:vAlign w:val="center"/>
                </w:tcPr>
                <w:p>
                  <w:pPr>
                    <w:widowControl/>
                    <w:jc w:val="center"/>
                    <w:rPr>
                      <w:kern w:val="0"/>
                      <w:sz w:val="18"/>
                      <w:szCs w:val="18"/>
                    </w:rPr>
                  </w:pPr>
                  <w:r>
                    <w:rPr>
                      <w:kern w:val="0"/>
                      <w:sz w:val="18"/>
                      <w:szCs w:val="18"/>
                    </w:rPr>
                    <w:t>产品</w:t>
                  </w:r>
                </w:p>
              </w:tc>
              <w:tc>
                <w:tcPr>
                  <w:tcW w:w="645" w:type="pct"/>
                  <w:vMerge w:val="restart"/>
                  <w:vAlign w:val="center"/>
                </w:tcPr>
                <w:p>
                  <w:pPr>
                    <w:widowControl/>
                    <w:jc w:val="center"/>
                    <w:rPr>
                      <w:kern w:val="0"/>
                      <w:sz w:val="18"/>
                      <w:szCs w:val="18"/>
                    </w:rPr>
                  </w:pPr>
                  <w:r>
                    <w:rPr>
                      <w:kern w:val="0"/>
                      <w:sz w:val="18"/>
                      <w:szCs w:val="18"/>
                    </w:rPr>
                    <w:t>外售，综合利用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804" w:type="pct"/>
                  <w:gridSpan w:val="2"/>
                  <w:vMerge w:val="restart"/>
                  <w:vAlign w:val="center"/>
                </w:tcPr>
                <w:p>
                  <w:pPr>
                    <w:widowControl/>
                    <w:jc w:val="center"/>
                    <w:rPr>
                      <w:kern w:val="0"/>
                      <w:sz w:val="18"/>
                      <w:szCs w:val="18"/>
                    </w:rPr>
                  </w:pPr>
                  <w:r>
                    <w:rPr>
                      <w:kern w:val="0"/>
                      <w:sz w:val="18"/>
                      <w:szCs w:val="18"/>
                    </w:rPr>
                    <w:t>有色金属</w:t>
                  </w:r>
                </w:p>
              </w:tc>
              <w:tc>
                <w:tcPr>
                  <w:tcW w:w="1159" w:type="pct"/>
                  <w:vAlign w:val="center"/>
                </w:tcPr>
                <w:p>
                  <w:pPr>
                    <w:widowControl/>
                    <w:jc w:val="center"/>
                    <w:rPr>
                      <w:kern w:val="0"/>
                      <w:sz w:val="18"/>
                      <w:szCs w:val="18"/>
                    </w:rPr>
                  </w:pPr>
                  <w:r>
                    <w:rPr>
                      <w:kern w:val="0"/>
                      <w:sz w:val="18"/>
                      <w:szCs w:val="18"/>
                    </w:rPr>
                    <w:t>铝</w:t>
                  </w:r>
                </w:p>
              </w:tc>
              <w:tc>
                <w:tcPr>
                  <w:tcW w:w="682" w:type="pct"/>
                  <w:vAlign w:val="center"/>
                </w:tcPr>
                <w:p>
                  <w:pPr>
                    <w:widowControl/>
                    <w:jc w:val="center"/>
                    <w:rPr>
                      <w:kern w:val="0"/>
                      <w:sz w:val="18"/>
                      <w:szCs w:val="18"/>
                    </w:rPr>
                  </w:pPr>
                  <w:r>
                    <w:rPr>
                      <w:sz w:val="18"/>
                      <w:szCs w:val="18"/>
                    </w:rPr>
                    <w:t>2540.02</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804" w:type="pct"/>
                  <w:gridSpan w:val="2"/>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铜</w:t>
                  </w:r>
                </w:p>
              </w:tc>
              <w:tc>
                <w:tcPr>
                  <w:tcW w:w="682" w:type="pct"/>
                  <w:vAlign w:val="center"/>
                </w:tcPr>
                <w:p>
                  <w:pPr>
                    <w:jc w:val="center"/>
                    <w:rPr>
                      <w:sz w:val="18"/>
                      <w:szCs w:val="18"/>
                    </w:rPr>
                  </w:pPr>
                  <w:r>
                    <w:rPr>
                      <w:sz w:val="18"/>
                      <w:szCs w:val="18"/>
                    </w:rPr>
                    <w:t>751.28</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804" w:type="pct"/>
                  <w:gridSpan w:val="2"/>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其它</w:t>
                  </w:r>
                </w:p>
              </w:tc>
              <w:tc>
                <w:tcPr>
                  <w:tcW w:w="682" w:type="pct"/>
                  <w:vAlign w:val="center"/>
                </w:tcPr>
                <w:p>
                  <w:pPr>
                    <w:jc w:val="center"/>
                    <w:rPr>
                      <w:sz w:val="18"/>
                      <w:szCs w:val="18"/>
                    </w:rPr>
                  </w:pPr>
                  <w:r>
                    <w:rPr>
                      <w:sz w:val="18"/>
                      <w:szCs w:val="18"/>
                    </w:rPr>
                    <w:t>286.2</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1962" w:type="pct"/>
                  <w:gridSpan w:val="3"/>
                  <w:vAlign w:val="center"/>
                </w:tcPr>
                <w:p>
                  <w:pPr>
                    <w:widowControl/>
                    <w:jc w:val="center"/>
                    <w:rPr>
                      <w:kern w:val="0"/>
                      <w:sz w:val="18"/>
                      <w:szCs w:val="18"/>
                    </w:rPr>
                  </w:pPr>
                  <w:r>
                    <w:rPr>
                      <w:kern w:val="0"/>
                      <w:sz w:val="18"/>
                      <w:szCs w:val="18"/>
                    </w:rPr>
                    <w:t>塑料</w:t>
                  </w:r>
                </w:p>
              </w:tc>
              <w:tc>
                <w:tcPr>
                  <w:tcW w:w="682" w:type="pct"/>
                  <w:vAlign w:val="center"/>
                </w:tcPr>
                <w:p>
                  <w:pPr>
                    <w:widowControl/>
                    <w:jc w:val="center"/>
                    <w:rPr>
                      <w:kern w:val="0"/>
                      <w:sz w:val="18"/>
                      <w:szCs w:val="18"/>
                    </w:rPr>
                  </w:pPr>
                  <w:r>
                    <w:rPr>
                      <w:sz w:val="18"/>
                      <w:szCs w:val="18"/>
                    </w:rPr>
                    <w:t>3262.5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1962" w:type="pct"/>
                  <w:gridSpan w:val="3"/>
                  <w:vAlign w:val="center"/>
                </w:tcPr>
                <w:p>
                  <w:pPr>
                    <w:widowControl/>
                    <w:jc w:val="center"/>
                    <w:rPr>
                      <w:kern w:val="0"/>
                      <w:sz w:val="18"/>
                      <w:szCs w:val="18"/>
                    </w:rPr>
                  </w:pPr>
                  <w:r>
                    <w:rPr>
                      <w:kern w:val="0"/>
                      <w:sz w:val="18"/>
                      <w:szCs w:val="18"/>
                    </w:rPr>
                    <w:t>玻璃</w:t>
                  </w:r>
                </w:p>
              </w:tc>
              <w:tc>
                <w:tcPr>
                  <w:tcW w:w="682" w:type="pct"/>
                  <w:vAlign w:val="center"/>
                </w:tcPr>
                <w:p>
                  <w:pPr>
                    <w:jc w:val="center"/>
                    <w:rPr>
                      <w:sz w:val="18"/>
                      <w:szCs w:val="18"/>
                    </w:rPr>
                  </w:pPr>
                  <w:r>
                    <w:rPr>
                      <w:sz w:val="18"/>
                      <w:szCs w:val="18"/>
                    </w:rPr>
                    <w:t>1485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1962" w:type="pct"/>
                  <w:gridSpan w:val="3"/>
                  <w:vAlign w:val="center"/>
                </w:tcPr>
                <w:p>
                  <w:pPr>
                    <w:widowControl/>
                    <w:jc w:val="center"/>
                    <w:rPr>
                      <w:kern w:val="0"/>
                      <w:sz w:val="18"/>
                      <w:szCs w:val="18"/>
                    </w:rPr>
                  </w:pPr>
                  <w:r>
                    <w:rPr>
                      <w:kern w:val="0"/>
                      <w:sz w:val="18"/>
                      <w:szCs w:val="18"/>
                    </w:rPr>
                    <w:t>橡胶</w:t>
                  </w:r>
                </w:p>
              </w:tc>
              <w:tc>
                <w:tcPr>
                  <w:tcW w:w="682" w:type="pct"/>
                  <w:vAlign w:val="center"/>
                </w:tcPr>
                <w:p>
                  <w:pPr>
                    <w:jc w:val="center"/>
                    <w:rPr>
                      <w:sz w:val="18"/>
                      <w:szCs w:val="18"/>
                    </w:rPr>
                  </w:pPr>
                  <w:r>
                    <w:rPr>
                      <w:sz w:val="18"/>
                      <w:szCs w:val="18"/>
                    </w:rPr>
                    <w:t>2092.5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1962" w:type="pct"/>
                  <w:gridSpan w:val="3"/>
                  <w:vAlign w:val="center"/>
                </w:tcPr>
                <w:p>
                  <w:pPr>
                    <w:widowControl/>
                    <w:jc w:val="center"/>
                    <w:rPr>
                      <w:kern w:val="0"/>
                      <w:sz w:val="18"/>
                      <w:szCs w:val="18"/>
                    </w:rPr>
                  </w:pPr>
                  <w:r>
                    <w:rPr>
                      <w:kern w:val="0"/>
                      <w:sz w:val="18"/>
                      <w:szCs w:val="18"/>
                    </w:rPr>
                    <w:t>总成及可用零部件</w:t>
                  </w:r>
                </w:p>
              </w:tc>
              <w:tc>
                <w:tcPr>
                  <w:tcW w:w="682" w:type="pct"/>
                  <w:vAlign w:val="center"/>
                </w:tcPr>
                <w:p>
                  <w:pPr>
                    <w:jc w:val="center"/>
                    <w:rPr>
                      <w:sz w:val="18"/>
                      <w:szCs w:val="18"/>
                    </w:rPr>
                  </w:pPr>
                  <w:r>
                    <w:rPr>
                      <w:sz w:val="18"/>
                      <w:szCs w:val="18"/>
                    </w:rPr>
                    <w:t>4230</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restart"/>
                  <w:vAlign w:val="center"/>
                </w:tcPr>
                <w:p>
                  <w:pPr>
                    <w:widowControl/>
                    <w:jc w:val="center"/>
                    <w:rPr>
                      <w:kern w:val="0"/>
                      <w:sz w:val="18"/>
                      <w:szCs w:val="18"/>
                    </w:rPr>
                  </w:pPr>
                  <w:r>
                    <w:rPr>
                      <w:kern w:val="0"/>
                      <w:sz w:val="18"/>
                      <w:szCs w:val="18"/>
                    </w:rPr>
                    <w:t>不可利用废物</w:t>
                  </w:r>
                </w:p>
              </w:tc>
              <w:tc>
                <w:tcPr>
                  <w:tcW w:w="1590" w:type="pct"/>
                  <w:gridSpan w:val="2"/>
                  <w:vAlign w:val="center"/>
                </w:tcPr>
                <w:p>
                  <w:pPr>
                    <w:widowControl/>
                    <w:jc w:val="center"/>
                    <w:rPr>
                      <w:kern w:val="0"/>
                      <w:sz w:val="18"/>
                      <w:szCs w:val="18"/>
                    </w:rPr>
                  </w:pPr>
                  <w:r>
                    <w:rPr>
                      <w:rFonts w:hint="eastAsia"/>
                      <w:kern w:val="0"/>
                      <w:sz w:val="18"/>
                      <w:szCs w:val="18"/>
                    </w:rPr>
                    <w:t>废铅</w:t>
                  </w:r>
                  <w:r>
                    <w:rPr>
                      <w:kern w:val="0"/>
                      <w:sz w:val="18"/>
                      <w:szCs w:val="18"/>
                    </w:rPr>
                    <w:t>蓄电池</w:t>
                  </w:r>
                </w:p>
              </w:tc>
              <w:tc>
                <w:tcPr>
                  <w:tcW w:w="682" w:type="pct"/>
                  <w:vAlign w:val="center"/>
                </w:tcPr>
                <w:p>
                  <w:pPr>
                    <w:widowControl/>
                    <w:jc w:val="center"/>
                    <w:rPr>
                      <w:kern w:val="0"/>
                      <w:sz w:val="18"/>
                      <w:szCs w:val="18"/>
                    </w:rPr>
                  </w:pPr>
                  <w:r>
                    <w:rPr>
                      <w:sz w:val="18"/>
                      <w:szCs w:val="18"/>
                    </w:rPr>
                    <w:t>1215</w:t>
                  </w:r>
                </w:p>
              </w:tc>
              <w:tc>
                <w:tcPr>
                  <w:tcW w:w="460" w:type="pct"/>
                  <w:vMerge w:val="restart"/>
                  <w:vAlign w:val="center"/>
                </w:tcPr>
                <w:p>
                  <w:pPr>
                    <w:widowControl/>
                    <w:jc w:val="center"/>
                    <w:rPr>
                      <w:kern w:val="0"/>
                      <w:sz w:val="18"/>
                      <w:szCs w:val="18"/>
                    </w:rPr>
                  </w:pPr>
                  <w:r>
                    <w:rPr>
                      <w:kern w:val="0"/>
                      <w:sz w:val="18"/>
                      <w:szCs w:val="18"/>
                    </w:rPr>
                    <w:t>危险废物</w:t>
                  </w:r>
                </w:p>
              </w:tc>
              <w:tc>
                <w:tcPr>
                  <w:tcW w:w="645" w:type="pct"/>
                  <w:vMerge w:val="restart"/>
                  <w:vAlign w:val="center"/>
                </w:tcPr>
                <w:p>
                  <w:pPr>
                    <w:widowControl/>
                    <w:jc w:val="center"/>
                    <w:rPr>
                      <w:kern w:val="0"/>
                      <w:sz w:val="18"/>
                      <w:szCs w:val="18"/>
                    </w:rPr>
                  </w:pPr>
                  <w:r>
                    <w:rPr>
                      <w:kern w:val="0"/>
                      <w:sz w:val="18"/>
                      <w:szCs w:val="18"/>
                    </w:rPr>
                    <w:t>委托具有相应危废处理资质的单位外运处置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restart"/>
                  <w:vAlign w:val="center"/>
                </w:tcPr>
                <w:p>
                  <w:pPr>
                    <w:widowControl/>
                    <w:jc w:val="center"/>
                    <w:rPr>
                      <w:kern w:val="0"/>
                      <w:sz w:val="18"/>
                      <w:szCs w:val="18"/>
                    </w:rPr>
                  </w:pPr>
                  <w:r>
                    <w:rPr>
                      <w:kern w:val="0"/>
                      <w:sz w:val="18"/>
                      <w:szCs w:val="18"/>
                    </w:rPr>
                    <w:t>废油液</w:t>
                  </w:r>
                </w:p>
              </w:tc>
              <w:tc>
                <w:tcPr>
                  <w:tcW w:w="1159" w:type="pct"/>
                  <w:vAlign w:val="center"/>
                </w:tcPr>
                <w:p>
                  <w:pPr>
                    <w:widowControl/>
                    <w:jc w:val="center"/>
                    <w:rPr>
                      <w:kern w:val="0"/>
                      <w:sz w:val="18"/>
                      <w:szCs w:val="18"/>
                    </w:rPr>
                  </w:pPr>
                  <w:r>
                    <w:rPr>
                      <w:kern w:val="0"/>
                      <w:sz w:val="18"/>
                      <w:szCs w:val="18"/>
                    </w:rPr>
                    <w:t>废汽油、柴油</w:t>
                  </w:r>
                </w:p>
              </w:tc>
              <w:tc>
                <w:tcPr>
                  <w:tcW w:w="682" w:type="pct"/>
                  <w:vAlign w:val="center"/>
                </w:tcPr>
                <w:p>
                  <w:pPr>
                    <w:widowControl/>
                    <w:jc w:val="center"/>
                    <w:rPr>
                      <w:kern w:val="0"/>
                      <w:sz w:val="18"/>
                      <w:szCs w:val="18"/>
                    </w:rPr>
                  </w:pPr>
                  <w:r>
                    <w:rPr>
                      <w:sz w:val="18"/>
                      <w:szCs w:val="18"/>
                    </w:rPr>
                    <w:t>9.75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废机油</w:t>
                  </w:r>
                </w:p>
              </w:tc>
              <w:tc>
                <w:tcPr>
                  <w:tcW w:w="682" w:type="pct"/>
                  <w:vAlign w:val="center"/>
                </w:tcPr>
                <w:p>
                  <w:pPr>
                    <w:jc w:val="center"/>
                    <w:rPr>
                      <w:sz w:val="18"/>
                      <w:szCs w:val="18"/>
                    </w:rPr>
                  </w:pPr>
                  <w:r>
                    <w:rPr>
                      <w:sz w:val="18"/>
                      <w:szCs w:val="18"/>
                    </w:rPr>
                    <w:t>122.1</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润滑油</w:t>
                  </w:r>
                </w:p>
              </w:tc>
              <w:tc>
                <w:tcPr>
                  <w:tcW w:w="682" w:type="pct"/>
                  <w:vAlign w:val="center"/>
                </w:tcPr>
                <w:p>
                  <w:pPr>
                    <w:jc w:val="center"/>
                    <w:rPr>
                      <w:sz w:val="18"/>
                      <w:szCs w:val="18"/>
                    </w:rPr>
                  </w:pPr>
                  <w:r>
                    <w:rPr>
                      <w:sz w:val="18"/>
                      <w:szCs w:val="18"/>
                    </w:rPr>
                    <w:t>72.3</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冷却液</w:t>
                  </w:r>
                </w:p>
              </w:tc>
              <w:tc>
                <w:tcPr>
                  <w:tcW w:w="682" w:type="pct"/>
                  <w:vAlign w:val="center"/>
                </w:tcPr>
                <w:p>
                  <w:pPr>
                    <w:jc w:val="center"/>
                    <w:rPr>
                      <w:sz w:val="18"/>
                      <w:szCs w:val="18"/>
                    </w:rPr>
                  </w:pPr>
                  <w:r>
                    <w:rPr>
                      <w:sz w:val="18"/>
                      <w:szCs w:val="18"/>
                    </w:rPr>
                    <w:t>229.5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防冻液</w:t>
                  </w:r>
                </w:p>
              </w:tc>
              <w:tc>
                <w:tcPr>
                  <w:tcW w:w="682" w:type="pct"/>
                  <w:vAlign w:val="center"/>
                </w:tcPr>
                <w:p>
                  <w:pPr>
                    <w:jc w:val="center"/>
                    <w:rPr>
                      <w:sz w:val="18"/>
                      <w:szCs w:val="18"/>
                    </w:rPr>
                  </w:pPr>
                  <w:r>
                    <w:rPr>
                      <w:sz w:val="18"/>
                      <w:szCs w:val="18"/>
                    </w:rPr>
                    <w:t>153</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431" w:type="pct"/>
                  <w:vMerge w:val="continue"/>
                  <w:vAlign w:val="center"/>
                </w:tcPr>
                <w:p>
                  <w:pPr>
                    <w:widowControl/>
                    <w:jc w:val="left"/>
                    <w:rPr>
                      <w:kern w:val="0"/>
                      <w:sz w:val="18"/>
                      <w:szCs w:val="18"/>
                    </w:rPr>
                  </w:pPr>
                </w:p>
              </w:tc>
              <w:tc>
                <w:tcPr>
                  <w:tcW w:w="1159" w:type="pct"/>
                  <w:vAlign w:val="center"/>
                </w:tcPr>
                <w:p>
                  <w:pPr>
                    <w:widowControl/>
                    <w:jc w:val="center"/>
                    <w:rPr>
                      <w:kern w:val="0"/>
                      <w:sz w:val="18"/>
                      <w:szCs w:val="18"/>
                    </w:rPr>
                  </w:pPr>
                  <w:r>
                    <w:rPr>
                      <w:kern w:val="0"/>
                      <w:sz w:val="18"/>
                      <w:szCs w:val="18"/>
                    </w:rPr>
                    <w:t>制动液</w:t>
                  </w:r>
                </w:p>
              </w:tc>
              <w:tc>
                <w:tcPr>
                  <w:tcW w:w="682" w:type="pct"/>
                  <w:vAlign w:val="center"/>
                </w:tcPr>
                <w:p>
                  <w:pPr>
                    <w:jc w:val="center"/>
                    <w:rPr>
                      <w:sz w:val="18"/>
                      <w:szCs w:val="18"/>
                    </w:rPr>
                  </w:pPr>
                  <w:r>
                    <w:rPr>
                      <w:sz w:val="18"/>
                      <w:szCs w:val="18"/>
                    </w:rPr>
                    <w:t>19.5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废油箱</w:t>
                  </w:r>
                </w:p>
              </w:tc>
              <w:tc>
                <w:tcPr>
                  <w:tcW w:w="682" w:type="pct"/>
                  <w:vAlign w:val="center"/>
                </w:tcPr>
                <w:p>
                  <w:pPr>
                    <w:widowControl/>
                    <w:jc w:val="center"/>
                    <w:rPr>
                      <w:kern w:val="0"/>
                      <w:sz w:val="18"/>
                      <w:szCs w:val="18"/>
                    </w:rPr>
                  </w:pPr>
                  <w:r>
                    <w:rPr>
                      <w:sz w:val="18"/>
                      <w:szCs w:val="18"/>
                    </w:rPr>
                    <w:t>652.5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尾气催化剂</w:t>
                  </w:r>
                </w:p>
              </w:tc>
              <w:tc>
                <w:tcPr>
                  <w:tcW w:w="682" w:type="pct"/>
                  <w:vAlign w:val="center"/>
                </w:tcPr>
                <w:p>
                  <w:pPr>
                    <w:jc w:val="center"/>
                    <w:rPr>
                      <w:sz w:val="18"/>
                      <w:szCs w:val="18"/>
                    </w:rPr>
                  </w:pPr>
                  <w:r>
                    <w:rPr>
                      <w:sz w:val="18"/>
                      <w:szCs w:val="18"/>
                    </w:rPr>
                    <w:t>79.49</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电容器</w:t>
                  </w:r>
                </w:p>
              </w:tc>
              <w:tc>
                <w:tcPr>
                  <w:tcW w:w="682" w:type="pct"/>
                  <w:vAlign w:val="center"/>
                </w:tcPr>
                <w:p>
                  <w:pPr>
                    <w:jc w:val="center"/>
                    <w:rPr>
                      <w:sz w:val="18"/>
                      <w:szCs w:val="18"/>
                    </w:rPr>
                  </w:pPr>
                  <w:r>
                    <w:rPr>
                      <w:sz w:val="18"/>
                      <w:szCs w:val="18"/>
                    </w:rPr>
                    <w:t>147</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机油滤清器</w:t>
                  </w:r>
                </w:p>
              </w:tc>
              <w:tc>
                <w:tcPr>
                  <w:tcW w:w="682" w:type="pct"/>
                  <w:vAlign w:val="center"/>
                </w:tcPr>
                <w:p>
                  <w:pPr>
                    <w:jc w:val="center"/>
                    <w:rPr>
                      <w:sz w:val="18"/>
                      <w:szCs w:val="18"/>
                    </w:rPr>
                  </w:pPr>
                  <w:r>
                    <w:rPr>
                      <w:sz w:val="18"/>
                      <w:szCs w:val="18"/>
                    </w:rPr>
                    <w:t>9.15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废电子部件</w:t>
                  </w:r>
                </w:p>
              </w:tc>
              <w:tc>
                <w:tcPr>
                  <w:tcW w:w="682" w:type="pct"/>
                  <w:vAlign w:val="center"/>
                </w:tcPr>
                <w:p>
                  <w:pPr>
                    <w:jc w:val="center"/>
                    <w:rPr>
                      <w:sz w:val="18"/>
                      <w:szCs w:val="18"/>
                    </w:rPr>
                  </w:pPr>
                  <w:r>
                    <w:rPr>
                      <w:sz w:val="18"/>
                      <w:szCs w:val="18"/>
                    </w:rPr>
                    <w:t>840</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autoSpaceDE w:val="0"/>
                    <w:autoSpaceDN w:val="0"/>
                    <w:adjustRightInd w:val="0"/>
                    <w:jc w:val="center"/>
                    <w:rPr>
                      <w:kern w:val="0"/>
                      <w:sz w:val="18"/>
                      <w:szCs w:val="18"/>
                    </w:rPr>
                  </w:pPr>
                  <w:r>
                    <w:rPr>
                      <w:rFonts w:hint="eastAsia"/>
                      <w:kern w:val="0"/>
                      <w:sz w:val="18"/>
                      <w:szCs w:val="18"/>
                    </w:rPr>
                    <w:t>含汞光源</w:t>
                  </w:r>
                </w:p>
              </w:tc>
              <w:tc>
                <w:tcPr>
                  <w:tcW w:w="682" w:type="pct"/>
                  <w:vAlign w:val="center"/>
                </w:tcPr>
                <w:p>
                  <w:pPr>
                    <w:jc w:val="center"/>
                    <w:rPr>
                      <w:rFonts w:eastAsia="等线"/>
                      <w:sz w:val="18"/>
                      <w:szCs w:val="18"/>
                    </w:rPr>
                  </w:pPr>
                  <w:r>
                    <w:rPr>
                      <w:sz w:val="18"/>
                      <w:szCs w:val="18"/>
                    </w:rPr>
                    <w:t>1.5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autoSpaceDE w:val="0"/>
                    <w:autoSpaceDN w:val="0"/>
                    <w:adjustRightInd w:val="0"/>
                    <w:jc w:val="center"/>
                    <w:rPr>
                      <w:kern w:val="0"/>
                      <w:sz w:val="18"/>
                      <w:szCs w:val="18"/>
                    </w:rPr>
                  </w:pPr>
                  <w:r>
                    <w:rPr>
                      <w:rFonts w:hint="eastAsia"/>
                      <w:kern w:val="0"/>
                      <w:sz w:val="18"/>
                      <w:szCs w:val="18"/>
                    </w:rPr>
                    <w:t>废石棉片</w:t>
                  </w:r>
                </w:p>
              </w:tc>
              <w:tc>
                <w:tcPr>
                  <w:tcW w:w="682" w:type="pct"/>
                  <w:vAlign w:val="center"/>
                </w:tcPr>
                <w:p>
                  <w:pPr>
                    <w:jc w:val="center"/>
                    <w:rPr>
                      <w:rFonts w:eastAsia="等线"/>
                      <w:sz w:val="18"/>
                      <w:szCs w:val="18"/>
                    </w:rPr>
                  </w:pPr>
                  <w:r>
                    <w:rPr>
                      <w:sz w:val="18"/>
                      <w:szCs w:val="18"/>
                    </w:rPr>
                    <w:t>1.5</w:t>
                  </w:r>
                </w:p>
              </w:tc>
              <w:tc>
                <w:tcPr>
                  <w:tcW w:w="460" w:type="pct"/>
                  <w:vMerge w:val="continue"/>
                  <w:vAlign w:val="center"/>
                </w:tcPr>
                <w:p>
                  <w:pPr>
                    <w:widowControl/>
                    <w:jc w:val="left"/>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制冷剂（部分为氟利昂）</w:t>
                  </w:r>
                </w:p>
              </w:tc>
              <w:tc>
                <w:tcPr>
                  <w:tcW w:w="682" w:type="pct"/>
                  <w:vAlign w:val="center"/>
                </w:tcPr>
                <w:p>
                  <w:pPr>
                    <w:jc w:val="center"/>
                    <w:rPr>
                      <w:sz w:val="18"/>
                      <w:szCs w:val="18"/>
                    </w:rPr>
                  </w:pPr>
                  <w:r>
                    <w:rPr>
                      <w:sz w:val="18"/>
                      <w:szCs w:val="18"/>
                    </w:rPr>
                    <w:t>23.7</w:t>
                  </w:r>
                </w:p>
              </w:tc>
              <w:tc>
                <w:tcPr>
                  <w:tcW w:w="460" w:type="pct"/>
                  <w:vMerge w:val="restart"/>
                  <w:vAlign w:val="center"/>
                </w:tcPr>
                <w:p>
                  <w:pPr>
                    <w:jc w:val="center"/>
                    <w:rPr>
                      <w:kern w:val="0"/>
                      <w:sz w:val="18"/>
                      <w:szCs w:val="18"/>
                    </w:rPr>
                  </w:pPr>
                  <w:r>
                    <w:rPr>
                      <w:kern w:val="0"/>
                      <w:sz w:val="18"/>
                      <w:szCs w:val="18"/>
                    </w:rPr>
                    <w:t>一般工业固废</w:t>
                  </w:r>
                </w:p>
              </w:tc>
              <w:tc>
                <w:tcPr>
                  <w:tcW w:w="645" w:type="pct"/>
                  <w:vMerge w:val="restart"/>
                  <w:vAlign w:val="center"/>
                </w:tcPr>
                <w:p>
                  <w:pPr>
                    <w:widowControl/>
                    <w:jc w:val="center"/>
                    <w:rPr>
                      <w:kern w:val="0"/>
                      <w:sz w:val="18"/>
                      <w:szCs w:val="18"/>
                    </w:rPr>
                  </w:pPr>
                  <w:r>
                    <w:rPr>
                      <w:rFonts w:hint="eastAsia"/>
                      <w:kern w:val="0"/>
                      <w:sz w:val="18"/>
                      <w:szCs w:val="18"/>
                    </w:rPr>
                    <w:t>交由相关资质的单位处置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废液化气罐</w:t>
                  </w:r>
                </w:p>
              </w:tc>
              <w:tc>
                <w:tcPr>
                  <w:tcW w:w="682" w:type="pct"/>
                  <w:vAlign w:val="center"/>
                </w:tcPr>
                <w:p>
                  <w:pPr>
                    <w:jc w:val="center"/>
                    <w:rPr>
                      <w:sz w:val="18"/>
                      <w:szCs w:val="18"/>
                    </w:rPr>
                  </w:pPr>
                  <w:r>
                    <w:rPr>
                      <w:sz w:val="18"/>
                      <w:szCs w:val="18"/>
                    </w:rPr>
                    <w:t>129</w:t>
                  </w:r>
                </w:p>
              </w:tc>
              <w:tc>
                <w:tcPr>
                  <w:tcW w:w="460" w:type="pct"/>
                  <w:vMerge w:val="continue"/>
                  <w:vAlign w:val="center"/>
                </w:tcPr>
                <w:p>
                  <w:pPr>
                    <w:jc w:val="center"/>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autoSpaceDE w:val="0"/>
                    <w:autoSpaceDN w:val="0"/>
                    <w:adjustRightInd w:val="0"/>
                    <w:jc w:val="center"/>
                    <w:rPr>
                      <w:kern w:val="0"/>
                      <w:sz w:val="18"/>
                      <w:szCs w:val="18"/>
                    </w:rPr>
                  </w:pPr>
                  <w:r>
                    <w:rPr>
                      <w:rFonts w:hint="eastAsia"/>
                      <w:kern w:val="0"/>
                      <w:sz w:val="18"/>
                      <w:szCs w:val="18"/>
                    </w:rPr>
                    <w:t>废蓄电池</w:t>
                  </w:r>
                </w:p>
                <w:p>
                  <w:pPr>
                    <w:widowControl/>
                    <w:jc w:val="center"/>
                    <w:rPr>
                      <w:kern w:val="0"/>
                      <w:sz w:val="18"/>
                      <w:szCs w:val="18"/>
                    </w:rPr>
                  </w:pPr>
                  <w:r>
                    <w:rPr>
                      <w:rFonts w:hint="eastAsia"/>
                      <w:kern w:val="0"/>
                      <w:sz w:val="18"/>
                      <w:szCs w:val="18"/>
                    </w:rPr>
                    <w:t>（不包含废铅蓄电池）</w:t>
                  </w:r>
                </w:p>
              </w:tc>
              <w:tc>
                <w:tcPr>
                  <w:tcW w:w="682" w:type="pct"/>
                  <w:vAlign w:val="center"/>
                </w:tcPr>
                <w:p>
                  <w:pPr>
                    <w:jc w:val="center"/>
                    <w:rPr>
                      <w:sz w:val="18"/>
                      <w:szCs w:val="18"/>
                    </w:rPr>
                  </w:pPr>
                  <w:r>
                    <w:rPr>
                      <w:sz w:val="18"/>
                      <w:szCs w:val="18"/>
                    </w:rPr>
                    <w:t>2625</w:t>
                  </w:r>
                </w:p>
              </w:tc>
              <w:tc>
                <w:tcPr>
                  <w:tcW w:w="460" w:type="pct"/>
                  <w:vMerge w:val="continue"/>
                  <w:vAlign w:val="center"/>
                </w:tcPr>
                <w:p>
                  <w:pPr>
                    <w:jc w:val="center"/>
                    <w:rPr>
                      <w:kern w:val="0"/>
                      <w:sz w:val="18"/>
                      <w:szCs w:val="18"/>
                    </w:rPr>
                  </w:pPr>
                </w:p>
              </w:tc>
              <w:tc>
                <w:tcPr>
                  <w:tcW w:w="645" w:type="pct"/>
                  <w:vMerge w:val="continue"/>
                  <w:vAlign w:val="center"/>
                </w:tcPr>
                <w:p>
                  <w:pPr>
                    <w:widowControl/>
                    <w:jc w:val="left"/>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rFonts w:hint="eastAsia"/>
                      <w:kern w:val="0"/>
                      <w:sz w:val="18"/>
                      <w:szCs w:val="18"/>
                    </w:rPr>
                    <w:t>引爆后的安全气囊</w:t>
                  </w:r>
                </w:p>
              </w:tc>
              <w:tc>
                <w:tcPr>
                  <w:tcW w:w="682" w:type="pct"/>
                  <w:vAlign w:val="center"/>
                </w:tcPr>
                <w:p>
                  <w:pPr>
                    <w:widowControl/>
                    <w:jc w:val="center"/>
                    <w:rPr>
                      <w:sz w:val="18"/>
                      <w:szCs w:val="18"/>
                    </w:rPr>
                  </w:pPr>
                  <w:r>
                    <w:rPr>
                      <w:rFonts w:hint="eastAsia"/>
                      <w:sz w:val="18"/>
                      <w:szCs w:val="18"/>
                    </w:rPr>
                    <w:t>1</w:t>
                  </w:r>
                  <w:r>
                    <w:rPr>
                      <w:sz w:val="18"/>
                      <w:szCs w:val="18"/>
                    </w:rPr>
                    <w:t>41.77</w:t>
                  </w:r>
                </w:p>
              </w:tc>
              <w:tc>
                <w:tcPr>
                  <w:tcW w:w="460" w:type="pct"/>
                  <w:vMerge w:val="continue"/>
                  <w:vAlign w:val="center"/>
                </w:tcPr>
                <w:p>
                  <w:pPr>
                    <w:widowControl/>
                    <w:jc w:val="center"/>
                    <w:rPr>
                      <w:kern w:val="0"/>
                      <w:sz w:val="18"/>
                      <w:szCs w:val="18"/>
                    </w:rPr>
                  </w:pPr>
                </w:p>
              </w:tc>
              <w:tc>
                <w:tcPr>
                  <w:tcW w:w="645" w:type="pct"/>
                  <w:vMerge w:val="continue"/>
                  <w:vAlign w:val="center"/>
                </w:tcPr>
                <w:p>
                  <w:pPr>
                    <w:widowControl/>
                    <w:jc w:val="center"/>
                    <w:rPr>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Merge w:val="continue"/>
                  <w:vAlign w:val="center"/>
                </w:tcPr>
                <w:p>
                  <w:pPr>
                    <w:widowControl/>
                    <w:jc w:val="left"/>
                    <w:rPr>
                      <w:kern w:val="0"/>
                      <w:sz w:val="18"/>
                      <w:szCs w:val="18"/>
                    </w:rPr>
                  </w:pPr>
                </w:p>
              </w:tc>
              <w:tc>
                <w:tcPr>
                  <w:tcW w:w="625" w:type="pct"/>
                  <w:vMerge w:val="continue"/>
                  <w:vAlign w:val="center"/>
                </w:tcPr>
                <w:p>
                  <w:pPr>
                    <w:widowControl/>
                    <w:jc w:val="left"/>
                    <w:rPr>
                      <w:kern w:val="0"/>
                      <w:sz w:val="18"/>
                      <w:szCs w:val="18"/>
                    </w:rPr>
                  </w:pPr>
                </w:p>
              </w:tc>
              <w:tc>
                <w:tcPr>
                  <w:tcW w:w="373" w:type="pct"/>
                  <w:vMerge w:val="continue"/>
                  <w:vAlign w:val="center"/>
                </w:tcPr>
                <w:p>
                  <w:pPr>
                    <w:widowControl/>
                    <w:jc w:val="left"/>
                    <w:rPr>
                      <w:kern w:val="0"/>
                      <w:sz w:val="18"/>
                      <w:szCs w:val="18"/>
                    </w:rPr>
                  </w:pPr>
                </w:p>
              </w:tc>
              <w:tc>
                <w:tcPr>
                  <w:tcW w:w="1590" w:type="pct"/>
                  <w:gridSpan w:val="2"/>
                  <w:vAlign w:val="center"/>
                </w:tcPr>
                <w:p>
                  <w:pPr>
                    <w:widowControl/>
                    <w:jc w:val="center"/>
                    <w:rPr>
                      <w:kern w:val="0"/>
                      <w:sz w:val="18"/>
                      <w:szCs w:val="18"/>
                    </w:rPr>
                  </w:pPr>
                  <w:r>
                    <w:rPr>
                      <w:kern w:val="0"/>
                      <w:sz w:val="18"/>
                      <w:szCs w:val="18"/>
                    </w:rPr>
                    <w:t>其它不可利用废物（主要为安全气囊、陶瓷、泡沫、装饰材料、碎玻璃等）</w:t>
                  </w:r>
                </w:p>
              </w:tc>
              <w:tc>
                <w:tcPr>
                  <w:tcW w:w="682" w:type="pct"/>
                  <w:vAlign w:val="center"/>
                </w:tcPr>
                <w:p>
                  <w:pPr>
                    <w:widowControl/>
                    <w:jc w:val="center"/>
                    <w:rPr>
                      <w:kern w:val="0"/>
                      <w:sz w:val="18"/>
                      <w:szCs w:val="18"/>
                    </w:rPr>
                  </w:pPr>
                  <w:r>
                    <w:rPr>
                      <w:sz w:val="18"/>
                      <w:szCs w:val="18"/>
                    </w:rPr>
                    <w:t>1853.24</w:t>
                  </w:r>
                </w:p>
              </w:tc>
              <w:tc>
                <w:tcPr>
                  <w:tcW w:w="460" w:type="pct"/>
                  <w:vMerge w:val="continue"/>
                  <w:vAlign w:val="center"/>
                </w:tcPr>
                <w:p>
                  <w:pPr>
                    <w:widowControl/>
                    <w:jc w:val="center"/>
                    <w:rPr>
                      <w:kern w:val="0"/>
                      <w:sz w:val="18"/>
                      <w:szCs w:val="18"/>
                    </w:rPr>
                  </w:pPr>
                </w:p>
              </w:tc>
              <w:tc>
                <w:tcPr>
                  <w:tcW w:w="645" w:type="pct"/>
                  <w:vAlign w:val="center"/>
                </w:tcPr>
                <w:p>
                  <w:pPr>
                    <w:widowControl/>
                    <w:jc w:val="center"/>
                    <w:rPr>
                      <w:kern w:val="0"/>
                      <w:sz w:val="18"/>
                      <w:szCs w:val="18"/>
                    </w:rPr>
                  </w:pPr>
                  <w:r>
                    <w:rPr>
                      <w:kern w:val="0"/>
                      <w:sz w:val="18"/>
                      <w:szCs w:val="18"/>
                    </w:rPr>
                    <w:t>运至</w:t>
                  </w:r>
                  <w:r>
                    <w:rPr>
                      <w:rFonts w:hint="eastAsia"/>
                      <w:sz w:val="18"/>
                      <w:szCs w:val="18"/>
                    </w:rPr>
                    <w:t>一般工业固废处置场处置</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25" w:type="pct"/>
                  <w:vAlign w:val="center"/>
                </w:tcPr>
                <w:p>
                  <w:pPr>
                    <w:widowControl/>
                    <w:jc w:val="center"/>
                    <w:rPr>
                      <w:kern w:val="0"/>
                      <w:sz w:val="18"/>
                      <w:szCs w:val="18"/>
                    </w:rPr>
                  </w:pPr>
                  <w:r>
                    <w:rPr>
                      <w:kern w:val="0"/>
                      <w:sz w:val="18"/>
                      <w:szCs w:val="18"/>
                    </w:rPr>
                    <w:t>合计</w:t>
                  </w:r>
                </w:p>
              </w:tc>
              <w:tc>
                <w:tcPr>
                  <w:tcW w:w="625" w:type="pct"/>
                  <w:vAlign w:val="center"/>
                </w:tcPr>
                <w:p>
                  <w:pPr>
                    <w:widowControl/>
                    <w:jc w:val="center"/>
                    <w:rPr>
                      <w:kern w:val="0"/>
                      <w:sz w:val="18"/>
                      <w:szCs w:val="18"/>
                    </w:rPr>
                  </w:pPr>
                  <w:r>
                    <w:rPr>
                      <w:sz w:val="18"/>
                      <w:szCs w:val="18"/>
                    </w:rPr>
                    <w:t>74250</w:t>
                  </w:r>
                </w:p>
              </w:tc>
              <w:tc>
                <w:tcPr>
                  <w:tcW w:w="1962" w:type="pct"/>
                  <w:gridSpan w:val="3"/>
                  <w:vAlign w:val="center"/>
                </w:tcPr>
                <w:p>
                  <w:pPr>
                    <w:widowControl/>
                    <w:jc w:val="center"/>
                    <w:rPr>
                      <w:kern w:val="0"/>
                      <w:sz w:val="18"/>
                      <w:szCs w:val="18"/>
                    </w:rPr>
                  </w:pPr>
                  <w:r>
                    <w:rPr>
                      <w:kern w:val="0"/>
                      <w:sz w:val="18"/>
                      <w:szCs w:val="18"/>
                    </w:rPr>
                    <w:t>/</w:t>
                  </w:r>
                </w:p>
              </w:tc>
              <w:tc>
                <w:tcPr>
                  <w:tcW w:w="682" w:type="pct"/>
                  <w:vAlign w:val="center"/>
                </w:tcPr>
                <w:p>
                  <w:pPr>
                    <w:widowControl/>
                    <w:jc w:val="center"/>
                    <w:rPr>
                      <w:kern w:val="0"/>
                      <w:sz w:val="18"/>
                      <w:szCs w:val="18"/>
                    </w:rPr>
                  </w:pPr>
                  <w:r>
                    <w:rPr>
                      <w:sz w:val="18"/>
                      <w:szCs w:val="18"/>
                    </w:rPr>
                    <w:t>74250</w:t>
                  </w:r>
                </w:p>
              </w:tc>
              <w:tc>
                <w:tcPr>
                  <w:tcW w:w="1105" w:type="pct"/>
                  <w:gridSpan w:val="2"/>
                  <w:vAlign w:val="center"/>
                </w:tcPr>
                <w:p>
                  <w:pPr>
                    <w:widowControl/>
                    <w:jc w:val="center"/>
                    <w:rPr>
                      <w:kern w:val="0"/>
                      <w:sz w:val="18"/>
                      <w:szCs w:val="18"/>
                    </w:rPr>
                  </w:pPr>
                  <w:r>
                    <w:rPr>
                      <w:kern w:val="0"/>
                      <w:sz w:val="18"/>
                      <w:szCs w:val="18"/>
                    </w:rPr>
                    <w:t>/</w:t>
                  </w:r>
                </w:p>
              </w:tc>
            </w:tr>
          </w:tbl>
          <w:p>
            <w:pPr>
              <w:spacing w:line="480" w:lineRule="exact"/>
              <w:ind w:firstLine="360" w:firstLineChars="200"/>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23" w:type="dxa"/>
            <w:vAlign w:val="center"/>
          </w:tcPr>
          <w:p>
            <w:pPr>
              <w:pStyle w:val="18"/>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161" w:type="dxa"/>
          </w:tcPr>
          <w:p>
            <w:pPr>
              <w:pStyle w:val="50"/>
              <w:ind w:firstLine="0" w:firstLineChars="0"/>
              <w:jc w:val="left"/>
              <w:rPr>
                <w:b/>
                <w:lang w:eastAsia="zh-CN"/>
              </w:rPr>
            </w:pPr>
            <w:r>
              <w:rPr>
                <w:rFonts w:hint="eastAsia"/>
                <w:b/>
                <w:lang w:eastAsia="zh-CN"/>
              </w:rPr>
              <w:t>2.2工艺流程和产排污环节</w:t>
            </w:r>
          </w:p>
          <w:p>
            <w:pPr>
              <w:adjustRightInd w:val="0"/>
              <w:snapToGrid w:val="0"/>
              <w:spacing w:line="480" w:lineRule="exact"/>
              <w:rPr>
                <w:sz w:val="24"/>
              </w:rPr>
            </w:pPr>
            <w:r>
              <w:rPr>
                <w:rFonts w:hint="eastAsia"/>
                <w:b/>
                <w:sz w:val="24"/>
              </w:rPr>
              <w:t>2.2.1施工</w:t>
            </w:r>
            <w:r>
              <w:rPr>
                <w:b/>
                <w:sz w:val="24"/>
              </w:rPr>
              <w:t>期</w:t>
            </w:r>
            <w:r>
              <w:rPr>
                <w:rFonts w:hint="eastAsia"/>
                <w:b/>
                <w:sz w:val="24"/>
              </w:rPr>
              <w:t>工艺流程和产排污环节</w:t>
            </w:r>
          </w:p>
          <w:p>
            <w:pPr>
              <w:adjustRightInd w:val="0"/>
              <w:snapToGrid w:val="0"/>
              <w:spacing w:line="480" w:lineRule="exact"/>
              <w:ind w:firstLine="480" w:firstLineChars="200"/>
              <w:rPr>
                <w:sz w:val="24"/>
              </w:rPr>
            </w:pPr>
            <w:r>
              <w:rPr>
                <w:rFonts w:hint="eastAsia"/>
                <w:sz w:val="24"/>
              </w:rPr>
              <w:t>拟建项目位于重庆市大足区邮亭镇工业园区A7-01/01地块，主要建设内容为土建施工、管网建设、结构施工、建筑装饰、设备安装等建设活动。项目施工期和运营期活动将会对周围环境产生一定的影响。</w:t>
            </w:r>
            <w:r>
              <w:rPr>
                <w:sz w:val="24"/>
              </w:rPr>
              <w:t>施工流程及排污节点见图2.</w:t>
            </w:r>
            <w:r>
              <w:rPr>
                <w:rFonts w:hint="eastAsia"/>
                <w:sz w:val="24"/>
              </w:rPr>
              <w:t>2</w:t>
            </w:r>
            <w:r>
              <w:rPr>
                <w:sz w:val="24"/>
              </w:rPr>
              <w:t>-1。</w:t>
            </w:r>
          </w:p>
          <w:p>
            <w:pPr>
              <w:jc w:val="center"/>
            </w:pPr>
            <w:r>
              <w:object>
                <v:shape id="_x0000_i1026" o:spt="75" type="#_x0000_t75" style="height:95.65pt;width:400.85pt;" o:ole="t" filled="f" o:preferrelative="t" stroked="f" coordsize="21600,21600">
                  <v:path/>
                  <v:fill on="f" focussize="0,0"/>
                  <v:stroke on="f" joinstyle="miter"/>
                  <v:imagedata r:id="rId11" o:title=""/>
                  <o:lock v:ext="edit" aspectratio="t"/>
                  <w10:wrap type="none"/>
                  <w10:anchorlock/>
                </v:shape>
                <o:OLEObject Type="Embed" ProgID="Visio.Drawing.11" ShapeID="_x0000_i1026" DrawAspect="Content" ObjectID="_1468075726" r:id="rId10">
                  <o:LockedField>false</o:LockedField>
                </o:OLEObject>
              </w:object>
            </w:r>
          </w:p>
          <w:p>
            <w:pPr>
              <w:pStyle w:val="45"/>
              <w:spacing w:after="60"/>
              <w:rPr>
                <w:rFonts w:ascii="Times New Roman" w:hAnsi="Times New Roman"/>
              </w:rPr>
            </w:pPr>
            <w:r>
              <w:rPr>
                <w:rFonts w:ascii="Times New Roman" w:hAnsi="Times New Roman"/>
              </w:rPr>
              <w:t>图2.</w:t>
            </w:r>
            <w:r>
              <w:rPr>
                <w:rFonts w:hint="eastAsia" w:ascii="Times New Roman" w:hAnsi="Times New Roman"/>
              </w:rPr>
              <w:t>2</w:t>
            </w:r>
            <w:r>
              <w:rPr>
                <w:rFonts w:ascii="Times New Roman" w:hAnsi="Times New Roman"/>
              </w:rPr>
              <w:t>-1 施工期工艺流程及产污环节示意图</w:t>
            </w:r>
          </w:p>
          <w:p>
            <w:pPr>
              <w:pStyle w:val="55"/>
              <w:spacing w:line="480" w:lineRule="exact"/>
              <w:ind w:firstLine="0" w:firstLineChars="0"/>
              <w:rPr>
                <w:b/>
              </w:rPr>
            </w:pPr>
            <w:r>
              <w:rPr>
                <w:b/>
              </w:rPr>
              <w:t>2.</w:t>
            </w:r>
            <w:r>
              <w:rPr>
                <w:rFonts w:hint="eastAsia"/>
                <w:b/>
              </w:rPr>
              <w:t>2.2</w:t>
            </w:r>
            <w:r>
              <w:rPr>
                <w:b/>
              </w:rPr>
              <w:t>营运期</w:t>
            </w:r>
            <w:r>
              <w:rPr>
                <w:rFonts w:hint="eastAsia"/>
                <w:b/>
              </w:rPr>
              <w:t>工艺流程和产排污环节</w:t>
            </w:r>
          </w:p>
          <w:p>
            <w:pPr>
              <w:spacing w:line="480" w:lineRule="exact"/>
              <w:jc w:val="left"/>
              <w:rPr>
                <w:b/>
                <w:bCs/>
                <w:sz w:val="24"/>
              </w:rPr>
            </w:pPr>
            <w:r>
              <w:rPr>
                <w:b/>
                <w:bCs/>
                <w:sz w:val="24"/>
              </w:rPr>
              <w:t>2.2.2.1</w:t>
            </w:r>
            <w:r>
              <w:rPr>
                <w:rFonts w:hint="eastAsia"/>
                <w:b/>
                <w:bCs/>
                <w:sz w:val="24"/>
              </w:rPr>
              <w:t>工艺流程</w:t>
            </w:r>
          </w:p>
          <w:p>
            <w:pPr>
              <w:adjustRightInd w:val="0"/>
              <w:spacing w:line="460" w:lineRule="exact"/>
              <w:ind w:firstLine="480" w:firstLineChars="200"/>
              <w:rPr>
                <w:bCs/>
                <w:sz w:val="24"/>
              </w:rPr>
            </w:pPr>
            <w:r>
              <w:rPr>
                <w:bCs/>
                <w:sz w:val="24"/>
              </w:rPr>
              <w:t>本项目仅接收一般性质使用车辆的拆解，不接收槽罐车、危险化学品运输车等特殊装备车辆，</w:t>
            </w:r>
            <w:r>
              <w:rPr>
                <w:bCs/>
                <w:sz w:val="24"/>
                <w:u w:color="F9FBFA"/>
              </w:rPr>
              <w:t>不对拆解下的零部件进行精细拆解及清洗，也不涉及废油加工。</w:t>
            </w:r>
          </w:p>
          <w:p>
            <w:pPr>
              <w:spacing w:line="480" w:lineRule="exact"/>
              <w:ind w:firstLine="480" w:firstLineChars="200"/>
              <w:rPr>
                <w:sz w:val="24"/>
              </w:rPr>
            </w:pPr>
            <w:r>
              <w:rPr>
                <w:sz w:val="24"/>
              </w:rPr>
              <w:t>根据《报废机动车回收管理办法》（中华人民共和国国务院令715号）、《重庆市报废汽车回收管理暂行办法</w:t>
            </w:r>
            <w:r>
              <w:rPr>
                <w:rFonts w:hint="eastAsia"/>
                <w:sz w:val="24"/>
                <w:lang w:eastAsia="zh-CN"/>
              </w:rPr>
              <w:t>》《</w:t>
            </w:r>
            <w:r>
              <w:rPr>
                <w:sz w:val="24"/>
              </w:rPr>
              <w:t>报废汽车回收拆解企业技术规范》（GB22128-2019）、《报废机动车拆解企业污染控制技术规范》（HJ348-2022）相关要求，报废汽车拆解作业流程如图2.2.2</w:t>
            </w:r>
            <w:r>
              <w:rPr>
                <w:rFonts w:hint="eastAsia"/>
                <w:sz w:val="24"/>
              </w:rPr>
              <w:t>-</w:t>
            </w:r>
            <w:r>
              <w:rPr>
                <w:sz w:val="24"/>
              </w:rPr>
              <w:t>1</w:t>
            </w:r>
            <w:r>
              <w:rPr>
                <w:rFonts w:hint="eastAsia"/>
                <w:sz w:val="24"/>
              </w:rPr>
              <w:t>。</w:t>
            </w:r>
          </w:p>
          <w:p>
            <w:pPr>
              <w:ind w:firstLine="420" w:firstLineChars="200"/>
              <w:jc w:val="center"/>
              <w:rPr>
                <w:sz w:val="24"/>
              </w:rPr>
            </w:pPr>
            <w:r>
              <w:drawing>
                <wp:inline distT="0" distB="0" distL="0" distR="0">
                  <wp:extent cx="4185920" cy="944245"/>
                  <wp:effectExtent l="0" t="0" r="508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4203710" cy="948825"/>
                          </a:xfrm>
                          <a:prstGeom prst="rect">
                            <a:avLst/>
                          </a:prstGeom>
                        </pic:spPr>
                      </pic:pic>
                    </a:graphicData>
                  </a:graphic>
                </wp:inline>
              </w:drawing>
            </w:r>
          </w:p>
          <w:p>
            <w:pPr>
              <w:spacing w:line="480" w:lineRule="exact"/>
              <w:ind w:firstLine="360" w:firstLineChars="200"/>
              <w:jc w:val="center"/>
              <w:rPr>
                <w:sz w:val="18"/>
                <w:szCs w:val="18"/>
              </w:rPr>
            </w:pPr>
            <w:r>
              <w:rPr>
                <w:rFonts w:hint="eastAsia"/>
                <w:sz w:val="18"/>
                <w:szCs w:val="18"/>
              </w:rPr>
              <w:t>图</w:t>
            </w:r>
            <w:r>
              <w:rPr>
                <w:sz w:val="18"/>
                <w:szCs w:val="18"/>
              </w:rPr>
              <w:t>2.2.2</w:t>
            </w:r>
            <w:r>
              <w:rPr>
                <w:rFonts w:hint="eastAsia"/>
                <w:sz w:val="18"/>
                <w:szCs w:val="18"/>
              </w:rPr>
              <w:t>-</w:t>
            </w:r>
            <w:r>
              <w:rPr>
                <w:sz w:val="18"/>
                <w:szCs w:val="18"/>
              </w:rPr>
              <w:t>1</w:t>
            </w:r>
            <w:r>
              <w:rPr>
                <w:rFonts w:hint="eastAsia"/>
                <w:sz w:val="18"/>
                <w:szCs w:val="18"/>
              </w:rPr>
              <w:t xml:space="preserve"> 报废汽车拆解作业流程图</w:t>
            </w:r>
          </w:p>
          <w:p>
            <w:pPr>
              <w:spacing w:line="480" w:lineRule="exact"/>
              <w:ind w:firstLine="480" w:firstLineChars="200"/>
              <w:rPr>
                <w:sz w:val="24"/>
              </w:rPr>
            </w:pPr>
            <w:r>
              <w:rPr>
                <w:sz w:val="24"/>
              </w:rPr>
              <w:t>报废汽车拆解工艺流程及产污环节</w:t>
            </w:r>
            <w:r>
              <w:rPr>
                <w:rFonts w:hint="eastAsia"/>
                <w:sz w:val="24"/>
              </w:rPr>
              <w:t>详见下图</w:t>
            </w:r>
            <w:r>
              <w:rPr>
                <w:sz w:val="24"/>
              </w:rPr>
              <w:t>2.2.2</w:t>
            </w:r>
            <w:r>
              <w:rPr>
                <w:rFonts w:hint="eastAsia"/>
                <w:sz w:val="24"/>
              </w:rPr>
              <w:t>-</w:t>
            </w:r>
            <w:r>
              <w:rPr>
                <w:sz w:val="24"/>
              </w:rPr>
              <w:t>2</w:t>
            </w:r>
            <w:r>
              <w:rPr>
                <w:rFonts w:hint="eastAsia"/>
                <w:sz w:val="24"/>
              </w:rPr>
              <w:t>。</w:t>
            </w:r>
          </w:p>
          <w:p>
            <w:pPr>
              <w:jc w:val="center"/>
              <w:rPr>
                <w:sz w:val="24"/>
              </w:rPr>
            </w:pPr>
            <w:r>
              <w:object>
                <v:shape id="_x0000_i1027" o:spt="75" type="#_x0000_t75" style="height:621.15pt;width:269.75pt;" o:ole="t" filled="f" o:preferrelative="t" stroked="f" coordsize="21600,21600">
                  <v:path/>
                  <v:fill on="f" focussize="0,0"/>
                  <v:stroke on="f" joinstyle="miter"/>
                  <v:imagedata r:id="rId14" o:title=""/>
                  <o:lock v:ext="edit" aspectratio="t"/>
                  <w10:wrap type="none"/>
                  <w10:anchorlock/>
                </v:shape>
                <o:OLEObject Type="Embed" ProgID="Visio.Drawing.11" ShapeID="_x0000_i1027" DrawAspect="Content" ObjectID="_1468075727" r:id="rId13">
                  <o:LockedField>false</o:LockedField>
                </o:OLEObject>
              </w:object>
            </w:r>
          </w:p>
          <w:p>
            <w:pPr>
              <w:jc w:val="center"/>
              <w:rPr>
                <w:b/>
                <w:bCs/>
                <w:sz w:val="24"/>
              </w:rPr>
            </w:pPr>
            <w: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ragraph">
                        <wp:posOffset>4482465</wp:posOffset>
                      </wp:positionV>
                      <wp:extent cx="2882265" cy="2378075"/>
                      <wp:effectExtent l="6985" t="3175" r="6350" b="9525"/>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2882265" cy="2378075"/>
                              </a:xfrm>
                              <a:prstGeom prst="rect">
                                <a:avLst/>
                              </a:prstGeom>
                              <a:noFill/>
                              <a:ln w="9525">
                                <a:solidFill>
                                  <a:srgbClr val="000000"/>
                                </a:solidFill>
                                <a:prstDash val="dashDot"/>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45pt;margin-top:352.95pt;height:187.25pt;width:226.95pt;z-index:251659264;mso-width-relative:page;mso-height-relative:page;" filled="f" stroked="t" coordsize="21600,21600" o:gfxdata="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Xw4rtgAAAALAQAADwAAAAAAAAABACAAAAAi&#10;AAAAZHJzL2Rvd25yZXYueG1sUEsBAhQAFAAAAAgAh07iQDcSpNRDAgAAcgQAAA4AAAAAAAAAAQAg&#10;AAAAJwEAAGRycy9lMm9Eb2MueG1sUEsFBgAAAAAGAAYAWQEAANwFAAAAAA==&#10;">
                      <v:fill on="f" focussize="0,0"/>
                      <v:stroke color="#000000" miterlimit="8" joinstyle="miter" dashstyle="dashDot"/>
                      <v:imagedata o:title=""/>
                      <o:lock v:ext="edit" aspectratio="f"/>
                    </v:rect>
                  </w:pict>
                </mc:Fallback>
              </mc:AlternateContent>
            </w:r>
            <w:r>
              <w:rPr>
                <w:sz w:val="18"/>
                <w:szCs w:val="18"/>
              </w:rPr>
              <w:t>2.2.2-2  报废汽车拆解工艺流程及产污环节示意图</w:t>
            </w:r>
          </w:p>
          <w:p>
            <w:pPr>
              <w:spacing w:line="480" w:lineRule="exact"/>
              <w:ind w:firstLine="480" w:firstLineChars="200"/>
              <w:rPr>
                <w:sz w:val="24"/>
              </w:rPr>
            </w:pPr>
            <w:r>
              <w:rPr>
                <w:rFonts w:hint="eastAsia"/>
                <w:sz w:val="24"/>
              </w:rPr>
              <w:t>（1）传统燃料机动车拆解线</w:t>
            </w:r>
          </w:p>
          <w:p>
            <w:pPr>
              <w:spacing w:line="480" w:lineRule="exact"/>
              <w:ind w:firstLine="480" w:firstLineChars="200"/>
              <w:rPr>
                <w:sz w:val="24"/>
              </w:rPr>
            </w:pPr>
            <w:r>
              <w:rPr>
                <w:rFonts w:hint="eastAsia"/>
                <w:sz w:val="24"/>
              </w:rPr>
              <w:t>本项目设置两</w:t>
            </w:r>
            <w:r>
              <w:rPr>
                <w:rFonts w:hint="eastAsia"/>
                <w:sz w:val="24"/>
                <w:lang w:eastAsia="zh-CN"/>
              </w:rPr>
              <w:t>条</w:t>
            </w:r>
            <w:r>
              <w:rPr>
                <w:rFonts w:hint="eastAsia"/>
                <w:sz w:val="24"/>
              </w:rPr>
              <w:t>传统燃料机动车拆解线，分别拆解大、中小型汽车，拆解线工艺基本一致。</w:t>
            </w:r>
          </w:p>
          <w:p>
            <w:pPr>
              <w:adjustRightInd w:val="0"/>
              <w:spacing w:line="480" w:lineRule="exact"/>
              <w:ind w:firstLine="480" w:firstLineChars="200"/>
              <w:rPr>
                <w:sz w:val="24"/>
              </w:rPr>
            </w:pPr>
            <w:r>
              <w:rPr>
                <w:sz w:val="24"/>
              </w:rPr>
              <w:t>生产工艺简述：</w:t>
            </w:r>
          </w:p>
          <w:p>
            <w:pPr>
              <w:spacing w:line="480" w:lineRule="exact"/>
              <w:ind w:left="482"/>
              <w:rPr>
                <w:bCs/>
                <w:sz w:val="24"/>
              </w:rPr>
            </w:pPr>
            <w:r>
              <w:rPr>
                <w:bCs/>
                <w:sz w:val="24"/>
              </w:rPr>
              <w:t>1</w:t>
            </w:r>
            <w:r>
              <w:rPr>
                <w:rFonts w:hint="eastAsia"/>
                <w:bCs/>
                <w:sz w:val="24"/>
              </w:rPr>
              <w:t>）</w:t>
            </w:r>
            <w:r>
              <w:rPr>
                <w:bCs/>
                <w:sz w:val="24"/>
              </w:rPr>
              <w:t>检查登记</w:t>
            </w:r>
          </w:p>
          <w:p>
            <w:pPr>
              <w:spacing w:line="480" w:lineRule="exact"/>
              <w:ind w:firstLine="480" w:firstLineChars="200"/>
              <w:rPr>
                <w:sz w:val="24"/>
              </w:rPr>
            </w:pPr>
            <w:r>
              <w:rPr>
                <w:rFonts w:hint="eastAsia" w:ascii="宋体" w:hAnsi="宋体" w:cs="宋体"/>
                <w:sz w:val="24"/>
              </w:rPr>
              <w:t>①</w:t>
            </w:r>
            <w:r>
              <w:rPr>
                <w:sz w:val="24"/>
              </w:rPr>
              <w:t>报废汽车进厂后，人工检查报废汽车发动机、散热器、变速器、差速器、油箱等总成部件的密封</w:t>
            </w:r>
            <w:r>
              <w:rPr>
                <w:rFonts w:hint="eastAsia"/>
                <w:sz w:val="24"/>
              </w:rPr>
              <w:t>、</w:t>
            </w:r>
            <w:r>
              <w:rPr>
                <w:sz w:val="24"/>
              </w:rPr>
              <w:t xml:space="preserve">破损情况。对于出现有泄漏的总成部件，应采用收集桶先收集泄漏的液体，防止废液跑冒滴漏渗入地下。 </w:t>
            </w:r>
          </w:p>
          <w:p>
            <w:pPr>
              <w:spacing w:line="480" w:lineRule="exact"/>
              <w:ind w:firstLine="480" w:firstLineChars="200"/>
              <w:rPr>
                <w:sz w:val="24"/>
              </w:rPr>
            </w:pPr>
            <w:r>
              <w:rPr>
                <w:rFonts w:hint="eastAsia" w:ascii="宋体" w:hAnsi="宋体" w:cs="宋体"/>
                <w:sz w:val="24"/>
              </w:rPr>
              <w:t>②</w:t>
            </w:r>
            <w:r>
              <w:rPr>
                <w:sz w:val="24"/>
              </w:rPr>
              <w:t>对报废汽车进行登记注册并拍照，将其主要信息（包括：报废汽车车主名称、证件号码、牌照号码、车型、品牌型号、车身颜色、重量、发动机号、车辆识别代号、出厂年份、接收或收购日期）录入电脑数据库并在车身醒目位置贴上显示信息的标签。</w:t>
            </w:r>
          </w:p>
          <w:p>
            <w:pPr>
              <w:spacing w:line="480" w:lineRule="exact"/>
              <w:ind w:firstLine="480" w:firstLineChars="200"/>
              <w:rPr>
                <w:sz w:val="24"/>
              </w:rPr>
            </w:pPr>
            <w:r>
              <w:rPr>
                <w:rFonts w:hint="eastAsia" w:ascii="宋体" w:hAnsi="宋体" w:cs="宋体"/>
                <w:sz w:val="24"/>
              </w:rPr>
              <w:t>③</w:t>
            </w:r>
            <w:r>
              <w:rPr>
                <w:sz w:val="24"/>
              </w:rPr>
              <w:t>将报废车辆的机动车登记证书、号牌、行驶证交公安机关交通管理部门办理注销登记。</w:t>
            </w:r>
          </w:p>
          <w:p>
            <w:pPr>
              <w:spacing w:line="480" w:lineRule="exact"/>
              <w:ind w:firstLine="480" w:firstLineChars="200"/>
              <w:rPr>
                <w:sz w:val="24"/>
              </w:rPr>
            </w:pPr>
            <w:r>
              <w:rPr>
                <w:rFonts w:hint="eastAsia" w:ascii="宋体" w:hAnsi="宋体" w:cs="宋体"/>
                <w:sz w:val="24"/>
              </w:rPr>
              <w:t>④</w:t>
            </w:r>
            <w:r>
              <w:rPr>
                <w:sz w:val="24"/>
              </w:rPr>
              <w:t>向报废汽车车主发放《报废汽车回收证明》及有关注销书面材料。</w:t>
            </w:r>
          </w:p>
          <w:p>
            <w:pPr>
              <w:spacing w:line="480" w:lineRule="exact"/>
              <w:ind w:firstLine="480" w:firstLineChars="200"/>
              <w:rPr>
                <w:bCs/>
                <w:sz w:val="24"/>
              </w:rPr>
            </w:pPr>
            <w:r>
              <w:rPr>
                <w:bCs/>
                <w:sz w:val="24"/>
              </w:rPr>
              <w:t>2）未拆解报废汽车储存</w:t>
            </w:r>
          </w:p>
          <w:p>
            <w:pPr>
              <w:spacing w:line="480" w:lineRule="exact"/>
              <w:ind w:firstLine="480" w:firstLineChars="200"/>
              <w:rPr>
                <w:sz w:val="24"/>
              </w:rPr>
            </w:pPr>
            <w:r>
              <w:rPr>
                <w:sz w:val="24"/>
              </w:rPr>
              <w:t>报废汽车应按照《报废汽车回收拆解企业技术规范》（GB22128-2019）要求进行存储：</w:t>
            </w:r>
          </w:p>
          <w:p>
            <w:pPr>
              <w:spacing w:line="480" w:lineRule="exact"/>
              <w:ind w:firstLine="480" w:firstLineChars="200"/>
              <w:rPr>
                <w:sz w:val="24"/>
              </w:rPr>
            </w:pPr>
            <w:r>
              <w:rPr>
                <w:rFonts w:hint="eastAsia" w:ascii="宋体" w:hAnsi="宋体" w:cs="宋体"/>
                <w:sz w:val="24"/>
              </w:rPr>
              <w:t>①</w:t>
            </w:r>
            <w:r>
              <w:rPr>
                <w:sz w:val="24"/>
              </w:rPr>
              <w:t>所有车辆应避免侧放、倒放,电动汽车在动力蓄电池未拆卸前不应叠放。</w:t>
            </w:r>
          </w:p>
          <w:p>
            <w:pPr>
              <w:spacing w:line="480" w:lineRule="exact"/>
              <w:ind w:firstLine="480" w:firstLineChars="200"/>
              <w:rPr>
                <w:sz w:val="24"/>
              </w:rPr>
            </w:pPr>
            <w:r>
              <w:rPr>
                <w:rFonts w:hint="eastAsia" w:ascii="宋体" w:hAnsi="宋体" w:cs="宋体"/>
                <w:sz w:val="24"/>
              </w:rPr>
              <w:t>②</w:t>
            </w:r>
            <w:r>
              <w:rPr>
                <w:sz w:val="24"/>
              </w:rPr>
              <w:t>机动车如需叠放,应使上下车辆的重心尽量重合,且不应超过3层。2层和3层叠放时,高度分别不应超过3m和4.5m。大型车辆应单层平置。采用框架结构存放的,要保证安全性,并易于装卸。</w:t>
            </w:r>
          </w:p>
          <w:p>
            <w:pPr>
              <w:spacing w:line="480" w:lineRule="exact"/>
              <w:ind w:firstLine="480" w:firstLineChars="200"/>
              <w:rPr>
                <w:rFonts w:ascii="宋体" w:hAnsi="宋体" w:cs="宋体"/>
                <w:sz w:val="24"/>
              </w:rPr>
            </w:pPr>
            <w:r>
              <w:rPr>
                <w:rFonts w:hint="eastAsia" w:ascii="宋体" w:hAnsi="宋体" w:cs="宋体"/>
                <w:sz w:val="24"/>
              </w:rPr>
              <w:t>③电动汽车在动力蓄电池未拆卸前应单独贮存,并采取防火、防水、绝缘、隔热等安全保障措施。</w:t>
            </w:r>
          </w:p>
          <w:p>
            <w:pPr>
              <w:spacing w:line="480" w:lineRule="exact"/>
              <w:ind w:firstLine="480" w:firstLineChars="200"/>
              <w:rPr>
                <w:sz w:val="24"/>
              </w:rPr>
            </w:pPr>
            <w:r>
              <w:rPr>
                <w:rFonts w:hint="eastAsia" w:ascii="宋体" w:hAnsi="宋体" w:cs="宋体"/>
                <w:sz w:val="24"/>
              </w:rPr>
              <w:t>④电动汽车中的事故车以及发生动力蓄电池破损的车辆应隔离贮存。</w:t>
            </w:r>
          </w:p>
          <w:p>
            <w:pPr>
              <w:spacing w:line="480" w:lineRule="exact"/>
              <w:ind w:firstLine="480" w:firstLineChars="200"/>
              <w:rPr>
                <w:bCs/>
                <w:sz w:val="24"/>
              </w:rPr>
            </w:pPr>
            <w:r>
              <w:rPr>
                <w:bCs/>
                <w:sz w:val="24"/>
              </w:rPr>
              <w:t>3）拆解预处理</w:t>
            </w:r>
          </w:p>
          <w:p>
            <w:pPr>
              <w:spacing w:line="480" w:lineRule="exact"/>
              <w:ind w:firstLine="480" w:firstLineChars="200"/>
              <w:rPr>
                <w:sz w:val="24"/>
              </w:rPr>
            </w:pPr>
            <w:r>
              <w:rPr>
                <w:sz w:val="24"/>
              </w:rPr>
              <w:t>拟建项目为汽车拆解项目，厂区内不设清洗点，车辆不清洗。</w:t>
            </w:r>
          </w:p>
          <w:p>
            <w:pPr>
              <w:spacing w:line="480" w:lineRule="exact"/>
              <w:ind w:firstLine="480" w:firstLineChars="200"/>
              <w:rPr>
                <w:sz w:val="24"/>
              </w:rPr>
            </w:pPr>
            <w:r>
              <w:rPr>
                <w:sz w:val="24"/>
              </w:rPr>
              <w:t>拆解预处理是拆解作业的第一步，目的是去除报废汽车内存在的安全隐患和环境污染隐患的主要废弃物。根据要求，蓄电池、液化气罐、安全气囊、</w:t>
            </w:r>
            <w:r>
              <w:rPr>
                <w:rFonts w:hint="eastAsia"/>
                <w:sz w:val="24"/>
              </w:rPr>
              <w:t>电容器、尾气净化催化剂、</w:t>
            </w:r>
            <w:r>
              <w:rPr>
                <w:sz w:val="24"/>
              </w:rPr>
              <w:t>各种废</w:t>
            </w:r>
            <w:r>
              <w:rPr>
                <w:rFonts w:hint="eastAsia"/>
                <w:sz w:val="24"/>
              </w:rPr>
              <w:t>油</w:t>
            </w:r>
            <w:r>
              <w:rPr>
                <w:sz w:val="24"/>
              </w:rPr>
              <w:t>液、汽车空调制冷剂</w:t>
            </w:r>
            <w:r>
              <w:rPr>
                <w:rFonts w:hint="eastAsia"/>
                <w:sz w:val="24"/>
              </w:rPr>
              <w:t>等</w:t>
            </w:r>
            <w:r>
              <w:rPr>
                <w:sz w:val="24"/>
              </w:rPr>
              <w:t>都应在这一步恰当的拆除或收集。拆解预处理应使用专用工具和容器排空和收集废液，废液收集到不同的专用容器中分开存储。根据《报废汽车回收拆解企业技术规范》（GB22128-2019）和《报废机动车拆解企业污染控制技术规范》（HJ348-2022）的相关要求，在正式拆解前，先进行拆解预处理，报废汽车预处理按照以下固定顺序进行拆解：</w:t>
            </w:r>
          </w:p>
          <w:p>
            <w:pPr>
              <w:spacing w:line="480" w:lineRule="exact"/>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拆除蓄电池（S1）</w:t>
            </w:r>
          </w:p>
          <w:p>
            <w:pPr>
              <w:adjustRightInd w:val="0"/>
              <w:snapToGrid w:val="0"/>
              <w:spacing w:line="480" w:lineRule="exact"/>
              <w:ind w:firstLine="480" w:firstLineChars="200"/>
              <w:rPr>
                <w:bCs/>
                <w:sz w:val="24"/>
              </w:rPr>
            </w:pPr>
            <w:r>
              <w:rPr>
                <w:sz w:val="24"/>
              </w:rPr>
              <w:t>首先人工断掉汽车总电源开关，拆除蓄电池负极的接线端子，并用绝缘材料包扎、扣好负极极柱帽，再拆除蓄电池正极接线端子，扣好正极极柱帽，最后将拆除的蓄电池装入专用带盖封密封耐酸容器中，若蓄电池有损坏，应将损坏后的电瓶抬出置于预先准备好的专用具盖封密封耐酸容器内，并扣好桶盖。</w:t>
            </w:r>
            <w:r>
              <w:rPr>
                <w:rFonts w:hint="eastAsia"/>
                <w:bCs/>
                <w:sz w:val="24"/>
              </w:rPr>
              <w:t>废铅蓄电池</w:t>
            </w:r>
            <w:r>
              <w:rPr>
                <w:rFonts w:hint="eastAsia"/>
                <w:sz w:val="24"/>
              </w:rPr>
              <w:t>作为危险废物</w:t>
            </w:r>
            <w:r>
              <w:rPr>
                <w:sz w:val="24"/>
              </w:rPr>
              <w:t>整个直接运送至</w:t>
            </w:r>
            <w:r>
              <w:rPr>
                <w:rFonts w:hint="eastAsia"/>
                <w:sz w:val="24"/>
              </w:rPr>
              <w:t>危废暂存间一</w:t>
            </w:r>
            <w:r>
              <w:rPr>
                <w:sz w:val="24"/>
              </w:rPr>
              <w:t>内暂存，</w:t>
            </w:r>
            <w:r>
              <w:rPr>
                <w:rFonts w:hint="eastAsia"/>
                <w:bCs/>
                <w:sz w:val="24"/>
              </w:rPr>
              <w:t>集中收集后，交由持有相应类别危险废物经营许可证的单位处理。废旧动力蓄电池（不包含铅蓄电池）属于一般工业固废，集中收集至一般工业固废暂存间后，交售给新能源汽车生产企业建立的动力蓄电池回收服务网点，或符合国家对动力蓄电池梯次利用管理有关要求的梯次利用企业，或者从事废旧动力蓄电池综合利用的企业。</w:t>
            </w:r>
          </w:p>
          <w:p>
            <w:pPr>
              <w:spacing w:line="480" w:lineRule="exact"/>
              <w:ind w:firstLine="480" w:firstLineChars="200"/>
              <w:rPr>
                <w:sz w:val="24"/>
              </w:rPr>
            </w:pPr>
            <w:r>
              <w:rPr>
                <w:sz w:val="24"/>
              </w:rPr>
              <w:t>综上所述，人工用螺丝刀等辅助工具将蓄电池整体从汽车上拆除，拆除后的蓄电池不再进行进一步拆解，</w:t>
            </w:r>
          </w:p>
          <w:p>
            <w:pPr>
              <w:spacing w:line="480" w:lineRule="exact"/>
              <w:ind w:firstLine="480" w:firstLineChars="200"/>
              <w:rPr>
                <w:sz w:val="24"/>
              </w:rPr>
            </w:pPr>
            <w:r>
              <w:rPr>
                <w:rFonts w:hint="eastAsia" w:ascii="宋体" w:hAnsi="宋体" w:cs="宋体"/>
                <w:sz w:val="24"/>
              </w:rPr>
              <w:t>②</w:t>
            </w:r>
            <w:r>
              <w:rPr>
                <w:sz w:val="24"/>
              </w:rPr>
              <w:t>拆除液化气罐（S2）</w:t>
            </w:r>
          </w:p>
          <w:p>
            <w:pPr>
              <w:pStyle w:val="61"/>
              <w:autoSpaceDE w:val="0"/>
              <w:autoSpaceDN w:val="0"/>
              <w:adjustRightInd w:val="0"/>
              <w:snapToGrid w:val="0"/>
              <w:spacing w:before="0" w:beforeAutospacing="0" w:after="0" w:afterAutospacing="0" w:line="480" w:lineRule="exact"/>
              <w:ind w:firstLine="480" w:firstLineChars="200"/>
              <w:jc w:val="both"/>
              <w:rPr>
                <w:bCs/>
              </w:rPr>
            </w:pPr>
            <w:r>
              <w:t>工人用螺丝刀等辅助工具将液化气罐整个拆除（收集抽取残液须由有充装许可证的专业人员操作，因此液化气罐不进一步抽取），</w:t>
            </w:r>
            <w:r>
              <w:rPr>
                <w:rFonts w:hint="eastAsia"/>
              </w:rPr>
              <w:t>废液化气罐属</w:t>
            </w:r>
            <w:r>
              <w:rPr>
                <w:rFonts w:hint="eastAsia"/>
                <w:bCs/>
              </w:rPr>
              <w:t>于一般工业固废，集中收集至一般工业固废暂存间后，交由具有相应资质的单位利用和处置。</w:t>
            </w:r>
          </w:p>
          <w:p>
            <w:pPr>
              <w:spacing w:line="480" w:lineRule="exact"/>
              <w:ind w:firstLine="480" w:firstLineChars="200"/>
              <w:rPr>
                <w:sz w:val="24"/>
              </w:rPr>
            </w:pPr>
            <w:r>
              <w:rPr>
                <w:rFonts w:hint="eastAsia" w:ascii="宋体" w:hAnsi="宋体" w:cs="宋体"/>
                <w:sz w:val="24"/>
              </w:rPr>
              <w:t>③</w:t>
            </w:r>
            <w:r>
              <w:rPr>
                <w:sz w:val="24"/>
              </w:rPr>
              <w:t>拆除安全气囊（S3、G1）</w:t>
            </w:r>
          </w:p>
          <w:p>
            <w:pPr>
              <w:pStyle w:val="128"/>
              <w:spacing w:line="480" w:lineRule="exact"/>
              <w:ind w:firstLine="480"/>
              <w:rPr>
                <w:rFonts w:ascii="宋体" w:hAnsi="宋体"/>
                <w:bCs/>
                <w:kern w:val="0"/>
                <w:szCs w:val="24"/>
              </w:rPr>
            </w:pPr>
            <w:r>
              <w:t>安全气囊的主要化学成分包括叠氮化钠、硝酸钾行二氧化硅。专业作业人员将安全气囊拆除后送至专门的安全气囊引爆区</w:t>
            </w:r>
            <w:r>
              <w:rPr>
                <w:rFonts w:hint="eastAsia"/>
              </w:rPr>
              <w:t>，</w:t>
            </w:r>
            <w:r>
              <w:rPr>
                <w:rFonts w:hint="eastAsia"/>
                <w:bCs/>
              </w:rPr>
              <w:t>采用密闭式安全气囊引爆装置进行电子引爆</w:t>
            </w:r>
            <w:r>
              <w:t>，产生引爆后的安全气囊S3</w:t>
            </w:r>
            <w:r>
              <w:rPr>
                <w:rFonts w:hint="eastAsia"/>
              </w:rPr>
              <w:t>，</w:t>
            </w:r>
            <w:r>
              <w:rPr>
                <w:rFonts w:hint="eastAsia"/>
                <w:bCs/>
              </w:rPr>
              <w:t>引爆后的安全气囊</w:t>
            </w:r>
            <w:r>
              <w:rPr>
                <w:rFonts w:hint="eastAsia"/>
              </w:rPr>
              <w:t>属</w:t>
            </w:r>
            <w:r>
              <w:rPr>
                <w:rFonts w:hint="eastAsia"/>
                <w:bCs/>
              </w:rPr>
              <w:t>于一般工业固废，集中收集至一般工业固废暂存间后，</w:t>
            </w:r>
            <w:r>
              <w:rPr>
                <w:rFonts w:hint="eastAsia" w:ascii="宋体" w:hAnsi="宋体"/>
                <w:bCs/>
                <w:kern w:val="0"/>
                <w:szCs w:val="24"/>
              </w:rPr>
              <w:t>交由具有相应处理能力或经营范围的单位利用和处置。</w:t>
            </w:r>
          </w:p>
          <w:p>
            <w:pPr>
              <w:pStyle w:val="128"/>
              <w:spacing w:line="480" w:lineRule="exact"/>
              <w:ind w:firstLine="480"/>
            </w:pPr>
            <w:r>
              <w:rPr>
                <w:rFonts w:hint="eastAsia"/>
              </w:rPr>
              <w:t>拟建项目设置的</w:t>
            </w:r>
            <w:r>
              <w:rPr>
                <w:rFonts w:hint="eastAsia"/>
                <w:bCs/>
              </w:rPr>
              <w:t>密闭式安全气囊引爆装置工作时需在负压条件下引爆，</w:t>
            </w:r>
            <w:r>
              <w:rPr>
                <w:rFonts w:hint="eastAsia"/>
              </w:rPr>
              <w:t>不能成功引爆的安全气囊交由有相应资质的单位进行引爆。</w:t>
            </w:r>
          </w:p>
          <w:p>
            <w:pPr>
              <w:spacing w:line="480" w:lineRule="exact"/>
              <w:ind w:firstLine="480" w:firstLineChars="200"/>
              <w:rPr>
                <w:sz w:val="24"/>
              </w:rPr>
            </w:pPr>
            <w:r>
              <w:rPr>
                <w:sz w:val="24"/>
              </w:rPr>
              <w:t>安全气囊引爆工艺说明：项目采用将安全气囊组件拆除后再引爆的方式，典型的气囊系统包括两个组成部分</w:t>
            </w:r>
            <w:r>
              <w:rPr>
                <w:rFonts w:hint="eastAsia"/>
                <w:sz w:val="24"/>
              </w:rPr>
              <w:t>：</w:t>
            </w:r>
            <w:r>
              <w:rPr>
                <w:sz w:val="24"/>
              </w:rPr>
              <w:t>探测碰撞点火装置或称传感器），气体发生器的气囊（或称气袋）。</w:t>
            </w:r>
            <w:r>
              <w:rPr>
                <w:rFonts w:hint="eastAsia"/>
                <w:sz w:val="24"/>
              </w:rPr>
              <w:t>将气囊拆除后置于专门的安全气囊引爆装置内进行引爆，气囊垫面朝下，锁好箱门，锁上两道保险，安全气囊引爆箱设有围栏及标识，操作，人员距离引爆箱6米以上遥控引爆。</w:t>
            </w:r>
          </w:p>
          <w:p>
            <w:pPr>
              <w:spacing w:line="480" w:lineRule="exact"/>
              <w:ind w:firstLine="480" w:firstLineChars="200"/>
              <w:rPr>
                <w:sz w:val="24"/>
              </w:rPr>
            </w:pPr>
            <w:r>
              <w:rPr>
                <w:sz w:val="24"/>
              </w:rPr>
              <w:t>安全气囊工作原理</w:t>
            </w:r>
            <w:r>
              <w:rPr>
                <w:rFonts w:hint="eastAsia"/>
                <w:sz w:val="24"/>
              </w:rPr>
              <w:t>：</w:t>
            </w:r>
            <w:r>
              <w:rPr>
                <w:sz w:val="24"/>
              </w:rPr>
              <w:t>能使气囊正常发挥作用的混合化学物质（所谓的爆炸剂），其中包括叠氮化钠、硝酸钾和二氧化硅。这一系列化学反应是从电子打火装置点燃叠氮化钠（化学分子式NaNi）开始的。这能使局部温度上升到300摄氏度，足以使大部分爆炸物迅速分解。当电子打火装置点燃叠氮化钠，使大部分物质发生爆炸分解。反应如下:</w:t>
            </w:r>
          </w:p>
          <w:p>
            <w:pPr>
              <w:spacing w:line="480" w:lineRule="exact"/>
              <w:ind w:firstLine="480" w:firstLineChars="200"/>
              <w:jc w:val="center"/>
              <w:rPr>
                <w:sz w:val="24"/>
              </w:rPr>
            </w:pPr>
            <w:r>
              <w:rPr>
                <w:sz w:val="24"/>
              </w:rPr>
              <w:t>2NaN</w:t>
            </w:r>
            <w:r>
              <w:rPr>
                <w:sz w:val="24"/>
                <w:vertAlign w:val="subscript"/>
              </w:rPr>
              <w:t>3</w:t>
            </w:r>
            <w:r>
              <w:rPr>
                <w:sz w:val="24"/>
              </w:rPr>
              <w:t>=（撞击）=2Na+3N</w:t>
            </w:r>
            <w:r>
              <w:rPr>
                <w:sz w:val="24"/>
                <w:vertAlign w:val="subscript"/>
              </w:rPr>
              <w:t>2</w:t>
            </w:r>
            <w:r>
              <w:rPr>
                <w:sz w:val="24"/>
              </w:rPr>
              <w:t>（气体）</w:t>
            </w:r>
          </w:p>
          <w:p>
            <w:pPr>
              <w:spacing w:line="480" w:lineRule="exact"/>
              <w:ind w:firstLine="480" w:firstLineChars="200"/>
              <w:jc w:val="center"/>
              <w:rPr>
                <w:sz w:val="24"/>
              </w:rPr>
            </w:pPr>
            <w:r>
              <w:rPr>
                <w:sz w:val="24"/>
              </w:rPr>
              <w:t>10Na+ KNO</w:t>
            </w:r>
            <w:r>
              <w:rPr>
                <w:sz w:val="24"/>
                <w:vertAlign w:val="subscript"/>
              </w:rPr>
              <w:t>3</w:t>
            </w:r>
            <w:r>
              <w:rPr>
                <w:sz w:val="24"/>
              </w:rPr>
              <w:t>+6SiO</w:t>
            </w:r>
            <w:r>
              <w:rPr>
                <w:sz w:val="24"/>
                <w:vertAlign w:val="subscript"/>
              </w:rPr>
              <w:t>2</w:t>
            </w:r>
            <w:r>
              <w:rPr>
                <w:sz w:val="24"/>
              </w:rPr>
              <w:t>=5NaSiO</w:t>
            </w:r>
            <w:r>
              <w:rPr>
                <w:sz w:val="24"/>
                <w:vertAlign w:val="subscript"/>
              </w:rPr>
              <w:t>3</w:t>
            </w:r>
            <w:r>
              <w:rPr>
                <w:sz w:val="24"/>
              </w:rPr>
              <w:t>+K</w:t>
            </w:r>
            <w:r>
              <w:rPr>
                <w:sz w:val="24"/>
                <w:vertAlign w:val="subscript"/>
              </w:rPr>
              <w:t>2</w:t>
            </w:r>
            <w:r>
              <w:rPr>
                <w:sz w:val="24"/>
              </w:rPr>
              <w:t>SiO</w:t>
            </w:r>
            <w:r>
              <w:rPr>
                <w:sz w:val="24"/>
                <w:vertAlign w:val="subscript"/>
              </w:rPr>
              <w:t>3</w:t>
            </w:r>
            <w:r>
              <w:rPr>
                <w:sz w:val="24"/>
              </w:rPr>
              <w:t>+N</w:t>
            </w:r>
            <w:r>
              <w:rPr>
                <w:sz w:val="24"/>
                <w:vertAlign w:val="subscript"/>
              </w:rPr>
              <w:t>2</w:t>
            </w:r>
            <w:r>
              <w:rPr>
                <w:sz w:val="24"/>
              </w:rPr>
              <w:t>（气体）</w:t>
            </w:r>
          </w:p>
          <w:p>
            <w:pPr>
              <w:spacing w:line="480" w:lineRule="exact"/>
              <w:ind w:firstLine="480" w:firstLineChars="200"/>
              <w:rPr>
                <w:sz w:val="24"/>
              </w:rPr>
            </w:pPr>
            <w:r>
              <w:rPr>
                <w:sz w:val="24"/>
              </w:rPr>
              <w:t>首先，叠氮化钠燃烧产生出融化的金属钠和氮气的混合物。然后，金属钠和硝酸钾反应时放出更多的氮气并形成氧化钾和氧化钠。这些氧化物会立即与二氧化硅结合，形成无害的硅酸钠玻璃。然后经过过滤，只有氮气冲进了气囊。同时在充气剂点燃的过程中，点火器总成中的金属网罩可冷却快速膨胀的气体，随即气囊可由设计好的小排气口排气G1，排出的气体主要成分为N</w:t>
            </w:r>
            <w:r>
              <w:rPr>
                <w:sz w:val="24"/>
                <w:vertAlign w:val="subscript"/>
              </w:rPr>
              <w:t>2</w:t>
            </w:r>
            <w:r>
              <w:rPr>
                <w:sz w:val="24"/>
              </w:rPr>
              <w:t>。</w:t>
            </w:r>
          </w:p>
          <w:p>
            <w:pPr>
              <w:pStyle w:val="128"/>
              <w:ind w:firstLine="480"/>
              <w:jc w:val="center"/>
            </w:pPr>
            <w:r>
              <w:drawing>
                <wp:inline distT="0" distB="0" distL="0" distR="0">
                  <wp:extent cx="4169410" cy="1955800"/>
                  <wp:effectExtent l="0" t="0" r="2540"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69410" cy="1955800"/>
                          </a:xfrm>
                          <a:prstGeom prst="rect">
                            <a:avLst/>
                          </a:prstGeom>
                          <a:noFill/>
                          <a:ln>
                            <a:noFill/>
                          </a:ln>
                          <a:effectLst/>
                        </pic:spPr>
                      </pic:pic>
                    </a:graphicData>
                  </a:graphic>
                </wp:inline>
              </w:drawing>
            </w:r>
          </w:p>
          <w:p>
            <w:pPr>
              <w:spacing w:line="360" w:lineRule="auto"/>
              <w:ind w:firstLine="360" w:firstLineChars="200"/>
              <w:jc w:val="center"/>
              <w:rPr>
                <w:rFonts w:ascii="宋体" w:hAnsi="宋体" w:cs="宋体"/>
                <w:sz w:val="18"/>
                <w:szCs w:val="18"/>
              </w:rPr>
            </w:pPr>
            <w:r>
              <w:rPr>
                <w:sz w:val="18"/>
                <w:szCs w:val="18"/>
              </w:rPr>
              <w:t>图2.2.2</w:t>
            </w:r>
            <w:r>
              <w:rPr>
                <w:rFonts w:hint="eastAsia"/>
                <w:sz w:val="18"/>
                <w:szCs w:val="18"/>
              </w:rPr>
              <w:t>-</w:t>
            </w:r>
            <w:r>
              <w:rPr>
                <w:sz w:val="18"/>
                <w:szCs w:val="18"/>
              </w:rPr>
              <w:t xml:space="preserve">1 </w:t>
            </w:r>
            <w:r>
              <w:rPr>
                <w:rFonts w:hint="eastAsia"/>
                <w:sz w:val="18"/>
                <w:szCs w:val="18"/>
              </w:rPr>
              <w:t xml:space="preserve"> 安全气囊爆破装置</w:t>
            </w:r>
          </w:p>
          <w:p>
            <w:pPr>
              <w:spacing w:line="480" w:lineRule="exact"/>
              <w:ind w:firstLine="480" w:firstLineChars="200"/>
              <w:rPr>
                <w:sz w:val="24"/>
              </w:rPr>
            </w:pPr>
            <w:r>
              <w:rPr>
                <w:rFonts w:hint="eastAsia" w:ascii="宋体" w:hAnsi="宋体" w:cs="宋体"/>
                <w:sz w:val="24"/>
              </w:rPr>
              <w:t>④</w:t>
            </w:r>
            <w:r>
              <w:rPr>
                <w:sz w:val="24"/>
              </w:rPr>
              <w:t>拆除含多氯联苯的废电容器（S4）和尾气催化剂（S5）</w:t>
            </w:r>
          </w:p>
          <w:p>
            <w:pPr>
              <w:adjustRightInd w:val="0"/>
              <w:snapToGrid w:val="0"/>
              <w:spacing w:line="480" w:lineRule="exact"/>
              <w:ind w:firstLine="480" w:firstLineChars="200"/>
              <w:rPr>
                <w:bCs/>
                <w:sz w:val="24"/>
              </w:rPr>
            </w:pPr>
            <w:r>
              <w:rPr>
                <w:rFonts w:hint="eastAsia"/>
                <w:sz w:val="24"/>
              </w:rPr>
              <w:t>人工对废电容器、尾气净化催化装置进行拆除，产生</w:t>
            </w:r>
            <w:r>
              <w:rPr>
                <w:sz w:val="24"/>
              </w:rPr>
              <w:t>含多氯联苯的废电容器（S4）和</w:t>
            </w:r>
            <w:r>
              <w:rPr>
                <w:rFonts w:hint="eastAsia"/>
                <w:sz w:val="24"/>
              </w:rPr>
              <w:t>废</w:t>
            </w:r>
            <w:r>
              <w:rPr>
                <w:sz w:val="24"/>
              </w:rPr>
              <w:t>尾气催化剂（S5）</w:t>
            </w:r>
            <w:r>
              <w:rPr>
                <w:rFonts w:hint="eastAsia"/>
                <w:sz w:val="24"/>
              </w:rPr>
              <w:t>。</w:t>
            </w:r>
            <w:r>
              <w:rPr>
                <w:rFonts w:hint="eastAsia"/>
                <w:bCs/>
                <w:sz w:val="24"/>
              </w:rPr>
              <w:t>含多氯联苯的废电容器</w:t>
            </w:r>
            <w:r>
              <w:rPr>
                <w:rFonts w:hint="eastAsia"/>
                <w:sz w:val="24"/>
              </w:rPr>
              <w:t>作为危险废物</w:t>
            </w:r>
            <w:r>
              <w:rPr>
                <w:sz w:val="24"/>
              </w:rPr>
              <w:t>整个直接运送至</w:t>
            </w:r>
            <w:r>
              <w:rPr>
                <w:rFonts w:hint="eastAsia"/>
                <w:sz w:val="24"/>
              </w:rPr>
              <w:t>危废暂存间二</w:t>
            </w:r>
            <w:r>
              <w:rPr>
                <w:sz w:val="24"/>
              </w:rPr>
              <w:t>内暂存，</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sz w:val="24"/>
              </w:rPr>
              <w:t>其中废尾气净化催化剂用专门存放箱盛装，作为危险废物</w:t>
            </w:r>
            <w:r>
              <w:rPr>
                <w:sz w:val="24"/>
              </w:rPr>
              <w:t>直接运送至</w:t>
            </w:r>
            <w:r>
              <w:rPr>
                <w:rFonts w:hint="eastAsia"/>
                <w:sz w:val="24"/>
              </w:rPr>
              <w:t>危废暂存间三</w:t>
            </w:r>
            <w:r>
              <w:rPr>
                <w:sz w:val="24"/>
              </w:rPr>
              <w:t>内暂存，</w:t>
            </w:r>
            <w:r>
              <w:rPr>
                <w:rFonts w:hint="eastAsia"/>
                <w:bCs/>
                <w:sz w:val="24"/>
              </w:rPr>
              <w:t>集中收集后，交由持有相应类别危险废物经营许可证的单位处理。</w:t>
            </w:r>
          </w:p>
          <w:p>
            <w:pPr>
              <w:spacing w:line="480" w:lineRule="exact"/>
              <w:ind w:firstLine="480" w:firstLineChars="200"/>
              <w:rPr>
                <w:sz w:val="24"/>
              </w:rPr>
            </w:pPr>
            <w:r>
              <w:rPr>
                <w:rFonts w:hint="eastAsia" w:ascii="宋体" w:hAnsi="宋体" w:cs="宋体"/>
                <w:sz w:val="24"/>
              </w:rPr>
              <w:t>⑤</w:t>
            </w:r>
            <w:r>
              <w:rPr>
                <w:sz w:val="24"/>
              </w:rPr>
              <w:t>排空和收集车内</w:t>
            </w:r>
            <w:r>
              <w:rPr>
                <w:rFonts w:hint="eastAsia"/>
                <w:sz w:val="24"/>
              </w:rPr>
              <w:t>废矿物油与含矿物油废物</w:t>
            </w:r>
            <w:r>
              <w:rPr>
                <w:sz w:val="24"/>
              </w:rPr>
              <w:t>（汽油、机油、制动液、防冻液等，S6</w:t>
            </w:r>
            <w:r>
              <w:rPr>
                <w:rFonts w:hint="eastAsia"/>
                <w:sz w:val="24"/>
              </w:rPr>
              <w:t>、</w:t>
            </w:r>
            <w:r>
              <w:rPr>
                <w:sz w:val="24"/>
              </w:rPr>
              <w:t xml:space="preserve">G2） </w:t>
            </w:r>
          </w:p>
          <w:p>
            <w:pPr>
              <w:spacing w:line="480" w:lineRule="exact"/>
              <w:ind w:firstLine="480" w:firstLineChars="200"/>
              <w:rPr>
                <w:sz w:val="24"/>
              </w:rPr>
            </w:pPr>
            <w:r>
              <w:rPr>
                <w:sz w:val="24"/>
              </w:rPr>
              <w:t>采用</w:t>
            </w:r>
            <w:r>
              <w:rPr>
                <w:rFonts w:hint="eastAsia"/>
                <w:sz w:val="24"/>
              </w:rPr>
              <w:t>废油液五路抽取机</w:t>
            </w:r>
            <w:r>
              <w:rPr>
                <w:sz w:val="24"/>
              </w:rPr>
              <w:t>将</w:t>
            </w:r>
            <w:r>
              <w:rPr>
                <w:rFonts w:hint="eastAsia"/>
                <w:sz w:val="24"/>
              </w:rPr>
              <w:t>废油液</w:t>
            </w:r>
            <w:r>
              <w:rPr>
                <w:sz w:val="24"/>
              </w:rPr>
              <w:t>（汽油、柴油、冷冻液、发动机机油、变速箱油、制动液、液压油等）抽至油桶中分类密闭存储</w:t>
            </w:r>
            <w:r>
              <w:rPr>
                <w:rFonts w:hint="eastAsia"/>
                <w:sz w:val="24"/>
              </w:rPr>
              <w:t>。车辆型号不同，所含的液体种类和体量也不同。汽车内不同的废液存储在不同位置，本项目采取密封真空抽排工艺抽排汽车中各类液体，抽液吸盘吸住液箱底部，内置防爆钻头开孔，气动真空抽排系统抽排液体;抽排过程中保持设备密闭,抽排完毕后人工用塑料塞塞住开孔，下表为汽车各种废旧液体的提取方法。各</w:t>
            </w:r>
            <w:r>
              <w:rPr>
                <w:sz w:val="24"/>
              </w:rPr>
              <w:t>种废油液的排空率大于90%，</w:t>
            </w:r>
            <w:r>
              <w:rPr>
                <w:rFonts w:hint="eastAsia"/>
                <w:sz w:val="24"/>
              </w:rPr>
              <w:t>废矿物油与含矿物油废物</w:t>
            </w:r>
            <w:r>
              <w:rPr>
                <w:sz w:val="24"/>
              </w:rPr>
              <w:t>（S6）</w:t>
            </w:r>
            <w:r>
              <w:rPr>
                <w:rFonts w:hint="eastAsia"/>
                <w:sz w:val="24"/>
              </w:rPr>
              <w:t>作为危险废物</w:t>
            </w:r>
            <w:r>
              <w:rPr>
                <w:sz w:val="24"/>
              </w:rPr>
              <w:t>整个直接运送至</w:t>
            </w:r>
            <w:r>
              <w:rPr>
                <w:rFonts w:hint="eastAsia"/>
                <w:sz w:val="24"/>
              </w:rPr>
              <w:t>危废暂存间四</w:t>
            </w:r>
            <w:r>
              <w:rPr>
                <w:sz w:val="24"/>
              </w:rPr>
              <w:t>内暂存</w:t>
            </w:r>
            <w:r>
              <w:rPr>
                <w:rFonts w:hint="eastAsia"/>
                <w:sz w:val="24"/>
              </w:rPr>
              <w:t>，各种废油液经</w:t>
            </w:r>
            <w:r>
              <w:rPr>
                <w:rFonts w:hint="eastAsia"/>
                <w:sz w:val="24"/>
                <w:lang w:eastAsia="zh-CN"/>
              </w:rPr>
              <w:t>专门的</w:t>
            </w:r>
            <w:r>
              <w:rPr>
                <w:rFonts w:hint="eastAsia"/>
                <w:sz w:val="24"/>
              </w:rPr>
              <w:t>收集工具分类提取和收集后,将分类存放于各种废液的专用密闭容器中，主要分为废液性液体和废油性液体，并贴上标签注明。</w:t>
            </w:r>
            <w:r>
              <w:rPr>
                <w:sz w:val="24"/>
              </w:rPr>
              <w:t>由于油箱口或者收集桶入口在各类废油液抽排过程中不能完全密闭，因此将挥发少量有机废气（G2）。</w:t>
            </w:r>
          </w:p>
          <w:p>
            <w:pPr>
              <w:spacing w:line="480" w:lineRule="exact"/>
              <w:ind w:firstLine="480" w:firstLineChars="200"/>
              <w:rPr>
                <w:sz w:val="24"/>
              </w:rPr>
            </w:pPr>
            <w:r>
              <w:rPr>
                <w:rFonts w:hint="eastAsia" w:ascii="宋体" w:hAnsi="宋体" w:cs="宋体"/>
                <w:sz w:val="24"/>
              </w:rPr>
              <w:t>⑥</w:t>
            </w:r>
            <w:r>
              <w:rPr>
                <w:sz w:val="24"/>
              </w:rPr>
              <w:t>拆除汽车空调制冷剂（S7、G3）</w:t>
            </w:r>
          </w:p>
          <w:p>
            <w:pPr>
              <w:spacing w:line="480" w:lineRule="exact"/>
              <w:ind w:firstLine="480" w:firstLineChars="200"/>
              <w:rPr>
                <w:sz w:val="24"/>
              </w:rPr>
            </w:pPr>
            <w:r>
              <w:rPr>
                <w:rFonts w:hint="eastAsia"/>
                <w:sz w:val="24"/>
              </w:rPr>
              <w:t>在压缩机拆解之前，采用冷媒回收机真空抽取车用空调压缩机中制冷剂至密闭钢瓶中。</w:t>
            </w:r>
            <w:r>
              <w:rPr>
                <w:sz w:val="24"/>
              </w:rPr>
              <w:t>专用回收设备通过专用连接管路与报废车辆空调系统的表管进行连接，设备另一接管与制冷剂回收罐密闭连接，分别打开两个连接管阀门，然后开启设备进行抽取，当设备指数显示空调系统为真空时，关闭两个连接管阀门，断开与表管和回收罐的连接，完全制冷剂的回收工作。</w:t>
            </w:r>
            <w:r>
              <w:rPr>
                <w:rFonts w:hint="eastAsia"/>
                <w:sz w:val="24"/>
              </w:rPr>
              <w:t>废制冷剂</w:t>
            </w:r>
            <w:r>
              <w:rPr>
                <w:sz w:val="24"/>
              </w:rPr>
              <w:t>（S7）</w:t>
            </w:r>
            <w:r>
              <w:rPr>
                <w:rFonts w:hint="eastAsia"/>
                <w:sz w:val="24"/>
              </w:rPr>
              <w:t>作为</w:t>
            </w:r>
            <w:r>
              <w:rPr>
                <w:rFonts w:hint="eastAsia"/>
                <w:bCs/>
                <w:sz w:val="24"/>
              </w:rPr>
              <w:t>属于一般工业固废，交由具有相应资质的单位利用和处置</w:t>
            </w:r>
            <w:r>
              <w:rPr>
                <w:rFonts w:hint="eastAsia"/>
                <w:sz w:val="24"/>
              </w:rPr>
              <w:t>。</w:t>
            </w:r>
            <w:r>
              <w:rPr>
                <w:sz w:val="24"/>
              </w:rPr>
              <w:t>制冷剂回收装置抽排过程中全密闭，仅在连接管道抽取过程中，部分车辆（30%）制冷剂中含有氟利昂，因此会泄漏极少量氟利昂（G3），但管道插取时间很短，因此本评价对该过程泄漏的少量氟利昂进行定性评价，不进行定量评价。</w:t>
            </w:r>
          </w:p>
          <w:p>
            <w:pPr>
              <w:spacing w:line="480" w:lineRule="exact"/>
              <w:ind w:firstLine="480" w:firstLineChars="200"/>
              <w:rPr>
                <w:sz w:val="24"/>
              </w:rPr>
            </w:pPr>
            <w:r>
              <w:rPr>
                <w:rFonts w:hint="eastAsia"/>
                <w:sz w:val="24"/>
              </w:rPr>
              <w:t>⑦拆除废电路板及其元件（S8）</w:t>
            </w:r>
          </w:p>
          <w:p>
            <w:pPr>
              <w:spacing w:line="480" w:lineRule="exact"/>
              <w:ind w:firstLine="480" w:firstLineChars="200"/>
              <w:rPr>
                <w:sz w:val="24"/>
              </w:rPr>
            </w:pPr>
            <w:r>
              <w:rPr>
                <w:rFonts w:hint="eastAsia"/>
                <w:sz w:val="24"/>
              </w:rPr>
              <w:t>拆除倒车雷达、电子控制模块等电子部件，此工序主要产生S</w:t>
            </w:r>
            <w:r>
              <w:rPr>
                <w:sz w:val="24"/>
              </w:rPr>
              <w:t>8</w:t>
            </w:r>
            <w:r>
              <w:rPr>
                <w:rFonts w:hint="eastAsia"/>
                <w:sz w:val="24"/>
              </w:rPr>
              <w:t>废电子部件，作为危险废物</w:t>
            </w:r>
            <w:r>
              <w:rPr>
                <w:sz w:val="24"/>
              </w:rPr>
              <w:t>整个直接运送至</w:t>
            </w:r>
            <w:r>
              <w:rPr>
                <w:rFonts w:hint="eastAsia"/>
                <w:sz w:val="24"/>
              </w:rPr>
              <w:t>危废暂存间五</w:t>
            </w:r>
            <w:r>
              <w:rPr>
                <w:sz w:val="24"/>
              </w:rPr>
              <w:t>内暂存</w:t>
            </w:r>
            <w:r>
              <w:rPr>
                <w:rFonts w:hint="eastAsia"/>
                <w:sz w:val="24"/>
              </w:rPr>
              <w:t>。</w:t>
            </w:r>
          </w:p>
          <w:p>
            <w:pPr>
              <w:spacing w:line="480" w:lineRule="exact"/>
              <w:ind w:firstLine="480" w:firstLineChars="200"/>
              <w:rPr>
                <w:sz w:val="24"/>
              </w:rPr>
            </w:pPr>
            <w:r>
              <w:rPr>
                <w:sz w:val="24"/>
              </w:rPr>
              <w:t>经以上步骤将各个零部件拆除后，才能拆除报废汽车的其余部分。</w:t>
            </w:r>
          </w:p>
          <w:p>
            <w:pPr>
              <w:spacing w:line="480" w:lineRule="exact"/>
              <w:ind w:firstLine="480" w:firstLineChars="200"/>
              <w:rPr>
                <w:bCs/>
                <w:sz w:val="24"/>
              </w:rPr>
            </w:pPr>
            <w:r>
              <w:rPr>
                <w:bCs/>
                <w:sz w:val="24"/>
              </w:rPr>
              <w:t>4）拆解</w:t>
            </w:r>
          </w:p>
          <w:p>
            <w:pPr>
              <w:spacing w:line="480" w:lineRule="exact"/>
              <w:ind w:firstLine="480" w:firstLineChars="200"/>
              <w:rPr>
                <w:sz w:val="24"/>
              </w:rPr>
            </w:pPr>
            <w:r>
              <w:rPr>
                <w:rFonts w:hint="eastAsia"/>
                <w:sz w:val="24"/>
              </w:rPr>
              <w:t>报废汽车预处理完毕之后,拆解工序主要机动车进行拆解回收钢铁、有色金属、塑料、橡胶、玻璃等材料。拆解过程应严格按照机动车生产企业提供的拆解手册进行合理拆解按照汽车生产企业所提供的拆解信息或拆解手册进行合理拆解，没有拆解手册的，参照同类其他车辆的规定拆解。发动机、变速器、电子元器件、蓄电池等不需要进行深度拆解。</w:t>
            </w:r>
          </w:p>
          <w:p>
            <w:pPr>
              <w:spacing w:line="480" w:lineRule="exact"/>
              <w:ind w:firstLine="480" w:firstLineChars="200"/>
              <w:rPr>
                <w:sz w:val="24"/>
              </w:rPr>
            </w:pPr>
            <w:r>
              <w:rPr>
                <w:rFonts w:hint="eastAsia"/>
                <w:sz w:val="24"/>
              </w:rPr>
              <w:t>拆解过程按照规范要求填写操作日志，主要记录内容有:证明文件编号、拆解过程、再使用、再利用、能源利用和能量回收材料及零部件的比率等。操作日志应包括拆解处理的最基本数据，保证对报废处理过程的透明性和追溯属性。所有进出的报废车辆的证明、货运单、运输许可、收据及其各种细目，都应作为必备内容填写在日志中。</w:t>
            </w:r>
          </w:p>
          <w:p>
            <w:pPr>
              <w:spacing w:line="480" w:lineRule="exact"/>
              <w:ind w:firstLine="480" w:firstLineChars="200"/>
              <w:rPr>
                <w:sz w:val="24"/>
              </w:rPr>
            </w:pPr>
            <w:r>
              <w:rPr>
                <w:rFonts w:hint="eastAsia"/>
                <w:sz w:val="24"/>
              </w:rPr>
              <w:t>①拆除玻璃：本项目拆解下来的玻璃主要产生于车灯、反射镜及车窗，拆解所得玻璃作为产品存放于产品存放区。</w:t>
            </w:r>
          </w:p>
          <w:p>
            <w:pPr>
              <w:spacing w:line="480" w:lineRule="exact"/>
              <w:ind w:firstLine="480" w:firstLineChars="200"/>
              <w:rPr>
                <w:sz w:val="24"/>
              </w:rPr>
            </w:pPr>
            <w:r>
              <w:rPr>
                <w:rFonts w:hint="eastAsia"/>
                <w:sz w:val="24"/>
              </w:rPr>
              <w:t>②拆除车轮并拆下轮胎、轮毂：使用气动扳手对车轮进行手工拆除，并使用扒胎器将车胎拆下，拆解所得轮胎作为产品存放于产品存放区。</w:t>
            </w:r>
          </w:p>
          <w:p>
            <w:pPr>
              <w:spacing w:line="480" w:lineRule="exact"/>
              <w:ind w:firstLine="480" w:firstLineChars="200"/>
              <w:rPr>
                <w:sz w:val="24"/>
              </w:rPr>
            </w:pPr>
            <w:r>
              <w:rPr>
                <w:rFonts w:hint="eastAsia"/>
                <w:sz w:val="24"/>
              </w:rPr>
              <w:t>③拆除能有效回收的含金属铝、镁的部件：本项目拆解下来的有色金属主要产生于保险杆、车门、行李箱、消声罩、防抱制动系统、热交换器、座位、车厢地板、仪表板等的变形铝合金；离合器壳、变速箱壳、后桥壳、转向器壳、摇臂盖、正时齿轮壳等处的铸造铝合金；散热器、分水管等普通黄铜;磨损零件、转向节衬套及钢板弹簧衬套等的特殊黄铜；产生于轴承、涡轮等处的锡青铜;座椅骨架、轮圈、仪表盘骨架、转向盘、变速器壳、离合器壳、缸盖、进气歧管、车门框架等镁合金;发动机连杆、发动机气门、气门座圈、排气系统零部件、悬架弹簧、扭力簧、气门弹簧、车轮、车身外板等锌合金，以上拆解所得皆为有色金属，拆解所得有色金属作为产品存放于产品存放区。</w:t>
            </w:r>
          </w:p>
          <w:p>
            <w:pPr>
              <w:spacing w:line="480" w:lineRule="exact"/>
              <w:ind w:firstLine="480" w:firstLineChars="200"/>
              <w:rPr>
                <w:sz w:val="24"/>
              </w:rPr>
            </w:pPr>
            <w:r>
              <w:rPr>
                <w:rFonts w:hint="eastAsia"/>
                <w:sz w:val="24"/>
              </w:rPr>
              <w:t>④拆除能有效回收的大型塑料件:本项目拆解下来的塑料主要是产生于水箱面罩栅板、百叶窗、后视镜外壳、尾灯罩、仪表板的ABS;产生于保险杆、仪表板，栅板面罩、内外小饰件的PP;产生于挡板、燃料罐盖的PBT;产生于挡板、轮罩、气管格栅的PA；产生于轮罩的PPO;保险杆、车门、车灯、挡泥板的PC;仪表板、轮罩、挡板的PVC等，拆解所得塑料作为产品存放于产品存放区。</w:t>
            </w:r>
          </w:p>
          <w:p>
            <w:pPr>
              <w:spacing w:line="480" w:lineRule="exact"/>
              <w:ind w:firstLine="480" w:firstLineChars="200"/>
              <w:rPr>
                <w:sz w:val="24"/>
              </w:rPr>
            </w:pPr>
            <w:r>
              <w:rPr>
                <w:rFonts w:hint="eastAsia"/>
                <w:sz w:val="24"/>
              </w:rPr>
              <w:t>⑤拆除机油滤清器（S9）</w:t>
            </w:r>
          </w:p>
          <w:p>
            <w:pPr>
              <w:spacing w:line="480" w:lineRule="exact"/>
              <w:ind w:firstLine="480" w:firstLineChars="200"/>
              <w:rPr>
                <w:sz w:val="24"/>
              </w:rPr>
            </w:pPr>
            <w:r>
              <w:rPr>
                <w:rFonts w:hint="eastAsia"/>
                <w:sz w:val="24"/>
              </w:rPr>
              <w:t>人工拆解机油滤清器。此工序中产生的污染物为S</w:t>
            </w:r>
            <w:r>
              <w:rPr>
                <w:sz w:val="24"/>
              </w:rPr>
              <w:t>9</w:t>
            </w:r>
            <w:r>
              <w:rPr>
                <w:rFonts w:hint="eastAsia"/>
                <w:sz w:val="24"/>
              </w:rPr>
              <w:t>废机油滤清器，暂存于危废暂存间四后交由有资质的单位进行处置。</w:t>
            </w:r>
          </w:p>
          <w:p>
            <w:pPr>
              <w:spacing w:line="480" w:lineRule="exact"/>
              <w:ind w:firstLine="480" w:firstLineChars="200"/>
              <w:rPr>
                <w:sz w:val="24"/>
              </w:rPr>
            </w:pPr>
            <w:r>
              <w:rPr>
                <w:rFonts w:hint="eastAsia"/>
                <w:sz w:val="24"/>
              </w:rPr>
              <w:t>⑥拆除油箱（S10）</w:t>
            </w:r>
          </w:p>
          <w:p>
            <w:pPr>
              <w:spacing w:line="480" w:lineRule="exact"/>
              <w:ind w:firstLine="480" w:firstLineChars="200"/>
              <w:rPr>
                <w:sz w:val="24"/>
              </w:rPr>
            </w:pPr>
            <w:r>
              <w:rPr>
                <w:rFonts w:hint="eastAsia"/>
                <w:sz w:val="24"/>
              </w:rPr>
              <w:t>燃油车燃料罐为油箱，人工进行拆除。拆除所得燃料罐由铝合金制成，作为储存油液设备。此工序中产生的污染物为S10油箱，暂存于危废暂存间四后交由有资质的单位进行处置。</w:t>
            </w:r>
          </w:p>
          <w:p>
            <w:pPr>
              <w:spacing w:line="480" w:lineRule="exact"/>
              <w:ind w:firstLine="480" w:firstLineChars="200"/>
              <w:rPr>
                <w:sz w:val="24"/>
              </w:rPr>
            </w:pPr>
            <w:r>
              <w:rPr>
                <w:rFonts w:hint="eastAsia"/>
                <w:sz w:val="24"/>
              </w:rPr>
              <w:t>⑦拆解其它有关总成和其他零部件（S11）</w:t>
            </w:r>
          </w:p>
          <w:p>
            <w:pPr>
              <w:spacing w:line="480" w:lineRule="exact"/>
              <w:ind w:firstLine="480" w:firstLineChars="200"/>
              <w:rPr>
                <w:sz w:val="24"/>
              </w:rPr>
            </w:pPr>
            <w:r>
              <w:rPr>
                <w:rFonts w:hint="eastAsia"/>
                <w:sz w:val="24"/>
              </w:rPr>
              <w:t>本项目拆解所得五大总成主要为发动机、方向机、变速器、前后桥、车架，螺丝等其他可用零部件、钢铁。拆解所得总成及可用零部件作为产品存放于产品存放区，钢铁作为半成品存放于半成品存放区。此工序中产生的污染物为S</w:t>
            </w:r>
            <w:r>
              <w:rPr>
                <w:sz w:val="24"/>
              </w:rPr>
              <w:t>11</w:t>
            </w:r>
            <w:r>
              <w:rPr>
                <w:rFonts w:hint="eastAsia"/>
                <w:sz w:val="24"/>
              </w:rPr>
              <w:t>废石棉片，暂存于危废暂存间六后交由有资质的单位进行处置。</w:t>
            </w:r>
          </w:p>
          <w:p>
            <w:pPr>
              <w:spacing w:line="480" w:lineRule="exact"/>
              <w:ind w:firstLine="480" w:firstLineChars="200"/>
              <w:rPr>
                <w:sz w:val="24"/>
              </w:rPr>
            </w:pPr>
            <w:r>
              <w:rPr>
                <w:rFonts w:hint="eastAsia"/>
                <w:sz w:val="24"/>
              </w:rPr>
              <w:t>⑧拆除包含有毒物质的部件（含汞废物）</w:t>
            </w:r>
          </w:p>
          <w:p>
            <w:pPr>
              <w:spacing w:line="480" w:lineRule="exact"/>
              <w:ind w:firstLine="480" w:firstLineChars="200"/>
              <w:rPr>
                <w:sz w:val="24"/>
              </w:rPr>
            </w:pPr>
            <w:r>
              <w:rPr>
                <w:rFonts w:hint="eastAsia"/>
                <w:sz w:val="24"/>
              </w:rPr>
              <w:t>使用气动扳手对含有毒物质进行手工拆解。汞在汽车上使用的部位为仪表盘、前照灯、继电器、传感器等。含汞部件在汽车精拆平台上进行，由人工逐个拆卸，由于该部件有些比较细小，且存于车身内部，汞是存在于这些部件里面，在车身和部件外壳的双重保护下，一般拆解不会破损泄露。这些部件拆卸下来的零部件放在箱体里面，整个箱体堆放在危废存放间，不会进一步处理。主要为含汞开关等。此工序中产生的污染物为S</w:t>
            </w:r>
            <w:r>
              <w:rPr>
                <w:sz w:val="24"/>
              </w:rPr>
              <w:t>12</w:t>
            </w:r>
            <w:r>
              <w:rPr>
                <w:rFonts w:hint="eastAsia"/>
                <w:sz w:val="24"/>
              </w:rPr>
              <w:t>含汞废物，暂存于危废暂存间六后交由有资质的单位进行处置。</w:t>
            </w:r>
          </w:p>
          <w:p>
            <w:pPr>
              <w:spacing w:line="480" w:lineRule="exact"/>
              <w:ind w:firstLine="480" w:firstLineChars="200"/>
              <w:rPr>
                <w:sz w:val="24"/>
              </w:rPr>
            </w:pPr>
            <w:r>
              <w:rPr>
                <w:rFonts w:hint="eastAsia"/>
                <w:sz w:val="24"/>
              </w:rPr>
              <w:t>拆解深度说明：本项目拆解的部分物质不会进行进一步的拆分和处置，具体如下：</w:t>
            </w:r>
          </w:p>
          <w:p>
            <w:pPr>
              <w:spacing w:line="480" w:lineRule="exact"/>
              <w:ind w:firstLine="480" w:firstLineChars="200"/>
              <w:rPr>
                <w:sz w:val="24"/>
              </w:rPr>
            </w:pPr>
            <w:r>
              <w:rPr>
                <w:rFonts w:hint="eastAsia"/>
                <w:sz w:val="24"/>
              </w:rPr>
              <w:t>A、铅蓄电池从汽车上拆除后，不再进行进一步的拆解，将尽快交给有资质的单位处理；</w:t>
            </w:r>
          </w:p>
          <w:p>
            <w:pPr>
              <w:spacing w:line="480" w:lineRule="exact"/>
              <w:ind w:firstLine="480" w:firstLineChars="200"/>
              <w:rPr>
                <w:sz w:val="24"/>
              </w:rPr>
            </w:pPr>
            <w:r>
              <w:rPr>
                <w:rFonts w:hint="eastAsia"/>
                <w:sz w:val="24"/>
              </w:rPr>
              <w:t>B、制冷系统、尾气净化装置仅从汽车上拆除，不进一步拆解，由有资质的危废单位处置；</w:t>
            </w:r>
          </w:p>
          <w:p>
            <w:pPr>
              <w:spacing w:line="480" w:lineRule="exact"/>
              <w:ind w:firstLine="480" w:firstLineChars="200"/>
              <w:rPr>
                <w:sz w:val="24"/>
              </w:rPr>
            </w:pPr>
            <w:r>
              <w:rPr>
                <w:rFonts w:hint="eastAsia"/>
                <w:sz w:val="24"/>
              </w:rPr>
              <w:t>C、各种电器、开关也仅从汽车上拆除，不进行进一步的拆解；</w:t>
            </w:r>
          </w:p>
          <w:p>
            <w:pPr>
              <w:spacing w:line="480" w:lineRule="exact"/>
              <w:ind w:firstLine="480" w:firstLineChars="200"/>
              <w:rPr>
                <w:sz w:val="24"/>
              </w:rPr>
            </w:pPr>
            <w:r>
              <w:rPr>
                <w:rFonts w:hint="eastAsia"/>
                <w:sz w:val="24"/>
              </w:rPr>
              <w:t>D、为便于储存、运输及提供外售价值，塑料件按其塑料类型分类于零部件仓库内进行存储；</w:t>
            </w:r>
          </w:p>
          <w:p>
            <w:pPr>
              <w:spacing w:line="480" w:lineRule="exact"/>
              <w:ind w:firstLine="480" w:firstLineChars="200"/>
              <w:rPr>
                <w:sz w:val="24"/>
              </w:rPr>
            </w:pPr>
            <w:r>
              <w:rPr>
                <w:rFonts w:hint="eastAsia"/>
                <w:sz w:val="24"/>
              </w:rPr>
              <w:t>E、经拆解线处理后，将车身及车架总成等大件的剩余体，先剪切，然后进入破碎生产线。</w:t>
            </w:r>
          </w:p>
          <w:p>
            <w:pPr>
              <w:spacing w:line="480" w:lineRule="exact"/>
              <w:ind w:firstLine="480" w:firstLineChars="200"/>
              <w:rPr>
                <w:sz w:val="24"/>
              </w:rPr>
            </w:pPr>
            <w:r>
              <w:rPr>
                <w:rFonts w:hint="eastAsia"/>
                <w:sz w:val="24"/>
              </w:rPr>
              <w:t>（5）切割、破碎和打包</w:t>
            </w:r>
          </w:p>
          <w:p>
            <w:pPr>
              <w:spacing w:line="480" w:lineRule="exact"/>
              <w:ind w:firstLine="480" w:firstLineChars="200"/>
              <w:rPr>
                <w:sz w:val="24"/>
              </w:rPr>
            </w:pPr>
            <w:r>
              <w:rPr>
                <w:rFonts w:hint="eastAsia"/>
                <w:sz w:val="24"/>
              </w:rPr>
              <w:t>在对大块的铁件拆下后，对车身采用等离子切割机等进行切割，将其切割成众多小块后转移至破碎车间放进废钢破碎生产机进行破碎处理。本项目塑料、玻璃、橡胶等拆解后直接外售，不进行破碎，破碎仅对废钢铁进行破碎。将废钢铁投放进破碎机的入料口，在高速、大扭矩电机的连续驱动下，破碎机转子上的锤头和刀片轮流击打进入容腔内废铁钢，在强大的冲击作用下，废钢被撕裂和挤压成直径50mm大小的破碎钢。破碎后的物料进入压实打包机进行打包。打包后放至产品库待外售。切割过程会产生噪声N1、</w:t>
            </w:r>
            <w:r>
              <w:rPr>
                <w:sz w:val="24"/>
              </w:rPr>
              <w:t>切割粉尘G4、废钢材</w:t>
            </w:r>
            <w:r>
              <w:rPr>
                <w:rFonts w:hint="eastAsia"/>
                <w:sz w:val="24"/>
              </w:rPr>
              <w:t>，破碎过程会产生噪声N</w:t>
            </w:r>
            <w:r>
              <w:rPr>
                <w:sz w:val="24"/>
              </w:rPr>
              <w:t>2</w:t>
            </w:r>
            <w:r>
              <w:rPr>
                <w:rFonts w:hint="eastAsia"/>
                <w:sz w:val="24"/>
              </w:rPr>
              <w:t>、破碎</w:t>
            </w:r>
            <w:r>
              <w:rPr>
                <w:sz w:val="24"/>
              </w:rPr>
              <w:t>粉尘G5、废钢材</w:t>
            </w:r>
            <w:r>
              <w:rPr>
                <w:rFonts w:hint="eastAsia"/>
                <w:sz w:val="24"/>
              </w:rPr>
              <w:t>；打包工序会产生噪声N</w:t>
            </w:r>
            <w:r>
              <w:rPr>
                <w:sz w:val="24"/>
              </w:rPr>
              <w:t>3</w:t>
            </w:r>
            <w:r>
              <w:rPr>
                <w:rFonts w:hint="eastAsia"/>
                <w:sz w:val="24"/>
              </w:rPr>
              <w:t>、废钢铁。其中废钢材作为产品暂存于成品库房，</w:t>
            </w:r>
            <w:r>
              <w:rPr>
                <w:sz w:val="24"/>
              </w:rPr>
              <w:t>交有资质的废旧资源回收单位回收综合利用。</w:t>
            </w:r>
          </w:p>
          <w:p>
            <w:pPr>
              <w:spacing w:line="480" w:lineRule="exact"/>
              <w:ind w:firstLine="480" w:firstLineChars="200"/>
              <w:rPr>
                <w:sz w:val="24"/>
              </w:rPr>
            </w:pPr>
            <w:r>
              <w:rPr>
                <w:rFonts w:hint="eastAsia"/>
                <w:sz w:val="24"/>
              </w:rPr>
              <w:t>另外在玻璃、轮胎、轮毂、塑料等拆解过程中会产生一些破碎的玻璃、轮胎、轮毂、塑料等，S1</w:t>
            </w:r>
            <w:r>
              <w:rPr>
                <w:sz w:val="24"/>
              </w:rPr>
              <w:t>3</w:t>
            </w:r>
            <w:r>
              <w:rPr>
                <w:rFonts w:hint="eastAsia"/>
                <w:sz w:val="24"/>
              </w:rPr>
              <w:t>作为一般工业固废暂存于一般工业固废暂存间，</w:t>
            </w:r>
            <w:r>
              <w:rPr>
                <w:sz w:val="24"/>
              </w:rPr>
              <w:t>交有资质的废旧资源回收单位回收综合利用。</w:t>
            </w:r>
          </w:p>
          <w:p>
            <w:pPr>
              <w:spacing w:line="480" w:lineRule="exact"/>
              <w:ind w:firstLine="480" w:firstLineChars="200"/>
              <w:rPr>
                <w:sz w:val="24"/>
              </w:rPr>
            </w:pPr>
            <w:r>
              <w:rPr>
                <w:rFonts w:hint="eastAsia"/>
                <w:sz w:val="24"/>
              </w:rPr>
              <w:t>（2）电动汽车拆解线</w:t>
            </w:r>
          </w:p>
          <w:p>
            <w:pPr>
              <w:spacing w:line="480" w:lineRule="exact"/>
              <w:ind w:firstLine="480" w:firstLineChars="200"/>
              <w:rPr>
                <w:sz w:val="24"/>
              </w:rPr>
            </w:pPr>
            <w:r>
              <w:rPr>
                <w:sz w:val="24"/>
              </w:rPr>
              <w:t>本项目</w:t>
            </w:r>
            <w:r>
              <w:rPr>
                <w:rFonts w:hint="eastAsia"/>
                <w:sz w:val="24"/>
              </w:rPr>
              <w:t>设置1条废旧电动汽车</w:t>
            </w:r>
            <w:r>
              <w:rPr>
                <w:sz w:val="24"/>
              </w:rPr>
              <w:t>拆解线。</w:t>
            </w:r>
          </w:p>
          <w:p>
            <w:pPr>
              <w:pStyle w:val="128"/>
              <w:spacing w:line="480" w:lineRule="exact"/>
              <w:ind w:firstLine="480"/>
            </w:pPr>
            <w:r>
              <w:rPr>
                <w:rFonts w:hint="eastAsia"/>
              </w:rPr>
              <w:t>根据</w:t>
            </w:r>
            <w:r>
              <w:t>《报废汽车回收拆解企业技术规范》（GB22128-2019）</w:t>
            </w:r>
            <w:r>
              <w:rPr>
                <w:rFonts w:hint="eastAsia"/>
              </w:rPr>
              <w:t>，电动汽车</w:t>
            </w:r>
            <w:r>
              <w:t>拆解线</w:t>
            </w:r>
            <w:r>
              <w:rPr>
                <w:rFonts w:hint="eastAsia"/>
              </w:rPr>
              <w:t>和机动车拆解线相比仅动力蓄电池预处理拆卸不一样外，其余预处理步骤一致。</w:t>
            </w:r>
          </w:p>
          <w:p>
            <w:pPr>
              <w:pStyle w:val="128"/>
              <w:spacing w:line="480" w:lineRule="exact"/>
              <w:ind w:firstLine="480"/>
            </w:pPr>
            <w:r>
              <w:rPr>
                <w:rFonts w:hint="eastAsia"/>
              </w:rPr>
              <w:t>具体处理工艺如下：</w:t>
            </w:r>
          </w:p>
          <w:p>
            <w:pPr>
              <w:pStyle w:val="128"/>
              <w:spacing w:line="480" w:lineRule="exact"/>
              <w:ind w:firstLine="480"/>
            </w:pPr>
            <w:r>
              <w:rPr>
                <w:rFonts w:hint="eastAsia"/>
              </w:rPr>
              <w:t>电动汽车的拆解在专门的动力蓄电池拆卸区进行，车间地面已进行绝缘处理。预处理过程如下：</w:t>
            </w:r>
          </w:p>
          <w:p>
            <w:pPr>
              <w:pStyle w:val="128"/>
              <w:spacing w:line="480" w:lineRule="exact"/>
              <w:ind w:firstLine="480"/>
            </w:pPr>
            <w:r>
              <w:rPr>
                <w:rFonts w:hint="eastAsia"/>
              </w:rPr>
              <w:t>新能源电动汽车是以电源为动力，动力电池是汽车主要部件之一，电动汽车的动力蓄电池有锂电池、镍氢电池、铅蓄电池、燃料电池等。</w:t>
            </w:r>
          </w:p>
          <w:p>
            <w:pPr>
              <w:pStyle w:val="128"/>
              <w:spacing w:line="480" w:lineRule="exact"/>
              <w:ind w:firstLine="480"/>
            </w:pPr>
            <w:r>
              <w:rPr>
                <w:rFonts w:hint="eastAsia"/>
              </w:rPr>
              <w:t>专业技术人员穿戴绝缘防护用具，在绝缘车间，先用电池安全评估设备对电池进行安全评估，再使用高压绝缘棒、动力电池吊具、动力电池升降车等设备对电池、电容器进行拆卸。将电池、电容器分类储存，不再进行进一步拆解 。</w:t>
            </w:r>
          </w:p>
          <w:p>
            <w:pPr>
              <w:spacing w:line="480" w:lineRule="exact"/>
              <w:ind w:firstLine="480" w:firstLineChars="200"/>
              <w:rPr>
                <w:sz w:val="24"/>
              </w:rPr>
            </w:pPr>
            <w:r>
              <w:rPr>
                <w:rFonts w:hint="eastAsia" w:cs="宋体"/>
                <w:sz w:val="24"/>
                <w:szCs w:val="20"/>
              </w:rPr>
              <w:t>产污环节：此工序会产生废蓄电池属于危险废物，收集后需交由有危险废物处理处置资质的单位处置；根据</w:t>
            </w:r>
            <w:r>
              <w:rPr>
                <w:rFonts w:cs="宋体"/>
                <w:sz w:val="24"/>
                <w:szCs w:val="20"/>
              </w:rPr>
              <w:t>《报废机动车拆解企业污染控制技术规范》（HJ348-2022）</w:t>
            </w:r>
            <w:r>
              <w:rPr>
                <w:rFonts w:hint="eastAsia" w:cs="宋体"/>
                <w:sz w:val="24"/>
                <w:szCs w:val="20"/>
              </w:rPr>
              <w:t>废蓄电池（不包含铅蓄电池）作为危险废</w:t>
            </w:r>
            <w:r>
              <w:rPr>
                <w:rFonts w:hint="eastAsia"/>
                <w:sz w:val="24"/>
              </w:rPr>
              <w:t>物</w:t>
            </w:r>
            <w:r>
              <w:rPr>
                <w:sz w:val="24"/>
              </w:rPr>
              <w:t>整个直接运送至</w:t>
            </w:r>
            <w:r>
              <w:rPr>
                <w:rFonts w:hint="eastAsia"/>
                <w:sz w:val="24"/>
              </w:rPr>
              <w:t>危废暂存间</w:t>
            </w:r>
            <w:r>
              <w:rPr>
                <w:sz w:val="24"/>
              </w:rPr>
              <w:t>内暂存，定期交由有资质的单位处置。</w:t>
            </w:r>
          </w:p>
          <w:p>
            <w:pPr>
              <w:spacing w:line="480" w:lineRule="exact"/>
              <w:jc w:val="left"/>
              <w:rPr>
                <w:b/>
                <w:bCs/>
                <w:sz w:val="24"/>
              </w:rPr>
            </w:pPr>
            <w:r>
              <w:rPr>
                <w:b/>
                <w:bCs/>
                <w:sz w:val="24"/>
              </w:rPr>
              <w:t>2.2.2.2</w:t>
            </w:r>
            <w:r>
              <w:rPr>
                <w:rFonts w:hint="eastAsia"/>
                <w:b/>
                <w:bCs/>
                <w:sz w:val="24"/>
              </w:rPr>
              <w:t>产污环节</w:t>
            </w:r>
          </w:p>
          <w:p>
            <w:pPr>
              <w:spacing w:line="480" w:lineRule="exact"/>
              <w:ind w:firstLine="480" w:firstLineChars="200"/>
              <w:rPr>
                <w:sz w:val="24"/>
              </w:rPr>
            </w:pPr>
            <w:r>
              <w:rPr>
                <w:rFonts w:hint="eastAsia"/>
                <w:sz w:val="24"/>
              </w:rPr>
              <w:t>本项目主要排污工序见下表。</w:t>
            </w:r>
          </w:p>
          <w:p>
            <w:pPr>
              <w:adjustRightInd w:val="0"/>
              <w:snapToGrid w:val="0"/>
              <w:jc w:val="center"/>
              <w:rPr>
                <w:bCs/>
                <w:sz w:val="18"/>
                <w:szCs w:val="18"/>
              </w:rPr>
            </w:pPr>
            <w:r>
              <w:rPr>
                <w:bCs/>
                <w:sz w:val="18"/>
                <w:szCs w:val="18"/>
              </w:rPr>
              <w:t>表2.2.2</w:t>
            </w:r>
            <w:r>
              <w:rPr>
                <w:rFonts w:hint="eastAsia"/>
                <w:bCs/>
                <w:sz w:val="18"/>
                <w:szCs w:val="18"/>
              </w:rPr>
              <w:t>-</w:t>
            </w:r>
            <w:r>
              <w:rPr>
                <w:bCs/>
                <w:sz w:val="18"/>
                <w:szCs w:val="18"/>
              </w:rPr>
              <w:t>1 本项目主要产污工序及污染物对照表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27"/>
              <w:gridCol w:w="696"/>
              <w:gridCol w:w="1704"/>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blHeader/>
                <w:jc w:val="center"/>
              </w:trPr>
              <w:tc>
                <w:tcPr>
                  <w:tcW w:w="416" w:type="pct"/>
                  <w:vAlign w:val="center"/>
                </w:tcPr>
                <w:p>
                  <w:pPr>
                    <w:adjustRightInd w:val="0"/>
                    <w:snapToGrid w:val="0"/>
                    <w:jc w:val="center"/>
                    <w:rPr>
                      <w:kern w:val="0"/>
                      <w:sz w:val="18"/>
                      <w:szCs w:val="18"/>
                    </w:rPr>
                  </w:pPr>
                  <w:r>
                    <w:rPr>
                      <w:kern w:val="0"/>
                      <w:sz w:val="18"/>
                      <w:szCs w:val="18"/>
                    </w:rPr>
                    <w:t>时段</w:t>
                  </w:r>
                </w:p>
              </w:tc>
              <w:tc>
                <w:tcPr>
                  <w:tcW w:w="395" w:type="pct"/>
                  <w:vAlign w:val="center"/>
                </w:tcPr>
                <w:p>
                  <w:pPr>
                    <w:adjustRightInd w:val="0"/>
                    <w:snapToGrid w:val="0"/>
                    <w:jc w:val="center"/>
                    <w:rPr>
                      <w:kern w:val="0"/>
                      <w:sz w:val="18"/>
                      <w:szCs w:val="18"/>
                    </w:rPr>
                  </w:pPr>
                  <w:r>
                    <w:rPr>
                      <w:kern w:val="0"/>
                      <w:sz w:val="18"/>
                      <w:szCs w:val="18"/>
                    </w:rPr>
                    <w:t>类别</w:t>
                  </w:r>
                </w:p>
              </w:tc>
              <w:tc>
                <w:tcPr>
                  <w:tcW w:w="439" w:type="pct"/>
                  <w:vAlign w:val="center"/>
                </w:tcPr>
                <w:p>
                  <w:pPr>
                    <w:adjustRightInd w:val="0"/>
                    <w:snapToGrid w:val="0"/>
                    <w:jc w:val="center"/>
                    <w:rPr>
                      <w:kern w:val="0"/>
                      <w:sz w:val="18"/>
                      <w:szCs w:val="18"/>
                    </w:rPr>
                  </w:pPr>
                  <w:r>
                    <w:rPr>
                      <w:kern w:val="0"/>
                      <w:sz w:val="18"/>
                      <w:szCs w:val="18"/>
                    </w:rPr>
                    <w:t>代码</w:t>
                  </w:r>
                </w:p>
              </w:tc>
              <w:tc>
                <w:tcPr>
                  <w:tcW w:w="1074" w:type="pct"/>
                  <w:vAlign w:val="center"/>
                </w:tcPr>
                <w:p>
                  <w:pPr>
                    <w:adjustRightInd w:val="0"/>
                    <w:snapToGrid w:val="0"/>
                    <w:jc w:val="center"/>
                    <w:rPr>
                      <w:kern w:val="0"/>
                      <w:sz w:val="18"/>
                      <w:szCs w:val="18"/>
                    </w:rPr>
                  </w:pPr>
                  <w:r>
                    <w:rPr>
                      <w:kern w:val="0"/>
                      <w:sz w:val="18"/>
                      <w:szCs w:val="18"/>
                    </w:rPr>
                    <w:t>产污工序</w:t>
                  </w:r>
                </w:p>
              </w:tc>
              <w:tc>
                <w:tcPr>
                  <w:tcW w:w="2676" w:type="pct"/>
                  <w:vAlign w:val="center"/>
                </w:tcPr>
                <w:p>
                  <w:pPr>
                    <w:adjustRightInd w:val="0"/>
                    <w:snapToGrid w:val="0"/>
                    <w:jc w:val="center"/>
                    <w:rPr>
                      <w:kern w:val="0"/>
                      <w:sz w:val="18"/>
                      <w:szCs w:val="18"/>
                    </w:rPr>
                  </w:pPr>
                  <w:r>
                    <w:rPr>
                      <w:kern w:val="0"/>
                      <w:sz w:val="18"/>
                      <w:szCs w:val="18"/>
                    </w:rPr>
                    <w:t>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6" w:type="pct"/>
                  <w:vMerge w:val="restart"/>
                  <w:vAlign w:val="center"/>
                </w:tcPr>
                <w:p>
                  <w:pPr>
                    <w:jc w:val="center"/>
                    <w:rPr>
                      <w:kern w:val="0"/>
                      <w:sz w:val="18"/>
                      <w:szCs w:val="18"/>
                    </w:rPr>
                  </w:pPr>
                  <w:r>
                    <w:rPr>
                      <w:kern w:val="0"/>
                      <w:sz w:val="18"/>
                      <w:szCs w:val="18"/>
                    </w:rPr>
                    <w:t>营</w:t>
                  </w:r>
                </w:p>
                <w:p>
                  <w:pPr>
                    <w:jc w:val="center"/>
                    <w:rPr>
                      <w:kern w:val="0"/>
                      <w:sz w:val="18"/>
                      <w:szCs w:val="18"/>
                    </w:rPr>
                  </w:pPr>
                  <w:r>
                    <w:rPr>
                      <w:kern w:val="0"/>
                      <w:sz w:val="18"/>
                      <w:szCs w:val="18"/>
                    </w:rPr>
                    <w:t>运</w:t>
                  </w:r>
                </w:p>
                <w:p>
                  <w:pPr>
                    <w:adjustRightInd w:val="0"/>
                    <w:snapToGrid w:val="0"/>
                    <w:jc w:val="center"/>
                    <w:rPr>
                      <w:kern w:val="0"/>
                      <w:sz w:val="18"/>
                      <w:szCs w:val="18"/>
                    </w:rPr>
                  </w:pPr>
                  <w:r>
                    <w:rPr>
                      <w:kern w:val="0"/>
                      <w:sz w:val="18"/>
                      <w:szCs w:val="18"/>
                    </w:rPr>
                    <w:t>期</w:t>
                  </w:r>
                </w:p>
              </w:tc>
              <w:tc>
                <w:tcPr>
                  <w:tcW w:w="395" w:type="pct"/>
                  <w:vMerge w:val="restart"/>
                  <w:vAlign w:val="center"/>
                </w:tcPr>
                <w:p>
                  <w:pPr>
                    <w:adjustRightInd w:val="0"/>
                    <w:snapToGrid w:val="0"/>
                    <w:jc w:val="center"/>
                    <w:rPr>
                      <w:kern w:val="0"/>
                      <w:sz w:val="18"/>
                      <w:szCs w:val="18"/>
                    </w:rPr>
                  </w:pPr>
                  <w:r>
                    <w:rPr>
                      <w:kern w:val="0"/>
                      <w:sz w:val="18"/>
                      <w:szCs w:val="18"/>
                    </w:rPr>
                    <w:t>废水</w:t>
                  </w:r>
                </w:p>
              </w:tc>
              <w:tc>
                <w:tcPr>
                  <w:tcW w:w="439" w:type="pct"/>
                  <w:vAlign w:val="center"/>
                </w:tcPr>
                <w:p>
                  <w:pPr>
                    <w:adjustRightInd w:val="0"/>
                    <w:snapToGrid w:val="0"/>
                    <w:jc w:val="center"/>
                    <w:rPr>
                      <w:kern w:val="0"/>
                      <w:sz w:val="18"/>
                      <w:szCs w:val="18"/>
                    </w:rPr>
                  </w:pPr>
                  <w:r>
                    <w:rPr>
                      <w:kern w:val="0"/>
                      <w:sz w:val="18"/>
                      <w:szCs w:val="18"/>
                    </w:rPr>
                    <w:t>W1</w:t>
                  </w:r>
                </w:p>
              </w:tc>
              <w:tc>
                <w:tcPr>
                  <w:tcW w:w="1074" w:type="pct"/>
                  <w:vAlign w:val="center"/>
                </w:tcPr>
                <w:p>
                  <w:pPr>
                    <w:adjustRightInd w:val="0"/>
                    <w:snapToGrid w:val="0"/>
                    <w:jc w:val="center"/>
                    <w:rPr>
                      <w:kern w:val="0"/>
                      <w:sz w:val="18"/>
                      <w:szCs w:val="18"/>
                    </w:rPr>
                  </w:pPr>
                  <w:r>
                    <w:rPr>
                      <w:bCs/>
                      <w:sz w:val="18"/>
                      <w:szCs w:val="18"/>
                    </w:rPr>
                    <w:t>地面清洁废水</w:t>
                  </w:r>
                </w:p>
              </w:tc>
              <w:tc>
                <w:tcPr>
                  <w:tcW w:w="2676" w:type="pct"/>
                  <w:vAlign w:val="center"/>
                </w:tcPr>
                <w:p>
                  <w:pPr>
                    <w:adjustRightInd w:val="0"/>
                    <w:snapToGrid w:val="0"/>
                    <w:jc w:val="center"/>
                    <w:rPr>
                      <w:kern w:val="0"/>
                      <w:sz w:val="18"/>
                      <w:szCs w:val="18"/>
                    </w:rPr>
                  </w:pPr>
                  <w:r>
                    <w:rPr>
                      <w:rFonts w:hint="eastAsia"/>
                      <w:kern w:val="0"/>
                      <w:sz w:val="18"/>
                      <w:szCs w:val="18"/>
                    </w:rPr>
                    <w:t>pH值、</w:t>
                  </w:r>
                  <w:r>
                    <w:rPr>
                      <w:kern w:val="0"/>
                      <w:sz w:val="18"/>
                      <w:szCs w:val="18"/>
                    </w:rPr>
                    <w:t>COD、</w:t>
                  </w:r>
                  <w:r>
                    <w:rPr>
                      <w:rFonts w:hint="eastAsia"/>
                      <w:kern w:val="0"/>
                      <w:sz w:val="18"/>
                      <w:szCs w:val="18"/>
                    </w:rPr>
                    <w:t>BOD</w:t>
                  </w:r>
                  <w:r>
                    <w:rPr>
                      <w:kern w:val="0"/>
                      <w:sz w:val="18"/>
                      <w:szCs w:val="18"/>
                      <w:vertAlign w:val="subscript"/>
                    </w:rPr>
                    <w:t>5</w:t>
                  </w:r>
                  <w:r>
                    <w:rPr>
                      <w:rFonts w:hint="eastAsia"/>
                      <w:kern w:val="0"/>
                      <w:sz w:val="18"/>
                      <w:szCs w:val="18"/>
                    </w:rPr>
                    <w:t>、NH</w:t>
                  </w:r>
                  <w:r>
                    <w:rPr>
                      <w:rFonts w:hint="eastAsia"/>
                      <w:kern w:val="0"/>
                      <w:sz w:val="18"/>
                      <w:szCs w:val="18"/>
                      <w:vertAlign w:val="subscript"/>
                    </w:rPr>
                    <w:t>3</w:t>
                  </w:r>
                  <w:r>
                    <w:rPr>
                      <w:rFonts w:hint="eastAsia"/>
                      <w:kern w:val="0"/>
                      <w:sz w:val="18"/>
                      <w:szCs w:val="18"/>
                    </w:rPr>
                    <w:t>-N、</w:t>
                  </w:r>
                  <w:r>
                    <w:rPr>
                      <w:kern w:val="0"/>
                      <w:sz w:val="18"/>
                      <w:szCs w:val="18"/>
                    </w:rPr>
                    <w:t>SS、石油类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jc w:val="center"/>
                    <w:rPr>
                      <w:kern w:val="0"/>
                      <w:sz w:val="18"/>
                      <w:szCs w:val="18"/>
                    </w:rPr>
                  </w:pPr>
                </w:p>
              </w:tc>
              <w:tc>
                <w:tcPr>
                  <w:tcW w:w="395" w:type="pct"/>
                  <w:vMerge w:val="continue"/>
                  <w:vAlign w:val="center"/>
                </w:tcPr>
                <w:p>
                  <w:pPr>
                    <w:adjustRightInd w:val="0"/>
                    <w:snapToGrid w:val="0"/>
                    <w:jc w:val="center"/>
                    <w:rPr>
                      <w:kern w:val="0"/>
                      <w:sz w:val="18"/>
                      <w:szCs w:val="18"/>
                    </w:rPr>
                  </w:pPr>
                </w:p>
              </w:tc>
              <w:tc>
                <w:tcPr>
                  <w:tcW w:w="439" w:type="pct"/>
                  <w:vAlign w:val="center"/>
                </w:tcPr>
                <w:p>
                  <w:pPr>
                    <w:adjustRightInd w:val="0"/>
                    <w:snapToGrid w:val="0"/>
                    <w:jc w:val="center"/>
                    <w:rPr>
                      <w:kern w:val="0"/>
                      <w:sz w:val="18"/>
                      <w:szCs w:val="18"/>
                    </w:rPr>
                  </w:pPr>
                  <w:r>
                    <w:rPr>
                      <w:kern w:val="0"/>
                      <w:sz w:val="18"/>
                      <w:szCs w:val="18"/>
                    </w:rPr>
                    <w:t>W2</w:t>
                  </w:r>
                </w:p>
              </w:tc>
              <w:tc>
                <w:tcPr>
                  <w:tcW w:w="1074" w:type="pct"/>
                  <w:vAlign w:val="center"/>
                </w:tcPr>
                <w:p>
                  <w:pPr>
                    <w:adjustRightInd w:val="0"/>
                    <w:snapToGrid w:val="0"/>
                    <w:jc w:val="center"/>
                    <w:rPr>
                      <w:bCs/>
                      <w:sz w:val="18"/>
                      <w:szCs w:val="18"/>
                    </w:rPr>
                  </w:pPr>
                  <w:r>
                    <w:rPr>
                      <w:bCs/>
                      <w:sz w:val="18"/>
                      <w:szCs w:val="18"/>
                    </w:rPr>
                    <w:t>生活污水</w:t>
                  </w:r>
                  <w:r>
                    <w:rPr>
                      <w:rFonts w:hint="eastAsia"/>
                      <w:bCs/>
                      <w:sz w:val="18"/>
                      <w:szCs w:val="18"/>
                    </w:rPr>
                    <w:t>（含食堂废水）</w:t>
                  </w:r>
                </w:p>
              </w:tc>
              <w:tc>
                <w:tcPr>
                  <w:tcW w:w="2676" w:type="pct"/>
                  <w:vAlign w:val="center"/>
                </w:tcPr>
                <w:p>
                  <w:pPr>
                    <w:adjustRightInd w:val="0"/>
                    <w:snapToGrid w:val="0"/>
                    <w:jc w:val="center"/>
                    <w:rPr>
                      <w:kern w:val="0"/>
                      <w:sz w:val="18"/>
                      <w:szCs w:val="18"/>
                    </w:rPr>
                  </w:pPr>
                  <w:r>
                    <w:rPr>
                      <w:rFonts w:hint="eastAsia"/>
                      <w:kern w:val="0"/>
                      <w:sz w:val="18"/>
                      <w:szCs w:val="18"/>
                    </w:rPr>
                    <w:t>pH值、</w:t>
                  </w:r>
                  <w:r>
                    <w:rPr>
                      <w:kern w:val="0"/>
                      <w:sz w:val="18"/>
                      <w:szCs w:val="18"/>
                    </w:rPr>
                    <w:t>COD、</w:t>
                  </w:r>
                  <w:r>
                    <w:rPr>
                      <w:rFonts w:hint="eastAsia"/>
                      <w:kern w:val="0"/>
                      <w:sz w:val="18"/>
                      <w:szCs w:val="18"/>
                    </w:rPr>
                    <w:t>BOD</w:t>
                  </w:r>
                  <w:r>
                    <w:rPr>
                      <w:kern w:val="0"/>
                      <w:sz w:val="18"/>
                      <w:szCs w:val="18"/>
                      <w:vertAlign w:val="subscript"/>
                    </w:rPr>
                    <w:t>5</w:t>
                  </w:r>
                  <w:r>
                    <w:rPr>
                      <w:rFonts w:hint="eastAsia"/>
                      <w:kern w:val="0"/>
                      <w:sz w:val="18"/>
                      <w:szCs w:val="18"/>
                    </w:rPr>
                    <w:t>、NH</w:t>
                  </w:r>
                  <w:r>
                    <w:rPr>
                      <w:rFonts w:hint="eastAsia"/>
                      <w:kern w:val="0"/>
                      <w:sz w:val="18"/>
                      <w:szCs w:val="18"/>
                      <w:vertAlign w:val="subscript"/>
                    </w:rPr>
                    <w:t>3</w:t>
                  </w:r>
                  <w:r>
                    <w:rPr>
                      <w:rFonts w:hint="eastAsia"/>
                      <w:kern w:val="0"/>
                      <w:sz w:val="18"/>
                      <w:szCs w:val="18"/>
                    </w:rPr>
                    <w:t>-N、</w:t>
                  </w:r>
                  <w:r>
                    <w:rPr>
                      <w:kern w:val="0"/>
                      <w:sz w:val="18"/>
                      <w:szCs w:val="18"/>
                    </w:rPr>
                    <w:t>SS、</w:t>
                  </w:r>
                  <w:r>
                    <w:rPr>
                      <w:rFonts w:hint="eastAsia"/>
                      <w:kern w:val="0"/>
                      <w:sz w:val="18"/>
                      <w:szCs w:val="18"/>
                    </w:rPr>
                    <w:t>动植物油、总氮、总磷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jc w:val="center"/>
                    <w:rPr>
                      <w:kern w:val="0"/>
                      <w:sz w:val="18"/>
                      <w:szCs w:val="18"/>
                    </w:rPr>
                  </w:pPr>
                </w:p>
              </w:tc>
              <w:tc>
                <w:tcPr>
                  <w:tcW w:w="395" w:type="pct"/>
                  <w:vMerge w:val="continue"/>
                  <w:vAlign w:val="center"/>
                </w:tcPr>
                <w:p>
                  <w:pPr>
                    <w:adjustRightInd w:val="0"/>
                    <w:snapToGrid w:val="0"/>
                    <w:jc w:val="center"/>
                    <w:rPr>
                      <w:kern w:val="0"/>
                      <w:sz w:val="18"/>
                      <w:szCs w:val="18"/>
                    </w:rPr>
                  </w:pPr>
                </w:p>
              </w:tc>
              <w:tc>
                <w:tcPr>
                  <w:tcW w:w="439" w:type="pct"/>
                  <w:vAlign w:val="center"/>
                </w:tcPr>
                <w:p>
                  <w:pPr>
                    <w:adjustRightInd w:val="0"/>
                    <w:snapToGrid w:val="0"/>
                    <w:jc w:val="center"/>
                    <w:rPr>
                      <w:kern w:val="0"/>
                      <w:sz w:val="18"/>
                      <w:szCs w:val="18"/>
                    </w:rPr>
                  </w:pPr>
                  <w:r>
                    <w:rPr>
                      <w:kern w:val="0"/>
                      <w:sz w:val="18"/>
                      <w:szCs w:val="18"/>
                    </w:rPr>
                    <w:t>W3</w:t>
                  </w:r>
                </w:p>
              </w:tc>
              <w:tc>
                <w:tcPr>
                  <w:tcW w:w="1074" w:type="pct"/>
                  <w:vAlign w:val="center"/>
                </w:tcPr>
                <w:p>
                  <w:pPr>
                    <w:adjustRightInd w:val="0"/>
                    <w:snapToGrid w:val="0"/>
                    <w:jc w:val="center"/>
                    <w:rPr>
                      <w:bCs/>
                      <w:sz w:val="18"/>
                      <w:szCs w:val="18"/>
                    </w:rPr>
                  </w:pPr>
                  <w:r>
                    <w:rPr>
                      <w:bCs/>
                      <w:sz w:val="18"/>
                      <w:szCs w:val="18"/>
                    </w:rPr>
                    <w:t>初期雨水</w:t>
                  </w:r>
                </w:p>
              </w:tc>
              <w:tc>
                <w:tcPr>
                  <w:tcW w:w="2676" w:type="pct"/>
                  <w:vAlign w:val="center"/>
                </w:tcPr>
                <w:p>
                  <w:pPr>
                    <w:adjustRightInd w:val="0"/>
                    <w:snapToGrid w:val="0"/>
                    <w:jc w:val="center"/>
                    <w:rPr>
                      <w:bCs/>
                      <w:sz w:val="18"/>
                      <w:szCs w:val="18"/>
                    </w:rPr>
                  </w:pPr>
                  <w:r>
                    <w:rPr>
                      <w:rFonts w:hint="eastAsia"/>
                      <w:kern w:val="0"/>
                      <w:sz w:val="18"/>
                      <w:szCs w:val="18"/>
                    </w:rPr>
                    <w:t>pH值、</w:t>
                  </w:r>
                  <w:r>
                    <w:rPr>
                      <w:kern w:val="0"/>
                      <w:sz w:val="18"/>
                      <w:szCs w:val="18"/>
                    </w:rPr>
                    <w:t>COD、</w:t>
                  </w:r>
                  <w:r>
                    <w:rPr>
                      <w:rFonts w:hint="eastAsia"/>
                      <w:kern w:val="0"/>
                      <w:sz w:val="18"/>
                      <w:szCs w:val="18"/>
                    </w:rPr>
                    <w:t>BOD</w:t>
                  </w:r>
                  <w:r>
                    <w:rPr>
                      <w:kern w:val="0"/>
                      <w:sz w:val="18"/>
                      <w:szCs w:val="18"/>
                      <w:vertAlign w:val="subscript"/>
                    </w:rPr>
                    <w:t>5</w:t>
                  </w:r>
                  <w:r>
                    <w:rPr>
                      <w:rFonts w:hint="eastAsia"/>
                      <w:kern w:val="0"/>
                      <w:sz w:val="18"/>
                      <w:szCs w:val="18"/>
                    </w:rPr>
                    <w:t>、NH</w:t>
                  </w:r>
                  <w:r>
                    <w:rPr>
                      <w:rFonts w:hint="eastAsia"/>
                      <w:kern w:val="0"/>
                      <w:sz w:val="18"/>
                      <w:szCs w:val="18"/>
                      <w:vertAlign w:val="subscript"/>
                    </w:rPr>
                    <w:t>3</w:t>
                  </w:r>
                  <w:r>
                    <w:rPr>
                      <w:rFonts w:hint="eastAsia"/>
                      <w:kern w:val="0"/>
                      <w:sz w:val="18"/>
                      <w:szCs w:val="18"/>
                    </w:rPr>
                    <w:t>-N、</w:t>
                  </w:r>
                  <w:r>
                    <w:rPr>
                      <w:kern w:val="0"/>
                      <w:sz w:val="18"/>
                      <w:szCs w:val="18"/>
                    </w:rPr>
                    <w:t>SS、石油类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restart"/>
                  <w:vAlign w:val="center"/>
                </w:tcPr>
                <w:p>
                  <w:pPr>
                    <w:adjustRightInd w:val="0"/>
                    <w:snapToGrid w:val="0"/>
                    <w:jc w:val="center"/>
                    <w:rPr>
                      <w:kern w:val="0"/>
                      <w:sz w:val="18"/>
                      <w:szCs w:val="18"/>
                    </w:rPr>
                  </w:pPr>
                  <w:r>
                    <w:rPr>
                      <w:kern w:val="0"/>
                      <w:sz w:val="18"/>
                      <w:szCs w:val="18"/>
                    </w:rPr>
                    <w:t>废气</w:t>
                  </w:r>
                </w:p>
              </w:tc>
              <w:tc>
                <w:tcPr>
                  <w:tcW w:w="439" w:type="pct"/>
                  <w:vAlign w:val="center"/>
                </w:tcPr>
                <w:p>
                  <w:pPr>
                    <w:adjustRightInd w:val="0"/>
                    <w:snapToGrid w:val="0"/>
                    <w:jc w:val="center"/>
                    <w:rPr>
                      <w:bCs/>
                      <w:sz w:val="18"/>
                      <w:szCs w:val="18"/>
                    </w:rPr>
                  </w:pPr>
                  <w:r>
                    <w:rPr>
                      <w:bCs/>
                      <w:sz w:val="18"/>
                      <w:szCs w:val="18"/>
                    </w:rPr>
                    <w:t>G1</w:t>
                  </w:r>
                </w:p>
              </w:tc>
              <w:tc>
                <w:tcPr>
                  <w:tcW w:w="1074" w:type="pct"/>
                  <w:vAlign w:val="center"/>
                </w:tcPr>
                <w:p>
                  <w:pPr>
                    <w:adjustRightInd w:val="0"/>
                    <w:snapToGrid w:val="0"/>
                    <w:jc w:val="center"/>
                    <w:rPr>
                      <w:bCs/>
                      <w:sz w:val="18"/>
                      <w:szCs w:val="18"/>
                    </w:rPr>
                  </w:pPr>
                  <w:r>
                    <w:rPr>
                      <w:bCs/>
                      <w:sz w:val="18"/>
                      <w:szCs w:val="18"/>
                    </w:rPr>
                    <w:t>安全气囊引爆废气</w:t>
                  </w:r>
                </w:p>
              </w:tc>
              <w:tc>
                <w:tcPr>
                  <w:tcW w:w="2676" w:type="pct"/>
                  <w:vAlign w:val="center"/>
                </w:tcPr>
                <w:p>
                  <w:pPr>
                    <w:adjustRightInd w:val="0"/>
                    <w:snapToGrid w:val="0"/>
                    <w:jc w:val="center"/>
                    <w:rPr>
                      <w:kern w:val="0"/>
                      <w:sz w:val="18"/>
                      <w:szCs w:val="18"/>
                    </w:rPr>
                  </w:pPr>
                  <w:r>
                    <w:rPr>
                      <w:kern w:val="0"/>
                      <w:sz w:val="18"/>
                      <w:szCs w:val="18"/>
                    </w:rPr>
                    <w:t>N</w:t>
                  </w:r>
                  <w:r>
                    <w:rPr>
                      <w:kern w:val="0"/>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adjustRightInd w:val="0"/>
                    <w:snapToGrid w:val="0"/>
                    <w:jc w:val="center"/>
                    <w:rPr>
                      <w:kern w:val="0"/>
                      <w:sz w:val="18"/>
                      <w:szCs w:val="18"/>
                    </w:rPr>
                  </w:pPr>
                </w:p>
              </w:tc>
              <w:tc>
                <w:tcPr>
                  <w:tcW w:w="439" w:type="pct"/>
                  <w:vAlign w:val="center"/>
                </w:tcPr>
                <w:p>
                  <w:pPr>
                    <w:adjustRightInd w:val="0"/>
                    <w:snapToGrid w:val="0"/>
                    <w:jc w:val="center"/>
                    <w:rPr>
                      <w:kern w:val="0"/>
                      <w:sz w:val="18"/>
                      <w:szCs w:val="18"/>
                    </w:rPr>
                  </w:pPr>
                  <w:r>
                    <w:rPr>
                      <w:bCs/>
                      <w:sz w:val="18"/>
                      <w:szCs w:val="18"/>
                    </w:rPr>
                    <w:t>G2</w:t>
                  </w:r>
                </w:p>
              </w:tc>
              <w:tc>
                <w:tcPr>
                  <w:tcW w:w="1074" w:type="pct"/>
                  <w:vAlign w:val="center"/>
                </w:tcPr>
                <w:p>
                  <w:pPr>
                    <w:adjustRightInd w:val="0"/>
                    <w:snapToGrid w:val="0"/>
                    <w:jc w:val="center"/>
                    <w:rPr>
                      <w:kern w:val="0"/>
                      <w:sz w:val="18"/>
                      <w:szCs w:val="18"/>
                    </w:rPr>
                  </w:pPr>
                  <w:r>
                    <w:rPr>
                      <w:bCs/>
                      <w:sz w:val="18"/>
                      <w:szCs w:val="18"/>
                    </w:rPr>
                    <w:t>油液挥发废气</w:t>
                  </w:r>
                </w:p>
              </w:tc>
              <w:tc>
                <w:tcPr>
                  <w:tcW w:w="2676" w:type="pct"/>
                  <w:vAlign w:val="center"/>
                </w:tcPr>
                <w:p>
                  <w:pPr>
                    <w:adjustRightInd w:val="0"/>
                    <w:snapToGrid w:val="0"/>
                    <w:jc w:val="center"/>
                    <w:rPr>
                      <w:kern w:val="0"/>
                      <w:sz w:val="18"/>
                      <w:szCs w:val="18"/>
                    </w:rPr>
                  </w:pPr>
                  <w:r>
                    <w:rPr>
                      <w:kern w:val="0"/>
                      <w:sz w:val="18"/>
                      <w:szCs w:val="18"/>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adjustRightInd w:val="0"/>
                    <w:snapToGrid w:val="0"/>
                    <w:jc w:val="center"/>
                    <w:rPr>
                      <w:kern w:val="0"/>
                      <w:sz w:val="18"/>
                      <w:szCs w:val="18"/>
                    </w:rPr>
                  </w:pPr>
                </w:p>
              </w:tc>
              <w:tc>
                <w:tcPr>
                  <w:tcW w:w="439" w:type="pct"/>
                  <w:vAlign w:val="center"/>
                </w:tcPr>
                <w:p>
                  <w:pPr>
                    <w:adjustRightInd w:val="0"/>
                    <w:snapToGrid w:val="0"/>
                    <w:jc w:val="center"/>
                    <w:rPr>
                      <w:kern w:val="0"/>
                      <w:sz w:val="18"/>
                      <w:szCs w:val="18"/>
                    </w:rPr>
                  </w:pPr>
                  <w:r>
                    <w:rPr>
                      <w:bCs/>
                      <w:sz w:val="18"/>
                      <w:szCs w:val="18"/>
                    </w:rPr>
                    <w:t>G3</w:t>
                  </w:r>
                </w:p>
              </w:tc>
              <w:tc>
                <w:tcPr>
                  <w:tcW w:w="1074" w:type="pct"/>
                  <w:vAlign w:val="center"/>
                </w:tcPr>
                <w:p>
                  <w:pPr>
                    <w:adjustRightInd w:val="0"/>
                    <w:snapToGrid w:val="0"/>
                    <w:jc w:val="center"/>
                    <w:rPr>
                      <w:kern w:val="0"/>
                      <w:sz w:val="18"/>
                      <w:szCs w:val="18"/>
                    </w:rPr>
                  </w:pPr>
                  <w:r>
                    <w:rPr>
                      <w:bCs/>
                      <w:sz w:val="18"/>
                      <w:szCs w:val="18"/>
                    </w:rPr>
                    <w:t>制冷剂废气</w:t>
                  </w:r>
                </w:p>
              </w:tc>
              <w:tc>
                <w:tcPr>
                  <w:tcW w:w="2676" w:type="pct"/>
                  <w:vAlign w:val="center"/>
                </w:tcPr>
                <w:p>
                  <w:pPr>
                    <w:adjustRightInd w:val="0"/>
                    <w:snapToGrid w:val="0"/>
                    <w:jc w:val="center"/>
                    <w:rPr>
                      <w:kern w:val="0"/>
                      <w:sz w:val="18"/>
                      <w:szCs w:val="18"/>
                    </w:rPr>
                  </w:pPr>
                  <w:r>
                    <w:rPr>
                      <w:kern w:val="0"/>
                      <w:sz w:val="18"/>
                      <w:szCs w:val="18"/>
                    </w:rPr>
                    <w:t>氟利昂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bCs/>
                      <w:sz w:val="18"/>
                      <w:szCs w:val="18"/>
                    </w:rPr>
                    <w:t>G4</w:t>
                  </w:r>
                </w:p>
              </w:tc>
              <w:tc>
                <w:tcPr>
                  <w:tcW w:w="1074" w:type="pct"/>
                  <w:vAlign w:val="center"/>
                </w:tcPr>
                <w:p>
                  <w:pPr>
                    <w:adjustRightInd w:val="0"/>
                    <w:snapToGrid w:val="0"/>
                    <w:jc w:val="center"/>
                    <w:rPr>
                      <w:kern w:val="0"/>
                      <w:sz w:val="18"/>
                      <w:szCs w:val="18"/>
                    </w:rPr>
                  </w:pPr>
                  <w:r>
                    <w:rPr>
                      <w:bCs/>
                      <w:sz w:val="18"/>
                      <w:szCs w:val="18"/>
                    </w:rPr>
                    <w:t>切割粉尘</w:t>
                  </w:r>
                </w:p>
              </w:tc>
              <w:tc>
                <w:tcPr>
                  <w:tcW w:w="2676" w:type="pct"/>
                  <w:vAlign w:val="center"/>
                </w:tcPr>
                <w:p>
                  <w:pPr>
                    <w:adjustRightInd w:val="0"/>
                    <w:snapToGrid w:val="0"/>
                    <w:jc w:val="center"/>
                    <w:rPr>
                      <w:kern w:val="0"/>
                      <w:sz w:val="18"/>
                      <w:szCs w:val="18"/>
                    </w:rPr>
                  </w:pPr>
                  <w:r>
                    <w:rPr>
                      <w:kern w:val="0"/>
                      <w:sz w:val="18"/>
                      <w:szCs w:val="18"/>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bCs/>
                      <w:sz w:val="18"/>
                      <w:szCs w:val="18"/>
                    </w:rPr>
                  </w:pPr>
                  <w:r>
                    <w:rPr>
                      <w:bCs/>
                      <w:sz w:val="18"/>
                      <w:szCs w:val="18"/>
                    </w:rPr>
                    <w:t>G5</w:t>
                  </w:r>
                </w:p>
              </w:tc>
              <w:tc>
                <w:tcPr>
                  <w:tcW w:w="1074" w:type="pct"/>
                  <w:vAlign w:val="center"/>
                </w:tcPr>
                <w:p>
                  <w:pPr>
                    <w:adjustRightInd w:val="0"/>
                    <w:snapToGrid w:val="0"/>
                    <w:jc w:val="center"/>
                    <w:rPr>
                      <w:bCs/>
                      <w:sz w:val="18"/>
                      <w:szCs w:val="18"/>
                    </w:rPr>
                  </w:pPr>
                  <w:r>
                    <w:rPr>
                      <w:rFonts w:hint="eastAsia"/>
                      <w:bCs/>
                      <w:sz w:val="18"/>
                      <w:szCs w:val="18"/>
                    </w:rPr>
                    <w:t>破碎粉尘</w:t>
                  </w:r>
                </w:p>
              </w:tc>
              <w:tc>
                <w:tcPr>
                  <w:tcW w:w="2676" w:type="pct"/>
                </w:tcPr>
                <w:p>
                  <w:pPr>
                    <w:adjustRightInd w:val="0"/>
                    <w:snapToGrid w:val="0"/>
                    <w:jc w:val="center"/>
                    <w:rPr>
                      <w:kern w:val="0"/>
                      <w:sz w:val="18"/>
                      <w:szCs w:val="18"/>
                    </w:rPr>
                  </w:pPr>
                  <w:r>
                    <w:rPr>
                      <w:kern w:val="0"/>
                      <w:sz w:val="18"/>
                      <w:szCs w:val="18"/>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bCs/>
                      <w:sz w:val="18"/>
                      <w:szCs w:val="18"/>
                    </w:rPr>
                  </w:pPr>
                  <w:r>
                    <w:rPr>
                      <w:bCs/>
                      <w:sz w:val="18"/>
                      <w:szCs w:val="18"/>
                    </w:rPr>
                    <w:t>G6</w:t>
                  </w:r>
                </w:p>
              </w:tc>
              <w:tc>
                <w:tcPr>
                  <w:tcW w:w="1074" w:type="pct"/>
                  <w:vAlign w:val="center"/>
                </w:tcPr>
                <w:p>
                  <w:pPr>
                    <w:adjustRightInd w:val="0"/>
                    <w:snapToGrid w:val="0"/>
                    <w:jc w:val="center"/>
                    <w:rPr>
                      <w:bCs/>
                      <w:sz w:val="18"/>
                      <w:szCs w:val="18"/>
                    </w:rPr>
                  </w:pPr>
                  <w:r>
                    <w:rPr>
                      <w:rFonts w:hint="eastAsia"/>
                      <w:bCs/>
                      <w:sz w:val="18"/>
                      <w:szCs w:val="18"/>
                    </w:rPr>
                    <w:t>食堂油烟</w:t>
                  </w:r>
                </w:p>
              </w:tc>
              <w:tc>
                <w:tcPr>
                  <w:tcW w:w="2676" w:type="pct"/>
                  <w:vAlign w:val="center"/>
                </w:tcPr>
                <w:p>
                  <w:pPr>
                    <w:adjustRightInd w:val="0"/>
                    <w:snapToGrid w:val="0"/>
                    <w:jc w:val="center"/>
                    <w:rPr>
                      <w:kern w:val="0"/>
                      <w:sz w:val="18"/>
                      <w:szCs w:val="18"/>
                    </w:rPr>
                  </w:pPr>
                  <w:r>
                    <w:rPr>
                      <w:rFonts w:hint="eastAsia"/>
                      <w:kern w:val="0"/>
                      <w:sz w:val="18"/>
                      <w:szCs w:val="18"/>
                    </w:rPr>
                    <w:t>油烟、非甲烷总烃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Align w:val="center"/>
                </w:tcPr>
                <w:p>
                  <w:pPr>
                    <w:adjustRightInd w:val="0"/>
                    <w:snapToGrid w:val="0"/>
                    <w:jc w:val="center"/>
                    <w:rPr>
                      <w:kern w:val="0"/>
                      <w:sz w:val="18"/>
                      <w:szCs w:val="18"/>
                    </w:rPr>
                  </w:pPr>
                  <w:r>
                    <w:rPr>
                      <w:kern w:val="0"/>
                      <w:sz w:val="18"/>
                      <w:szCs w:val="18"/>
                    </w:rPr>
                    <w:t>噪声</w:t>
                  </w:r>
                </w:p>
              </w:tc>
              <w:tc>
                <w:tcPr>
                  <w:tcW w:w="439" w:type="pct"/>
                  <w:vAlign w:val="center"/>
                </w:tcPr>
                <w:p>
                  <w:pPr>
                    <w:adjustRightInd w:val="0"/>
                    <w:snapToGrid w:val="0"/>
                    <w:jc w:val="center"/>
                    <w:rPr>
                      <w:kern w:val="0"/>
                      <w:sz w:val="18"/>
                      <w:szCs w:val="18"/>
                    </w:rPr>
                  </w:pPr>
                  <w:r>
                    <w:rPr>
                      <w:kern w:val="0"/>
                      <w:sz w:val="18"/>
                      <w:szCs w:val="18"/>
                    </w:rPr>
                    <w:t>N</w:t>
                  </w:r>
                </w:p>
              </w:tc>
              <w:tc>
                <w:tcPr>
                  <w:tcW w:w="1074" w:type="pct"/>
                  <w:vAlign w:val="center"/>
                </w:tcPr>
                <w:p>
                  <w:pPr>
                    <w:adjustRightInd w:val="0"/>
                    <w:snapToGrid w:val="0"/>
                    <w:jc w:val="center"/>
                    <w:rPr>
                      <w:kern w:val="0"/>
                      <w:sz w:val="18"/>
                      <w:szCs w:val="18"/>
                    </w:rPr>
                  </w:pPr>
                  <w:r>
                    <w:rPr>
                      <w:kern w:val="0"/>
                      <w:sz w:val="18"/>
                      <w:szCs w:val="18"/>
                    </w:rPr>
                    <w:t>各类设备噪声</w:t>
                  </w:r>
                </w:p>
              </w:tc>
              <w:tc>
                <w:tcPr>
                  <w:tcW w:w="2676" w:type="pct"/>
                  <w:vAlign w:val="center"/>
                </w:tcPr>
                <w:p>
                  <w:pPr>
                    <w:adjustRightInd w:val="0"/>
                    <w:snapToGrid w:val="0"/>
                    <w:jc w:val="center"/>
                    <w:rPr>
                      <w:kern w:val="0"/>
                      <w:sz w:val="18"/>
                      <w:szCs w:val="18"/>
                    </w:rPr>
                  </w:pPr>
                  <w:r>
                    <w:rPr>
                      <w:kern w:val="0"/>
                      <w:sz w:val="18"/>
                      <w:szCs w:val="18"/>
                    </w:rPr>
                    <w:t>Lep（A）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16" w:type="pct"/>
                  <w:vMerge w:val="continue"/>
                  <w:vAlign w:val="center"/>
                </w:tcPr>
                <w:p>
                  <w:pPr>
                    <w:widowControl/>
                    <w:jc w:val="center"/>
                    <w:rPr>
                      <w:kern w:val="0"/>
                      <w:sz w:val="18"/>
                      <w:szCs w:val="18"/>
                    </w:rPr>
                  </w:pPr>
                </w:p>
              </w:tc>
              <w:tc>
                <w:tcPr>
                  <w:tcW w:w="395" w:type="pct"/>
                  <w:vMerge w:val="restart"/>
                  <w:vAlign w:val="center"/>
                </w:tcPr>
                <w:p>
                  <w:pPr>
                    <w:adjustRightInd w:val="0"/>
                    <w:snapToGrid w:val="0"/>
                    <w:jc w:val="center"/>
                    <w:rPr>
                      <w:kern w:val="0"/>
                      <w:sz w:val="18"/>
                      <w:szCs w:val="18"/>
                    </w:rPr>
                  </w:pPr>
                  <w:r>
                    <w:rPr>
                      <w:kern w:val="0"/>
                      <w:sz w:val="18"/>
                      <w:szCs w:val="18"/>
                    </w:rPr>
                    <w:t>固废</w:t>
                  </w:r>
                </w:p>
              </w:tc>
              <w:tc>
                <w:tcPr>
                  <w:tcW w:w="439" w:type="pct"/>
                  <w:vAlign w:val="center"/>
                </w:tcPr>
                <w:p>
                  <w:pPr>
                    <w:adjustRightInd w:val="0"/>
                    <w:snapToGrid w:val="0"/>
                    <w:jc w:val="center"/>
                    <w:rPr>
                      <w:iCs/>
                      <w:kern w:val="0"/>
                      <w:sz w:val="18"/>
                      <w:szCs w:val="18"/>
                    </w:rPr>
                  </w:pPr>
                  <w:r>
                    <w:rPr>
                      <w:iCs/>
                      <w:kern w:val="0"/>
                      <w:sz w:val="18"/>
                      <w:szCs w:val="18"/>
                    </w:rPr>
                    <w:t>S1~S13</w:t>
                  </w:r>
                </w:p>
              </w:tc>
              <w:tc>
                <w:tcPr>
                  <w:tcW w:w="1074" w:type="pct"/>
                  <w:vAlign w:val="center"/>
                </w:tcPr>
                <w:p>
                  <w:pPr>
                    <w:adjustRightInd w:val="0"/>
                    <w:snapToGrid w:val="0"/>
                    <w:jc w:val="center"/>
                    <w:rPr>
                      <w:iCs/>
                      <w:kern w:val="0"/>
                      <w:sz w:val="18"/>
                      <w:szCs w:val="18"/>
                    </w:rPr>
                  </w:pPr>
                  <w:r>
                    <w:rPr>
                      <w:iCs/>
                      <w:kern w:val="0"/>
                      <w:sz w:val="18"/>
                      <w:szCs w:val="18"/>
                    </w:rPr>
                    <w:t>报废汽车拆解</w:t>
                  </w:r>
                </w:p>
              </w:tc>
              <w:tc>
                <w:tcPr>
                  <w:tcW w:w="2676" w:type="pct"/>
                  <w:vAlign w:val="center"/>
                </w:tcPr>
                <w:p>
                  <w:pPr>
                    <w:adjustRightInd w:val="0"/>
                    <w:snapToGrid w:val="0"/>
                    <w:jc w:val="center"/>
                    <w:rPr>
                      <w:iCs/>
                      <w:kern w:val="0"/>
                      <w:sz w:val="18"/>
                      <w:szCs w:val="18"/>
                    </w:rPr>
                  </w:pPr>
                  <w:r>
                    <w:rPr>
                      <w:rFonts w:hint="eastAsia"/>
                      <w:iCs/>
                      <w:kern w:val="0"/>
                      <w:sz w:val="18"/>
                      <w:szCs w:val="18"/>
                    </w:rPr>
                    <w:t>危险废物（废铅蓄电池、含多氯联苯的废电容器、废矿物油与含矿物油废物、废电路板及其元件、废机油滤清器、废油箱、石棉废物、含汞废物），一般工业固废（废旧动力蓄电池（不包含铅蓄电池）、废液化气罐、引爆后的安全气囊、废制冷剂）</w:t>
                  </w:r>
                  <w:r>
                    <w:rPr>
                      <w:rFonts w:hint="eastAsia"/>
                      <w:bCs/>
                      <w:sz w:val="18"/>
                      <w:szCs w:val="18"/>
                    </w:rPr>
                    <w:t>、其他废物（破碎的玻璃、轮胎、轮毂、塑料等）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S14</w:t>
                  </w:r>
                </w:p>
              </w:tc>
              <w:tc>
                <w:tcPr>
                  <w:tcW w:w="1074" w:type="pct"/>
                  <w:vAlign w:val="center"/>
                </w:tcPr>
                <w:p>
                  <w:pPr>
                    <w:adjustRightInd w:val="0"/>
                    <w:snapToGrid w:val="0"/>
                    <w:jc w:val="center"/>
                    <w:rPr>
                      <w:kern w:val="0"/>
                      <w:sz w:val="18"/>
                      <w:szCs w:val="18"/>
                    </w:rPr>
                  </w:pPr>
                  <w:r>
                    <w:rPr>
                      <w:rFonts w:hint="eastAsia"/>
                      <w:kern w:val="0"/>
                      <w:sz w:val="18"/>
                      <w:szCs w:val="18"/>
                    </w:rPr>
                    <w:t>污水处理</w:t>
                  </w:r>
                </w:p>
              </w:tc>
              <w:tc>
                <w:tcPr>
                  <w:tcW w:w="2676" w:type="pct"/>
                  <w:vAlign w:val="center"/>
                </w:tcPr>
                <w:p>
                  <w:pPr>
                    <w:adjustRightInd w:val="0"/>
                    <w:snapToGrid w:val="0"/>
                    <w:jc w:val="center"/>
                    <w:rPr>
                      <w:kern w:val="0"/>
                      <w:sz w:val="18"/>
                      <w:szCs w:val="18"/>
                    </w:rPr>
                  </w:pPr>
                  <w:r>
                    <w:rPr>
                      <w:rFonts w:hint="eastAsia"/>
                      <w:iCs/>
                      <w:kern w:val="0"/>
                      <w:sz w:val="18"/>
                      <w:szCs w:val="18"/>
                    </w:rPr>
                    <w:t>污水处理站污泥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S15</w:t>
                  </w:r>
                </w:p>
              </w:tc>
              <w:tc>
                <w:tcPr>
                  <w:tcW w:w="1074" w:type="pct"/>
                  <w:vAlign w:val="center"/>
                </w:tcPr>
                <w:p>
                  <w:pPr>
                    <w:adjustRightInd w:val="0"/>
                    <w:snapToGrid w:val="0"/>
                    <w:jc w:val="center"/>
                    <w:rPr>
                      <w:kern w:val="0"/>
                      <w:sz w:val="18"/>
                      <w:szCs w:val="18"/>
                    </w:rPr>
                  </w:pPr>
                  <w:r>
                    <w:rPr>
                      <w:rFonts w:hint="eastAsia"/>
                      <w:kern w:val="0"/>
                      <w:sz w:val="18"/>
                      <w:szCs w:val="18"/>
                    </w:rPr>
                    <w:t>员工工作</w:t>
                  </w:r>
                </w:p>
              </w:tc>
              <w:tc>
                <w:tcPr>
                  <w:tcW w:w="2676" w:type="pct"/>
                  <w:vAlign w:val="center"/>
                </w:tcPr>
                <w:p>
                  <w:pPr>
                    <w:adjustRightInd w:val="0"/>
                    <w:snapToGrid w:val="0"/>
                    <w:jc w:val="center"/>
                    <w:rPr>
                      <w:kern w:val="0"/>
                      <w:sz w:val="18"/>
                      <w:szCs w:val="18"/>
                    </w:rPr>
                  </w:pPr>
                  <w:r>
                    <w:rPr>
                      <w:rFonts w:hint="eastAsia"/>
                      <w:iCs/>
                      <w:kern w:val="0"/>
                      <w:sz w:val="18"/>
                      <w:szCs w:val="18"/>
                    </w:rPr>
                    <w:t>废含油抹布及劳保用品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w:t>
                  </w:r>
                  <w:r>
                    <w:rPr>
                      <w:kern w:val="0"/>
                      <w:sz w:val="18"/>
                      <w:szCs w:val="18"/>
                    </w:rPr>
                    <w:t>6</w:t>
                  </w:r>
                </w:p>
              </w:tc>
              <w:tc>
                <w:tcPr>
                  <w:tcW w:w="1074" w:type="pct"/>
                  <w:vAlign w:val="center"/>
                </w:tcPr>
                <w:p>
                  <w:pPr>
                    <w:adjustRightInd w:val="0"/>
                    <w:snapToGrid w:val="0"/>
                    <w:jc w:val="center"/>
                    <w:rPr>
                      <w:kern w:val="0"/>
                      <w:sz w:val="18"/>
                      <w:szCs w:val="18"/>
                    </w:rPr>
                  </w:pPr>
                  <w:r>
                    <w:rPr>
                      <w:rFonts w:hint="eastAsia"/>
                      <w:kern w:val="0"/>
                      <w:sz w:val="18"/>
                      <w:szCs w:val="18"/>
                    </w:rPr>
                    <w:t>废气处理设施</w:t>
                  </w:r>
                </w:p>
              </w:tc>
              <w:tc>
                <w:tcPr>
                  <w:tcW w:w="2676" w:type="pct"/>
                  <w:vAlign w:val="center"/>
                </w:tcPr>
                <w:p>
                  <w:pPr>
                    <w:adjustRightInd w:val="0"/>
                    <w:snapToGrid w:val="0"/>
                    <w:jc w:val="center"/>
                    <w:rPr>
                      <w:kern w:val="0"/>
                      <w:sz w:val="18"/>
                      <w:szCs w:val="18"/>
                    </w:rPr>
                  </w:pPr>
                  <w:r>
                    <w:rPr>
                      <w:rFonts w:hint="eastAsia"/>
                      <w:iCs/>
                      <w:kern w:val="0"/>
                      <w:sz w:val="18"/>
                      <w:szCs w:val="18"/>
                    </w:rPr>
                    <w:t>废活性炭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w:t>
                  </w:r>
                  <w:r>
                    <w:rPr>
                      <w:kern w:val="0"/>
                      <w:sz w:val="18"/>
                      <w:szCs w:val="18"/>
                    </w:rPr>
                    <w:t>7</w:t>
                  </w:r>
                </w:p>
              </w:tc>
              <w:tc>
                <w:tcPr>
                  <w:tcW w:w="1074" w:type="pct"/>
                  <w:vAlign w:val="center"/>
                </w:tcPr>
                <w:p>
                  <w:pPr>
                    <w:adjustRightInd w:val="0"/>
                    <w:snapToGrid w:val="0"/>
                    <w:jc w:val="center"/>
                    <w:rPr>
                      <w:kern w:val="0"/>
                      <w:sz w:val="18"/>
                      <w:szCs w:val="18"/>
                    </w:rPr>
                  </w:pPr>
                  <w:r>
                    <w:rPr>
                      <w:rFonts w:hint="eastAsia"/>
                      <w:kern w:val="0"/>
                      <w:sz w:val="18"/>
                      <w:szCs w:val="18"/>
                    </w:rPr>
                    <w:t>原辅料储存</w:t>
                  </w:r>
                </w:p>
              </w:tc>
              <w:tc>
                <w:tcPr>
                  <w:tcW w:w="2676" w:type="pct"/>
                  <w:vAlign w:val="center"/>
                </w:tcPr>
                <w:p>
                  <w:pPr>
                    <w:adjustRightInd w:val="0"/>
                    <w:snapToGrid w:val="0"/>
                    <w:jc w:val="center"/>
                    <w:rPr>
                      <w:kern w:val="0"/>
                      <w:sz w:val="18"/>
                      <w:szCs w:val="18"/>
                    </w:rPr>
                  </w:pPr>
                  <w:r>
                    <w:rPr>
                      <w:rFonts w:hint="eastAsia"/>
                      <w:iCs/>
                      <w:kern w:val="0"/>
                      <w:sz w:val="18"/>
                      <w:szCs w:val="18"/>
                    </w:rPr>
                    <w:t>沾染危化品的废包装材料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w:t>
                  </w:r>
                  <w:r>
                    <w:rPr>
                      <w:kern w:val="0"/>
                      <w:sz w:val="18"/>
                      <w:szCs w:val="18"/>
                    </w:rPr>
                    <w:t>8</w:t>
                  </w:r>
                </w:p>
              </w:tc>
              <w:tc>
                <w:tcPr>
                  <w:tcW w:w="1074" w:type="pct"/>
                  <w:vAlign w:val="center"/>
                </w:tcPr>
                <w:p>
                  <w:pPr>
                    <w:adjustRightInd w:val="0"/>
                    <w:snapToGrid w:val="0"/>
                    <w:jc w:val="center"/>
                    <w:rPr>
                      <w:kern w:val="0"/>
                      <w:sz w:val="18"/>
                      <w:szCs w:val="18"/>
                    </w:rPr>
                  </w:pPr>
                  <w:r>
                    <w:rPr>
                      <w:rFonts w:hint="eastAsia"/>
                      <w:kern w:val="0"/>
                      <w:sz w:val="18"/>
                      <w:szCs w:val="18"/>
                    </w:rPr>
                    <w:t>废气处理设施</w:t>
                  </w:r>
                </w:p>
              </w:tc>
              <w:tc>
                <w:tcPr>
                  <w:tcW w:w="2676" w:type="pct"/>
                  <w:vAlign w:val="center"/>
                </w:tcPr>
                <w:p>
                  <w:pPr>
                    <w:adjustRightInd w:val="0"/>
                    <w:snapToGrid w:val="0"/>
                    <w:jc w:val="center"/>
                    <w:rPr>
                      <w:iCs/>
                      <w:kern w:val="0"/>
                      <w:sz w:val="18"/>
                      <w:szCs w:val="18"/>
                    </w:rPr>
                  </w:pPr>
                  <w:r>
                    <w:rPr>
                      <w:rFonts w:hint="eastAsia"/>
                      <w:iCs/>
                      <w:kern w:val="0"/>
                      <w:sz w:val="18"/>
                      <w:szCs w:val="18"/>
                    </w:rPr>
                    <w:t>布袋除尘器截留粉尘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6" w:type="pct"/>
                  <w:vMerge w:val="continue"/>
                  <w:vAlign w:val="center"/>
                </w:tcPr>
                <w:p>
                  <w:pPr>
                    <w:widowControl/>
                    <w:jc w:val="center"/>
                    <w:rPr>
                      <w:kern w:val="0"/>
                      <w:sz w:val="18"/>
                      <w:szCs w:val="18"/>
                    </w:rPr>
                  </w:pPr>
                </w:p>
              </w:tc>
              <w:tc>
                <w:tcPr>
                  <w:tcW w:w="395" w:type="pct"/>
                  <w:vMerge w:val="continue"/>
                  <w:vAlign w:val="center"/>
                </w:tcPr>
                <w:p>
                  <w:pPr>
                    <w:widowControl/>
                    <w:jc w:val="center"/>
                    <w:rPr>
                      <w:kern w:val="0"/>
                      <w:sz w:val="18"/>
                      <w:szCs w:val="18"/>
                    </w:rPr>
                  </w:pPr>
                </w:p>
              </w:tc>
              <w:tc>
                <w:tcPr>
                  <w:tcW w:w="439" w:type="pct"/>
                  <w:vAlign w:val="center"/>
                </w:tcPr>
                <w:p>
                  <w:pPr>
                    <w:adjustRightInd w:val="0"/>
                    <w:snapToGrid w:val="0"/>
                    <w:jc w:val="center"/>
                    <w:rPr>
                      <w:kern w:val="0"/>
                      <w:sz w:val="18"/>
                      <w:szCs w:val="18"/>
                    </w:rPr>
                  </w:pPr>
                  <w:r>
                    <w:rPr>
                      <w:rFonts w:hint="eastAsia"/>
                      <w:kern w:val="0"/>
                      <w:sz w:val="18"/>
                      <w:szCs w:val="18"/>
                    </w:rPr>
                    <w:t>S1</w:t>
                  </w:r>
                  <w:r>
                    <w:rPr>
                      <w:kern w:val="0"/>
                      <w:sz w:val="18"/>
                      <w:szCs w:val="18"/>
                    </w:rPr>
                    <w:t>9</w:t>
                  </w:r>
                </w:p>
              </w:tc>
              <w:tc>
                <w:tcPr>
                  <w:tcW w:w="1074" w:type="pct"/>
                  <w:vAlign w:val="center"/>
                </w:tcPr>
                <w:p>
                  <w:pPr>
                    <w:adjustRightInd w:val="0"/>
                    <w:snapToGrid w:val="0"/>
                    <w:jc w:val="center"/>
                    <w:rPr>
                      <w:kern w:val="0"/>
                      <w:sz w:val="18"/>
                      <w:szCs w:val="18"/>
                    </w:rPr>
                  </w:pPr>
                  <w:r>
                    <w:rPr>
                      <w:kern w:val="0"/>
                      <w:sz w:val="18"/>
                      <w:szCs w:val="18"/>
                    </w:rPr>
                    <w:t>员工生活</w:t>
                  </w:r>
                </w:p>
              </w:tc>
              <w:tc>
                <w:tcPr>
                  <w:tcW w:w="2676" w:type="pct"/>
                  <w:vAlign w:val="center"/>
                </w:tcPr>
                <w:p>
                  <w:pPr>
                    <w:adjustRightInd w:val="0"/>
                    <w:snapToGrid w:val="0"/>
                    <w:jc w:val="center"/>
                    <w:rPr>
                      <w:iCs/>
                      <w:kern w:val="0"/>
                      <w:sz w:val="18"/>
                      <w:szCs w:val="18"/>
                    </w:rPr>
                  </w:pPr>
                  <w:r>
                    <w:rPr>
                      <w:kern w:val="0"/>
                      <w:sz w:val="18"/>
                      <w:szCs w:val="18"/>
                    </w:rPr>
                    <w:t>生活垃圾</w:t>
                  </w:r>
                </w:p>
              </w:tc>
            </w:tr>
          </w:tbl>
          <w:p>
            <w:pPr>
              <w:pStyle w:val="128"/>
              <w:spacing w:line="480" w:lineRule="exact"/>
              <w:ind w:firstLine="480"/>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02" w:hRule="atLeast"/>
          <w:jc w:val="center"/>
        </w:trPr>
        <w:tc>
          <w:tcPr>
            <w:tcW w:w="823" w:type="dxa"/>
            <w:vAlign w:val="center"/>
          </w:tcPr>
          <w:p>
            <w:pPr>
              <w:pStyle w:val="18"/>
              <w:adjustRightInd w:val="0"/>
              <w:snapToGrid w:val="0"/>
              <w:spacing w:before="0" w:beforeAutospacing="0" w:after="0" w:afterAutospacing="0"/>
              <w:jc w:val="center"/>
              <w:rPr>
                <w:rFonts w:cs="宋体"/>
                <w:sz w:val="21"/>
                <w:szCs w:val="21"/>
              </w:rPr>
            </w:pPr>
            <w:r>
              <w:rPr>
                <w:rFonts w:hint="eastAsia" w:cs="宋体"/>
                <w:bCs/>
                <w:kern w:val="2"/>
                <w:sz w:val="21"/>
                <w:szCs w:val="21"/>
              </w:rPr>
              <w:t>与项目有关的原有环境污染问题</w:t>
            </w:r>
          </w:p>
        </w:tc>
        <w:tc>
          <w:tcPr>
            <w:tcW w:w="8161" w:type="dxa"/>
          </w:tcPr>
          <w:p>
            <w:pPr>
              <w:adjustRightInd w:val="0"/>
              <w:snapToGrid w:val="0"/>
              <w:spacing w:line="480" w:lineRule="exact"/>
              <w:rPr>
                <w:b/>
                <w:bCs/>
                <w:sz w:val="24"/>
              </w:rPr>
            </w:pPr>
            <w:r>
              <w:rPr>
                <w:rFonts w:hint="eastAsia"/>
                <w:b/>
                <w:bCs/>
                <w:sz w:val="24"/>
              </w:rPr>
              <w:t>2.3与项目有关的原有环境污染问题</w:t>
            </w:r>
          </w:p>
          <w:p>
            <w:pPr>
              <w:spacing w:line="480" w:lineRule="exact"/>
              <w:ind w:firstLine="480" w:firstLineChars="200"/>
              <w:rPr>
                <w:bCs/>
                <w:sz w:val="24"/>
              </w:rPr>
            </w:pPr>
            <w:r>
              <w:rPr>
                <w:rFonts w:hint="eastAsia"/>
                <w:bCs/>
                <w:sz w:val="24"/>
              </w:rPr>
              <w:t>重庆集健再生资源回收有限责任公司重庆集健再生资源有限责任公司报废机动车回收拆解再利用项目选址于重庆市大足区邮亭镇工业园区A7-01/01地块，根据现场踏勘，目前项目所在地为未开发用地，不存在原有污染情况及环境问题。</w:t>
            </w: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p>
            <w:pPr>
              <w:spacing w:line="480" w:lineRule="exact"/>
              <w:ind w:firstLine="480" w:firstLineChars="200"/>
              <w:rPr>
                <w:bCs/>
                <w:sz w:val="24"/>
              </w:rPr>
            </w:pPr>
          </w:p>
        </w:tc>
      </w:tr>
    </w:tbl>
    <w:p>
      <w:pPr>
        <w:spacing w:line="500" w:lineRule="exact"/>
        <w:ind w:firstLine="360" w:firstLineChars="200"/>
        <w:jc w:val="center"/>
        <w:rPr>
          <w:sz w:val="18"/>
          <w:szCs w:val="18"/>
        </w:rPr>
        <w:sectPr>
          <w:pgSz w:w="11907" w:h="16840"/>
          <w:pgMar w:top="1701" w:right="1531" w:bottom="2127" w:left="1531" w:header="851" w:footer="851" w:gutter="0"/>
          <w:cols w:space="720" w:num="1"/>
          <w:docGrid w:linePitch="312" w:charSpace="0"/>
        </w:sectPr>
      </w:pPr>
    </w:p>
    <w:p>
      <w:pPr>
        <w:pStyle w:val="18"/>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区域</w:t>
            </w:r>
          </w:p>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质量</w:t>
            </w:r>
          </w:p>
          <w:p>
            <w:pPr>
              <w:adjustRightInd w:val="0"/>
              <w:snapToGrid w:val="0"/>
              <w:jc w:val="center"/>
              <w:rPr>
                <w:rFonts w:ascii="宋体" w:hAnsi="宋体" w:cs="宋体"/>
                <w:kern w:val="0"/>
                <w:szCs w:val="21"/>
              </w:rPr>
            </w:pPr>
            <w:r>
              <w:rPr>
                <w:rFonts w:hint="eastAsia" w:ascii="宋体" w:hAnsi="宋体" w:cs="宋体"/>
                <w:kern w:val="0"/>
                <w:szCs w:val="21"/>
              </w:rPr>
              <w:t>现状</w:t>
            </w:r>
          </w:p>
        </w:tc>
        <w:tc>
          <w:tcPr>
            <w:tcW w:w="8190" w:type="dxa"/>
            <w:vAlign w:val="center"/>
          </w:tcPr>
          <w:p>
            <w:pPr>
              <w:pStyle w:val="50"/>
              <w:ind w:firstLine="0" w:firstLineChars="0"/>
              <w:rPr>
                <w:b/>
                <w:szCs w:val="24"/>
                <w:lang w:eastAsia="zh-CN"/>
              </w:rPr>
            </w:pPr>
            <w:r>
              <w:rPr>
                <w:b/>
                <w:szCs w:val="24"/>
                <w:lang w:eastAsia="zh-CN"/>
              </w:rPr>
              <w:t>3.1</w:t>
            </w:r>
            <w:r>
              <w:rPr>
                <w:rFonts w:hint="eastAsia"/>
                <w:b/>
                <w:szCs w:val="24"/>
                <w:lang w:eastAsia="zh-CN"/>
              </w:rPr>
              <w:t>区域环境质量现状</w:t>
            </w:r>
          </w:p>
          <w:p>
            <w:pPr>
              <w:pStyle w:val="2"/>
              <w:spacing w:after="120"/>
              <w:rPr>
                <w:color w:val="auto"/>
                <w:sz w:val="24"/>
                <w:szCs w:val="24"/>
              </w:rPr>
            </w:pPr>
            <w:r>
              <w:rPr>
                <w:color w:val="auto"/>
                <w:sz w:val="24"/>
                <w:szCs w:val="24"/>
              </w:rPr>
              <w:t>3.1.1</w:t>
            </w:r>
            <w:r>
              <w:rPr>
                <w:rFonts w:asciiTheme="minorEastAsia" w:hAnsiTheme="minorEastAsia" w:eastAsiaTheme="minorEastAsia"/>
                <w:color w:val="auto"/>
                <w:sz w:val="24"/>
                <w:szCs w:val="24"/>
              </w:rPr>
              <w:t>环境空气质量现状</w:t>
            </w:r>
          </w:p>
          <w:p>
            <w:pPr>
              <w:ind w:firstLine="480" w:firstLineChars="200"/>
              <w:rPr>
                <w:sz w:val="24"/>
              </w:rPr>
            </w:pPr>
            <w:r>
              <w:rPr>
                <w:sz w:val="24"/>
              </w:rPr>
              <w:t>（1）空气质量达标区判定</w:t>
            </w:r>
          </w:p>
          <w:p>
            <w:pPr>
              <w:snapToGrid w:val="0"/>
              <w:spacing w:line="480" w:lineRule="exact"/>
              <w:ind w:firstLine="480" w:firstLineChars="200"/>
              <w:rPr>
                <w:sz w:val="24"/>
              </w:rPr>
            </w:pPr>
            <w:r>
              <w:rPr>
                <w:sz w:val="24"/>
              </w:rPr>
              <w:t>拟建项目位于重庆市大足区邮亭镇工业园区A7-01/01地块，属于《重庆市人民政府关于印发重庆市环境空气质量功能区划分规定的通知》（渝府发〔2016〕19号）中规定的二类区，环境空气质量执行二类区标准。</w:t>
            </w:r>
          </w:p>
          <w:p>
            <w:pPr>
              <w:pStyle w:val="50"/>
              <w:ind w:firstLine="480"/>
              <w:rPr>
                <w:szCs w:val="24"/>
                <w:lang w:eastAsia="zh-CN"/>
              </w:rPr>
            </w:pPr>
            <w:r>
              <w:rPr>
                <w:szCs w:val="24"/>
                <w:lang w:eastAsia="zh-CN"/>
              </w:rPr>
              <w:t>本次评价引用《20</w:t>
            </w:r>
            <w:r>
              <w:rPr>
                <w:rFonts w:hint="eastAsia"/>
                <w:szCs w:val="24"/>
                <w:lang w:eastAsia="zh-CN"/>
              </w:rPr>
              <w:t>21</w:t>
            </w:r>
            <w:r>
              <w:rPr>
                <w:szCs w:val="24"/>
                <w:lang w:eastAsia="zh-CN"/>
              </w:rPr>
              <w:t>重庆市生态环境状况公报》对</w:t>
            </w:r>
            <w:r>
              <w:rPr>
                <w:rFonts w:hint="eastAsia"/>
                <w:szCs w:val="24"/>
                <w:lang w:eastAsia="zh-CN"/>
              </w:rPr>
              <w:t>大足区</w:t>
            </w:r>
            <w:r>
              <w:rPr>
                <w:szCs w:val="24"/>
                <w:lang w:eastAsia="zh-CN"/>
              </w:rPr>
              <w:t>常规因子SO</w:t>
            </w:r>
            <w:r>
              <w:rPr>
                <w:szCs w:val="24"/>
                <w:vertAlign w:val="subscript"/>
                <w:lang w:eastAsia="zh-CN"/>
              </w:rPr>
              <w:t>2</w:t>
            </w:r>
            <w:r>
              <w:rPr>
                <w:szCs w:val="24"/>
                <w:lang w:eastAsia="zh-CN"/>
              </w:rPr>
              <w:t>、NO</w:t>
            </w:r>
            <w:r>
              <w:rPr>
                <w:szCs w:val="24"/>
                <w:vertAlign w:val="subscript"/>
                <w:lang w:eastAsia="zh-CN"/>
              </w:rPr>
              <w:t>2</w:t>
            </w:r>
            <w:r>
              <w:rPr>
                <w:szCs w:val="24"/>
                <w:lang w:eastAsia="zh-CN"/>
              </w:rPr>
              <w:t>、PM</w:t>
            </w:r>
            <w:r>
              <w:rPr>
                <w:szCs w:val="24"/>
                <w:vertAlign w:val="subscript"/>
                <w:lang w:eastAsia="zh-CN"/>
              </w:rPr>
              <w:t>10</w:t>
            </w:r>
            <w:r>
              <w:rPr>
                <w:szCs w:val="24"/>
                <w:lang w:eastAsia="zh-CN"/>
              </w:rPr>
              <w:t>、PM</w:t>
            </w:r>
            <w:r>
              <w:rPr>
                <w:szCs w:val="24"/>
                <w:vertAlign w:val="subscript"/>
                <w:lang w:eastAsia="zh-CN"/>
              </w:rPr>
              <w:t>2.5</w:t>
            </w:r>
            <w:r>
              <w:rPr>
                <w:szCs w:val="24"/>
                <w:lang w:eastAsia="zh-CN"/>
              </w:rPr>
              <w:t>、CO、O</w:t>
            </w:r>
            <w:r>
              <w:rPr>
                <w:szCs w:val="24"/>
                <w:vertAlign w:val="subscript"/>
                <w:lang w:eastAsia="zh-CN"/>
              </w:rPr>
              <w:t>3</w:t>
            </w:r>
            <w:r>
              <w:rPr>
                <w:szCs w:val="24"/>
                <w:lang w:eastAsia="zh-CN"/>
              </w:rPr>
              <w:t>进行区域达标判定。区域环境空气质量达标判定详见下表3.1-1。</w:t>
            </w:r>
          </w:p>
          <w:p>
            <w:pPr>
              <w:pStyle w:val="45"/>
              <w:spacing w:before="0" w:afterLines="0" w:line="360" w:lineRule="auto"/>
              <w:ind w:firstLine="482"/>
              <w:rPr>
                <w:rFonts w:ascii="Times New Roman" w:hAnsi="Times New Roman"/>
                <w:sz w:val="18"/>
                <w:szCs w:val="18"/>
              </w:rPr>
            </w:pPr>
            <w:r>
              <w:rPr>
                <w:rFonts w:ascii="Times New Roman" w:hAnsi="Times New Roman"/>
                <w:sz w:val="18"/>
                <w:szCs w:val="18"/>
              </w:rPr>
              <w:t>表3.1-1  区域空气质量现状评价表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768"/>
              <w:gridCol w:w="1221"/>
              <w:gridCol w:w="1351"/>
              <w:gridCol w:w="131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污染物</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年评价指标</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 w:val="18"/>
                      <w:szCs w:val="18"/>
                    </w:rPr>
                  </w:pPr>
                  <w:r>
                    <w:rPr>
                      <w:kern w:val="0"/>
                      <w:sz w:val="18"/>
                      <w:szCs w:val="18"/>
                    </w:rPr>
                    <w:t>现状浓度（μg/m</w:t>
                  </w:r>
                  <w:r>
                    <w:rPr>
                      <w:kern w:val="0"/>
                      <w:sz w:val="18"/>
                      <w:szCs w:val="18"/>
                      <w:vertAlign w:val="superscript"/>
                    </w:rPr>
                    <w:t>3</w:t>
                  </w:r>
                  <w:r>
                    <w:rPr>
                      <w:kern w:val="0"/>
                      <w:sz w:val="18"/>
                      <w:szCs w:val="18"/>
                    </w:rPr>
                    <w:t>）</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kern w:val="0"/>
                      <w:sz w:val="18"/>
                      <w:szCs w:val="18"/>
                    </w:rPr>
                  </w:pPr>
                  <w:r>
                    <w:rPr>
                      <w:kern w:val="0"/>
                      <w:sz w:val="18"/>
                      <w:szCs w:val="18"/>
                    </w:rPr>
                    <w:t>标准值（μg/m</w:t>
                  </w:r>
                  <w:r>
                    <w:rPr>
                      <w:kern w:val="0"/>
                      <w:sz w:val="18"/>
                      <w:szCs w:val="18"/>
                      <w:vertAlign w:val="superscript"/>
                    </w:rPr>
                    <w:t>3</w:t>
                  </w:r>
                  <w:r>
                    <w:rPr>
                      <w:kern w:val="0"/>
                      <w:sz w:val="18"/>
                      <w:szCs w:val="18"/>
                    </w:rPr>
                    <w:t>）</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占标率（%）</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PM</w:t>
                  </w:r>
                  <w:r>
                    <w:rPr>
                      <w:kern w:val="0"/>
                      <w:sz w:val="18"/>
                      <w:szCs w:val="18"/>
                      <w:vertAlign w:val="subscript"/>
                    </w:rPr>
                    <w:t>10</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年日均值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43</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70</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61%</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SO</w:t>
                  </w:r>
                  <w:r>
                    <w:rPr>
                      <w:kern w:val="0"/>
                      <w:sz w:val="18"/>
                      <w:szCs w:val="18"/>
                      <w:vertAlign w:val="subscript"/>
                    </w:rPr>
                    <w:t>2</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年日均值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12</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60</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20%</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NO</w:t>
                  </w:r>
                  <w:r>
                    <w:rPr>
                      <w:kern w:val="0"/>
                      <w:sz w:val="18"/>
                      <w:szCs w:val="18"/>
                      <w:vertAlign w:val="subscript"/>
                    </w:rPr>
                    <w:t>2</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年日均值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14</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40</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35%</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PM</w:t>
                  </w:r>
                  <w:r>
                    <w:rPr>
                      <w:kern w:val="0"/>
                      <w:sz w:val="18"/>
                      <w:szCs w:val="18"/>
                      <w:vertAlign w:val="subscript"/>
                    </w:rPr>
                    <w:t>2.5</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年日均值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33</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35</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94%</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O</w:t>
                  </w:r>
                  <w:r>
                    <w:rPr>
                      <w:kern w:val="0"/>
                      <w:sz w:val="18"/>
                      <w:szCs w:val="18"/>
                      <w:vertAlign w:val="subscript"/>
                    </w:rPr>
                    <w:t>3</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日最大8h平均值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128</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160</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80%</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z w:val="18"/>
                      <w:szCs w:val="18"/>
                    </w:rPr>
                  </w:pPr>
                  <w:r>
                    <w:rPr>
                      <w:kern w:val="0"/>
                      <w:sz w:val="18"/>
                      <w:szCs w:val="18"/>
                    </w:rPr>
                    <w:t>CO</w:t>
                  </w:r>
                </w:p>
              </w:tc>
              <w:tc>
                <w:tcPr>
                  <w:tcW w:w="176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24小时平均值</w:t>
                  </w:r>
                </w:p>
              </w:tc>
              <w:tc>
                <w:tcPr>
                  <w:tcW w:w="122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0.9</w:t>
                  </w:r>
                  <w:r>
                    <w:rPr>
                      <w:rFonts w:hint="eastAsia"/>
                      <w:kern w:val="0"/>
                      <w:sz w:val="18"/>
                      <w:szCs w:val="18"/>
                    </w:rPr>
                    <w:t>m</w:t>
                  </w:r>
                  <w:r>
                    <w:rPr>
                      <w:kern w:val="0"/>
                      <w:sz w:val="18"/>
                      <w:szCs w:val="18"/>
                    </w:rPr>
                    <w:t>g/m</w:t>
                  </w:r>
                  <w:r>
                    <w:rPr>
                      <w:kern w:val="0"/>
                      <w:sz w:val="18"/>
                      <w:szCs w:val="18"/>
                      <w:vertAlign w:val="superscript"/>
                    </w:rPr>
                    <w:t>3</w:t>
                  </w:r>
                </w:p>
              </w:tc>
              <w:tc>
                <w:tcPr>
                  <w:tcW w:w="135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4</w:t>
                  </w:r>
                  <w:r>
                    <w:rPr>
                      <w:rFonts w:hint="eastAsia"/>
                      <w:kern w:val="0"/>
                      <w:sz w:val="18"/>
                      <w:szCs w:val="18"/>
                    </w:rPr>
                    <w:t xml:space="preserve"> m</w:t>
                  </w:r>
                  <w:r>
                    <w:rPr>
                      <w:kern w:val="0"/>
                      <w:sz w:val="18"/>
                      <w:szCs w:val="18"/>
                    </w:rPr>
                    <w:t>g/m</w:t>
                  </w:r>
                  <w:r>
                    <w:rPr>
                      <w:kern w:val="0"/>
                      <w:sz w:val="18"/>
                      <w:szCs w:val="18"/>
                      <w:vertAlign w:val="superscript"/>
                    </w:rPr>
                    <w:t>3</w:t>
                  </w:r>
                </w:p>
              </w:tc>
              <w:tc>
                <w:tcPr>
                  <w:tcW w:w="1318"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23%</w:t>
                  </w:r>
                </w:p>
              </w:tc>
              <w:tc>
                <w:tcPr>
                  <w:tcW w:w="1281" w:type="dxa"/>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sz w:val="18"/>
                      <w:szCs w:val="18"/>
                    </w:rPr>
                    <w:t>达标</w:t>
                  </w:r>
                </w:p>
              </w:tc>
            </w:tr>
          </w:tbl>
          <w:p>
            <w:pPr>
              <w:pStyle w:val="50"/>
              <w:spacing w:before="120" w:beforeLines="50" w:line="360" w:lineRule="auto"/>
              <w:ind w:firstLine="480"/>
              <w:rPr>
                <w:kern w:val="2"/>
                <w:szCs w:val="24"/>
                <w:lang w:eastAsia="zh-CN"/>
              </w:rPr>
            </w:pPr>
            <w:r>
              <w:rPr>
                <w:rFonts w:hint="eastAsia"/>
                <w:kern w:val="2"/>
                <w:szCs w:val="24"/>
                <w:lang w:eastAsia="zh-CN"/>
              </w:rPr>
              <w:t>由上表3.1-1可知，拟建项目所在</w:t>
            </w:r>
            <w:r>
              <w:rPr>
                <w:rFonts w:hint="eastAsia"/>
                <w:szCs w:val="24"/>
                <w:lang w:eastAsia="zh-CN"/>
              </w:rPr>
              <w:t>大足区</w:t>
            </w:r>
            <w:r>
              <w:rPr>
                <w:rFonts w:hint="eastAsia"/>
                <w:kern w:val="2"/>
                <w:szCs w:val="24"/>
                <w:lang w:eastAsia="zh-CN"/>
              </w:rPr>
              <w:t>环境空气常规因子均满足《环境空气质量标准》(GB3095-2012)二级标准。因此，</w:t>
            </w:r>
            <w:r>
              <w:rPr>
                <w:rFonts w:hint="eastAsia"/>
                <w:szCs w:val="24"/>
                <w:lang w:eastAsia="zh-CN"/>
              </w:rPr>
              <w:t>大足区</w:t>
            </w:r>
            <w:r>
              <w:rPr>
                <w:rFonts w:hint="eastAsia"/>
                <w:kern w:val="2"/>
                <w:szCs w:val="24"/>
                <w:lang w:eastAsia="zh-CN"/>
              </w:rPr>
              <w:t>环境空气质量达标，为达标区。</w:t>
            </w:r>
          </w:p>
          <w:p>
            <w:pPr>
              <w:pStyle w:val="50"/>
              <w:spacing w:line="360" w:lineRule="auto"/>
              <w:ind w:firstLine="480"/>
              <w:rPr>
                <w:lang w:eastAsia="zh-CN"/>
              </w:rPr>
            </w:pPr>
            <w:r>
              <w:rPr>
                <w:rFonts w:hint="eastAsia"/>
                <w:lang w:eastAsia="zh-CN"/>
              </w:rPr>
              <w:t>（2）污染物环境质量现状评价</w:t>
            </w:r>
          </w:p>
          <w:p>
            <w:pPr>
              <w:pStyle w:val="50"/>
              <w:ind w:firstLine="480"/>
              <w:rPr>
                <w:lang w:eastAsia="zh-CN"/>
              </w:rPr>
            </w:pPr>
            <w:r>
              <w:rPr>
                <w:lang w:eastAsia="zh-CN"/>
              </w:rPr>
              <w:t>根据本项目特点和地理位置，环境质量现状评价可采用3年内所在区域已有有效监测数据进行分析。拟建项目环境空气质量现状非甲烷总烃引用</w:t>
            </w:r>
            <w:r>
              <w:rPr>
                <w:rFonts w:hint="eastAsia"/>
                <w:lang w:eastAsia="zh-CN"/>
              </w:rPr>
              <w:t>《重庆瀚渝再生资源有限公司危险废物资源化利用改扩建项目》中《监测报告》（新环（检）字[2021]第HP0069号）石盘村A2的监测数据进行环境空气质量现状评价。</w:t>
            </w:r>
          </w:p>
          <w:p>
            <w:pPr>
              <w:spacing w:line="480" w:lineRule="exact"/>
              <w:ind w:firstLine="480" w:firstLineChars="200"/>
              <w:rPr>
                <w:sz w:val="24"/>
              </w:rPr>
            </w:pPr>
            <w:r>
              <w:rPr>
                <w:sz w:val="24"/>
              </w:rPr>
              <w:t>本次评价所引用环境空气监测点处于拟建项目</w:t>
            </w:r>
            <w:r>
              <w:rPr>
                <w:rFonts w:hint="eastAsia"/>
                <w:sz w:val="24"/>
              </w:rPr>
              <w:t>西南侧</w:t>
            </w:r>
            <w:r>
              <w:rPr>
                <w:sz w:val="24"/>
              </w:rPr>
              <w:t>约2.225km处，监测点监测时间均在3年有效期内。因此，本次评价所引用环境监测数据能反映区域内环境质量现状，引用合理可行。</w:t>
            </w:r>
          </w:p>
          <w:p>
            <w:pPr>
              <w:pStyle w:val="2"/>
              <w:numPr>
                <w:ilvl w:val="0"/>
                <w:numId w:val="2"/>
              </w:numPr>
              <w:spacing w:before="0" w:after="0" w:line="480" w:lineRule="exact"/>
              <w:rPr>
                <w:rFonts w:eastAsia="宋体"/>
                <w:b w:val="0"/>
                <w:bCs w:val="0"/>
                <w:color w:val="auto"/>
                <w:kern w:val="2"/>
                <w:sz w:val="24"/>
                <w:szCs w:val="24"/>
              </w:rPr>
            </w:pPr>
            <w:r>
              <w:rPr>
                <w:rFonts w:hint="eastAsia" w:eastAsia="宋体"/>
                <w:b w:val="0"/>
                <w:bCs w:val="0"/>
                <w:color w:val="auto"/>
                <w:kern w:val="2"/>
                <w:sz w:val="24"/>
                <w:szCs w:val="24"/>
              </w:rPr>
              <w:t>监测布点：本次评价监测布点情况详见下表3.1-2。</w:t>
            </w:r>
          </w:p>
          <w:p>
            <w:pPr>
              <w:snapToGrid w:val="0"/>
              <w:spacing w:line="480" w:lineRule="exact"/>
              <w:jc w:val="center"/>
              <w:rPr>
                <w:szCs w:val="21"/>
              </w:rPr>
            </w:pPr>
            <w:r>
              <w:rPr>
                <w:rFonts w:hint="eastAsia"/>
                <w:szCs w:val="21"/>
              </w:rPr>
              <w:t>表3.1-2 环境空气监测布点情况一览表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851"/>
              <w:gridCol w:w="709"/>
              <w:gridCol w:w="1134"/>
              <w:gridCol w:w="2126"/>
              <w:gridCol w:w="839"/>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pct"/>
                  <w:vMerge w:val="restar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监测点名称</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监测点坐标</w:t>
                  </w:r>
                </w:p>
              </w:tc>
              <w:tc>
                <w:tcPr>
                  <w:tcW w:w="712" w:type="pct"/>
                  <w:vMerge w:val="restar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监测因子</w:t>
                  </w:r>
                </w:p>
              </w:tc>
              <w:tc>
                <w:tcPr>
                  <w:tcW w:w="1335" w:type="pct"/>
                  <w:vMerge w:val="restar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监测时段</w:t>
                  </w:r>
                </w:p>
              </w:tc>
              <w:tc>
                <w:tcPr>
                  <w:tcW w:w="527" w:type="pct"/>
                  <w:vMerge w:val="restar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相对厂址方位</w:t>
                  </w:r>
                </w:p>
              </w:tc>
              <w:tc>
                <w:tcPr>
                  <w:tcW w:w="632" w:type="pct"/>
                  <w:vMerge w:val="restar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相对厂界距离/km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 w:hRule="atLeast"/>
                <w:jc w:val="center"/>
              </w:trPr>
              <w:tc>
                <w:tcPr>
                  <w:tcW w:w="815" w:type="pct"/>
                  <w:vMerge w:val="continue"/>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p>
              </w:tc>
              <w:tc>
                <w:tcPr>
                  <w:tcW w:w="534"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纬度</w:t>
                  </w:r>
                </w:p>
              </w:tc>
              <w:tc>
                <w:tcPr>
                  <w:tcW w:w="445"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经度</w:t>
                  </w:r>
                </w:p>
              </w:tc>
              <w:tc>
                <w:tcPr>
                  <w:tcW w:w="712" w:type="pct"/>
                  <w:vMerge w:val="continue"/>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p>
              </w:tc>
              <w:tc>
                <w:tcPr>
                  <w:tcW w:w="1335" w:type="pct"/>
                  <w:vMerge w:val="continue"/>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p>
              </w:tc>
              <w:tc>
                <w:tcPr>
                  <w:tcW w:w="527" w:type="pct"/>
                  <w:vMerge w:val="continue"/>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p>
              </w:tc>
              <w:tc>
                <w:tcPr>
                  <w:tcW w:w="632" w:type="pct"/>
                  <w:vMerge w:val="continue"/>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5"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cs="Times New Roman"/>
                      <w:sz w:val="18"/>
                      <w:szCs w:val="18"/>
                    </w:rPr>
                    <w:t>石盘村A2</w:t>
                  </w:r>
                </w:p>
              </w:tc>
              <w:tc>
                <w:tcPr>
                  <w:tcW w:w="534" w:type="pct"/>
                  <w:tcBorders>
                    <w:top w:val="single" w:color="auto" w:sz="4" w:space="0"/>
                    <w:left w:val="single" w:color="auto" w:sz="4" w:space="0"/>
                    <w:bottom w:val="single" w:color="auto" w:sz="4" w:space="0"/>
                    <w:right w:val="single" w:color="auto" w:sz="4" w:space="0"/>
                  </w:tcBorders>
                </w:tcPr>
                <w:p>
                  <w:pPr>
                    <w:pStyle w:val="63"/>
                    <w:spacing w:line="240" w:lineRule="exact"/>
                    <w:rPr>
                      <w:rFonts w:cs="Times New Roman"/>
                      <w:sz w:val="18"/>
                      <w:szCs w:val="18"/>
                    </w:rPr>
                  </w:pPr>
                  <w:r>
                    <w:rPr>
                      <w:sz w:val="18"/>
                      <w:szCs w:val="18"/>
                    </w:rPr>
                    <w:t>-1225</w:t>
                  </w:r>
                </w:p>
              </w:tc>
              <w:tc>
                <w:tcPr>
                  <w:tcW w:w="445" w:type="pct"/>
                  <w:tcBorders>
                    <w:top w:val="single" w:color="auto" w:sz="4" w:space="0"/>
                    <w:left w:val="single" w:color="auto" w:sz="4" w:space="0"/>
                    <w:bottom w:val="single" w:color="auto" w:sz="4" w:space="0"/>
                    <w:right w:val="single" w:color="auto" w:sz="4" w:space="0"/>
                  </w:tcBorders>
                </w:tcPr>
                <w:p>
                  <w:pPr>
                    <w:pStyle w:val="63"/>
                    <w:spacing w:line="240" w:lineRule="exact"/>
                    <w:rPr>
                      <w:rFonts w:cs="Times New Roman"/>
                      <w:sz w:val="18"/>
                      <w:szCs w:val="18"/>
                    </w:rPr>
                  </w:pPr>
                  <w:r>
                    <w:rPr>
                      <w:sz w:val="18"/>
                      <w:szCs w:val="18"/>
                    </w:rPr>
                    <w:t>-1825</w:t>
                  </w:r>
                </w:p>
              </w:tc>
              <w:tc>
                <w:tcPr>
                  <w:tcW w:w="712"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cs="Times New Roman"/>
                      <w:sz w:val="18"/>
                      <w:szCs w:val="18"/>
                    </w:rPr>
                    <w:t>非甲烷总烃</w:t>
                  </w:r>
                </w:p>
              </w:tc>
              <w:tc>
                <w:tcPr>
                  <w:tcW w:w="1335"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cs="Times New Roman"/>
                      <w:sz w:val="18"/>
                      <w:szCs w:val="18"/>
                    </w:rPr>
                    <w:t>2021年6月18日~24日</w:t>
                  </w:r>
                </w:p>
              </w:tc>
              <w:tc>
                <w:tcPr>
                  <w:tcW w:w="527"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rFonts w:hint="eastAsia" w:cs="Times New Roman"/>
                      <w:sz w:val="18"/>
                      <w:szCs w:val="18"/>
                    </w:rPr>
                    <w:t>SW</w:t>
                  </w:r>
                </w:p>
              </w:tc>
              <w:tc>
                <w:tcPr>
                  <w:tcW w:w="632" w:type="pct"/>
                  <w:tcBorders>
                    <w:top w:val="single" w:color="auto" w:sz="4" w:space="0"/>
                    <w:left w:val="single" w:color="auto" w:sz="4" w:space="0"/>
                    <w:bottom w:val="single" w:color="auto" w:sz="4" w:space="0"/>
                    <w:right w:val="single" w:color="auto" w:sz="4" w:space="0"/>
                  </w:tcBorders>
                  <w:vAlign w:val="center"/>
                </w:tcPr>
                <w:p>
                  <w:pPr>
                    <w:pStyle w:val="63"/>
                    <w:spacing w:line="240" w:lineRule="exact"/>
                    <w:rPr>
                      <w:rFonts w:cs="Times New Roman"/>
                      <w:sz w:val="18"/>
                      <w:szCs w:val="18"/>
                    </w:rPr>
                  </w:pPr>
                  <w:r>
                    <w:rPr>
                      <w:sz w:val="18"/>
                      <w:szCs w:val="18"/>
                    </w:rPr>
                    <w:t>2.225</w:t>
                  </w:r>
                </w:p>
              </w:tc>
            </w:tr>
          </w:tbl>
          <w:p>
            <w:pPr>
              <w:spacing w:line="360" w:lineRule="auto"/>
              <w:ind w:firstLine="480" w:firstLineChars="200"/>
              <w:rPr>
                <w:sz w:val="24"/>
              </w:rPr>
            </w:pPr>
            <w:r>
              <w:rPr>
                <w:sz w:val="24"/>
              </w:rPr>
              <w:t>2）监测频率</w:t>
            </w:r>
          </w:p>
          <w:p>
            <w:pPr>
              <w:snapToGrid w:val="0"/>
              <w:spacing w:line="360" w:lineRule="auto"/>
              <w:ind w:firstLine="480" w:firstLineChars="200"/>
              <w:rPr>
                <w:sz w:val="24"/>
              </w:rPr>
            </w:pPr>
            <w:r>
              <w:rPr>
                <w:sz w:val="24"/>
              </w:rPr>
              <w:t>非甲烷总烃连续监测</w:t>
            </w:r>
            <w:r>
              <w:rPr>
                <w:rFonts w:hint="eastAsia"/>
                <w:sz w:val="24"/>
              </w:rPr>
              <w:t>7</w:t>
            </w:r>
            <w:r>
              <w:rPr>
                <w:sz w:val="24"/>
              </w:rPr>
              <w:t>天，监测小时值。</w:t>
            </w:r>
          </w:p>
          <w:p>
            <w:pPr>
              <w:snapToGrid w:val="0"/>
              <w:spacing w:line="360" w:lineRule="auto"/>
              <w:ind w:firstLine="480" w:firstLineChars="200"/>
              <w:rPr>
                <w:sz w:val="24"/>
              </w:rPr>
            </w:pPr>
            <w:r>
              <w:rPr>
                <w:rFonts w:hint="eastAsia"/>
                <w:sz w:val="24"/>
              </w:rPr>
              <w:t>3）评价方法</w:t>
            </w:r>
          </w:p>
          <w:p>
            <w:pPr>
              <w:snapToGrid w:val="0"/>
              <w:spacing w:line="360" w:lineRule="auto"/>
              <w:ind w:firstLine="480" w:firstLineChars="200"/>
              <w:rPr>
                <w:sz w:val="24"/>
              </w:rPr>
            </w:pPr>
            <w:r>
              <w:rPr>
                <w:rFonts w:hint="eastAsia"/>
                <w:sz w:val="24"/>
              </w:rPr>
              <w:t>根据《环境影响评价技术导则大气环境》，可通过计算污染物的占标率对其进行现状评价，具体的计算公式如下：</w:t>
            </w:r>
          </w:p>
          <w:p>
            <w:pPr>
              <w:snapToGrid w:val="0"/>
              <w:spacing w:line="480" w:lineRule="exact"/>
              <w:jc w:val="center"/>
              <w:rPr>
                <w:sz w:val="24"/>
              </w:rPr>
            </w:pPr>
            <w:r>
              <w:rPr>
                <w:sz w:val="24"/>
              </w:rPr>
              <w:t>P</w:t>
            </w:r>
            <w:r>
              <w:rPr>
                <w:sz w:val="24"/>
                <w:vertAlign w:val="subscript"/>
              </w:rPr>
              <w:t>i</w:t>
            </w:r>
            <w:r>
              <w:rPr>
                <w:sz w:val="24"/>
              </w:rPr>
              <w:t>=C</w:t>
            </w:r>
            <w:r>
              <w:rPr>
                <w:sz w:val="24"/>
                <w:vertAlign w:val="subscript"/>
              </w:rPr>
              <w:t>i</w:t>
            </w:r>
            <w:r>
              <w:rPr>
                <w:sz w:val="24"/>
              </w:rPr>
              <w:t>/C</w:t>
            </w:r>
            <w:r>
              <w:rPr>
                <w:sz w:val="24"/>
                <w:vertAlign w:val="subscript"/>
              </w:rPr>
              <w:t>0i</w:t>
            </w:r>
            <w:r>
              <w:rPr>
                <w:sz w:val="24"/>
              </w:rPr>
              <w:t>×100%</w:t>
            </w:r>
          </w:p>
          <w:p>
            <w:pPr>
              <w:snapToGrid w:val="0"/>
              <w:spacing w:line="480" w:lineRule="exact"/>
              <w:ind w:firstLine="480" w:firstLineChars="200"/>
              <w:rPr>
                <w:sz w:val="24"/>
              </w:rPr>
            </w:pPr>
            <w:r>
              <w:rPr>
                <w:rFonts w:hint="eastAsia"/>
                <w:sz w:val="24"/>
              </w:rPr>
              <w:t>式中：P</w:t>
            </w:r>
            <w:r>
              <w:rPr>
                <w:rFonts w:hint="eastAsia"/>
                <w:sz w:val="24"/>
                <w:vertAlign w:val="subscript"/>
              </w:rPr>
              <w:t>i</w:t>
            </w:r>
            <w:r>
              <w:rPr>
                <w:rFonts w:hint="eastAsia"/>
                <w:sz w:val="24"/>
              </w:rPr>
              <w:t>—第i个污染物的地面浓度占标率，%；</w:t>
            </w:r>
          </w:p>
          <w:p>
            <w:pPr>
              <w:snapToGrid w:val="0"/>
              <w:spacing w:line="480" w:lineRule="exact"/>
              <w:ind w:firstLine="1200" w:firstLineChars="500"/>
              <w:rPr>
                <w:sz w:val="24"/>
              </w:rPr>
            </w:pPr>
            <w:r>
              <w:rPr>
                <w:rFonts w:hint="eastAsia"/>
                <w:sz w:val="24"/>
              </w:rPr>
              <w:t>C</w:t>
            </w:r>
            <w:r>
              <w:rPr>
                <w:rFonts w:hint="eastAsia"/>
                <w:sz w:val="24"/>
                <w:vertAlign w:val="subscript"/>
              </w:rPr>
              <w:t>i</w:t>
            </w:r>
            <w:r>
              <w:rPr>
                <w:rFonts w:hint="eastAsia"/>
                <w:sz w:val="24"/>
              </w:rPr>
              <w:t>—第i个污染物的实测浓度（mg/m</w:t>
            </w:r>
            <w:r>
              <w:rPr>
                <w:rFonts w:hint="eastAsia"/>
                <w:sz w:val="24"/>
                <w:vertAlign w:val="superscript"/>
              </w:rPr>
              <w:t>3</w:t>
            </w:r>
            <w:r>
              <w:rPr>
                <w:rFonts w:hint="eastAsia"/>
                <w:sz w:val="24"/>
              </w:rPr>
              <w:t>）；</w:t>
            </w:r>
          </w:p>
          <w:p>
            <w:pPr>
              <w:snapToGrid w:val="0"/>
              <w:spacing w:line="480" w:lineRule="exact"/>
              <w:ind w:firstLine="1200" w:firstLineChars="500"/>
              <w:rPr>
                <w:sz w:val="24"/>
              </w:rPr>
            </w:pPr>
            <w:r>
              <w:rPr>
                <w:rFonts w:hint="eastAsia"/>
                <w:sz w:val="24"/>
              </w:rPr>
              <w:t>C</w:t>
            </w:r>
            <w:r>
              <w:rPr>
                <w:rFonts w:hint="eastAsia"/>
                <w:sz w:val="24"/>
                <w:vertAlign w:val="subscript"/>
              </w:rPr>
              <w:t>0i</w:t>
            </w:r>
            <w:r>
              <w:rPr>
                <w:rFonts w:hint="eastAsia"/>
                <w:sz w:val="24"/>
              </w:rPr>
              <w:t>—第i个污染物的环境空气质量标准（mg/m</w:t>
            </w:r>
            <w:r>
              <w:rPr>
                <w:rFonts w:hint="eastAsia"/>
                <w:sz w:val="24"/>
                <w:vertAlign w:val="superscript"/>
              </w:rPr>
              <w:t>3</w:t>
            </w:r>
            <w:r>
              <w:rPr>
                <w:rFonts w:hint="eastAsia"/>
                <w:sz w:val="24"/>
              </w:rPr>
              <w:t>）。</w:t>
            </w:r>
          </w:p>
          <w:p>
            <w:pPr>
              <w:snapToGrid w:val="0"/>
              <w:spacing w:line="480" w:lineRule="exact"/>
              <w:ind w:firstLine="480" w:firstLineChars="200"/>
              <w:rPr>
                <w:sz w:val="24"/>
              </w:rPr>
            </w:pPr>
            <w:r>
              <w:rPr>
                <w:rFonts w:hint="eastAsia"/>
                <w:sz w:val="24"/>
              </w:rPr>
              <w:t>4）监测结果及现状评价分析：环境空气质量现状监测结果及现状评价分析详见下表3.1-3。</w:t>
            </w:r>
          </w:p>
          <w:p>
            <w:pPr>
              <w:snapToGrid w:val="0"/>
              <w:spacing w:line="480" w:lineRule="exact"/>
              <w:jc w:val="center"/>
              <w:rPr>
                <w:szCs w:val="21"/>
              </w:rPr>
            </w:pPr>
            <w:r>
              <w:rPr>
                <w:rFonts w:hint="eastAsia"/>
                <w:szCs w:val="21"/>
              </w:rPr>
              <w:t>表3.1-3  环境空气质量监测结果统计表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992"/>
              <w:gridCol w:w="992"/>
              <w:gridCol w:w="1134"/>
              <w:gridCol w:w="1150"/>
              <w:gridCol w:w="978"/>
              <w:gridCol w:w="709"/>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97"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监测点名称</w:t>
                  </w:r>
                </w:p>
              </w:tc>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污染物</w:t>
                  </w:r>
                </w:p>
              </w:tc>
              <w:tc>
                <w:tcPr>
                  <w:tcW w:w="623"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平均</w:t>
                  </w:r>
                </w:p>
                <w:p>
                  <w:pPr>
                    <w:pStyle w:val="36"/>
                    <w:spacing w:before="24" w:after="24" w:line="240" w:lineRule="auto"/>
                    <w:rPr>
                      <w:rFonts w:ascii="Times New Roman"/>
                      <w:sz w:val="18"/>
                      <w:szCs w:val="18"/>
                    </w:rPr>
                  </w:pPr>
                  <w:r>
                    <w:rPr>
                      <w:rFonts w:ascii="Times New Roman"/>
                      <w:sz w:val="18"/>
                      <w:szCs w:val="18"/>
                    </w:rPr>
                    <w:t>时间</w:t>
                  </w:r>
                </w:p>
              </w:tc>
              <w:tc>
                <w:tcPr>
                  <w:tcW w:w="712"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评价标准/（</w:t>
                  </w:r>
                  <w:r>
                    <w:rPr>
                      <w:rFonts w:hint="eastAsia" w:ascii="Times New Roman"/>
                      <w:sz w:val="18"/>
                      <w:szCs w:val="18"/>
                    </w:rPr>
                    <w:t>m</w:t>
                  </w:r>
                  <w:r>
                    <w:rPr>
                      <w:rFonts w:ascii="Times New Roman"/>
                      <w:sz w:val="18"/>
                      <w:szCs w:val="18"/>
                    </w:rPr>
                    <w:t>g/m</w:t>
                  </w:r>
                  <w:r>
                    <w:rPr>
                      <w:rFonts w:ascii="Times New Roman"/>
                      <w:sz w:val="18"/>
                      <w:szCs w:val="18"/>
                      <w:vertAlign w:val="superscript"/>
                    </w:rPr>
                    <w:t>3</w:t>
                  </w:r>
                  <w:r>
                    <w:rPr>
                      <w:rFonts w:ascii="Times New Roman"/>
                      <w:sz w:val="18"/>
                      <w:szCs w:val="18"/>
                    </w:rPr>
                    <w:t>）</w:t>
                  </w:r>
                </w:p>
              </w:tc>
              <w:tc>
                <w:tcPr>
                  <w:tcW w:w="722"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监测浓度范围/（</w:t>
                  </w:r>
                  <w:r>
                    <w:rPr>
                      <w:rFonts w:hint="eastAsia" w:ascii="Times New Roman"/>
                      <w:sz w:val="18"/>
                      <w:szCs w:val="18"/>
                    </w:rPr>
                    <w:t>m</w:t>
                  </w:r>
                  <w:r>
                    <w:rPr>
                      <w:rFonts w:ascii="Times New Roman"/>
                      <w:sz w:val="18"/>
                      <w:szCs w:val="18"/>
                    </w:rPr>
                    <w:t>g/m</w:t>
                  </w:r>
                  <w:r>
                    <w:rPr>
                      <w:rFonts w:ascii="Times New Roman"/>
                      <w:sz w:val="18"/>
                      <w:szCs w:val="18"/>
                      <w:vertAlign w:val="superscript"/>
                    </w:rPr>
                    <w:t>3</w:t>
                  </w:r>
                  <w:r>
                    <w:rPr>
                      <w:rFonts w:ascii="Times New Roman"/>
                      <w:sz w:val="18"/>
                      <w:szCs w:val="18"/>
                    </w:rPr>
                    <w:t>）</w:t>
                  </w:r>
                </w:p>
              </w:tc>
              <w:tc>
                <w:tcPr>
                  <w:tcW w:w="614"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最大浓度占标率/%</w:t>
                  </w:r>
                </w:p>
              </w:tc>
              <w:tc>
                <w:tcPr>
                  <w:tcW w:w="445"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超标</w:t>
                  </w:r>
                </w:p>
                <w:p>
                  <w:pPr>
                    <w:pStyle w:val="36"/>
                    <w:spacing w:before="24" w:after="24" w:line="240" w:lineRule="auto"/>
                    <w:rPr>
                      <w:rFonts w:ascii="Times New Roman"/>
                      <w:sz w:val="18"/>
                      <w:szCs w:val="18"/>
                    </w:rPr>
                  </w:pPr>
                  <w:r>
                    <w:rPr>
                      <w:rFonts w:ascii="Times New Roman"/>
                      <w:sz w:val="18"/>
                      <w:szCs w:val="18"/>
                    </w:rPr>
                    <w:t>率/%</w:t>
                  </w:r>
                </w:p>
              </w:tc>
              <w:tc>
                <w:tcPr>
                  <w:tcW w:w="364" w:type="pct"/>
                  <w:vMerge w:val="restar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达标</w:t>
                  </w:r>
                </w:p>
                <w:p>
                  <w:pPr>
                    <w:pStyle w:val="36"/>
                    <w:spacing w:before="24" w:after="24" w:line="240" w:lineRule="auto"/>
                    <w:rPr>
                      <w:rFonts w:ascii="Times New Roman"/>
                      <w:sz w:val="18"/>
                      <w:szCs w:val="18"/>
                    </w:rPr>
                  </w:pPr>
                  <w:r>
                    <w:rPr>
                      <w:rFonts w:ascii="Times New Roman"/>
                      <w:sz w:val="18"/>
                      <w:szCs w:val="1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9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rPr>
                  </w:pPr>
                </w:p>
              </w:tc>
              <w:tc>
                <w:tcPr>
                  <w:tcW w:w="623"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623"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712"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722"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614"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c>
                <w:tcPr>
                  <w:tcW w:w="364" w:type="pct"/>
                  <w:vMerge w:val="continue"/>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97" w:type="pct"/>
                  <w:tcBorders>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hint="eastAsia"/>
                      <w:sz w:val="18"/>
                      <w:szCs w:val="18"/>
                    </w:rPr>
                    <w:t>石盘村A2</w:t>
                  </w:r>
                </w:p>
              </w:tc>
              <w:tc>
                <w:tcPr>
                  <w:tcW w:w="623"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非甲烷总烃</w:t>
                  </w:r>
                </w:p>
              </w:tc>
              <w:tc>
                <w:tcPr>
                  <w:tcW w:w="623" w:type="pct"/>
                  <w:tcBorders>
                    <w:left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小时值</w:t>
                  </w:r>
                </w:p>
              </w:tc>
              <w:tc>
                <w:tcPr>
                  <w:tcW w:w="712"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2.0</w:t>
                  </w:r>
                </w:p>
              </w:tc>
              <w:tc>
                <w:tcPr>
                  <w:tcW w:w="722"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0.46~0.86</w:t>
                  </w:r>
                </w:p>
              </w:tc>
              <w:tc>
                <w:tcPr>
                  <w:tcW w:w="614"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43</w:t>
                  </w:r>
                </w:p>
              </w:tc>
              <w:tc>
                <w:tcPr>
                  <w:tcW w:w="445"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0</w:t>
                  </w:r>
                </w:p>
              </w:tc>
              <w:tc>
                <w:tcPr>
                  <w:tcW w:w="364" w:type="pct"/>
                  <w:tcBorders>
                    <w:top w:val="single" w:color="auto" w:sz="4" w:space="0"/>
                    <w:left w:val="single" w:color="auto" w:sz="4" w:space="0"/>
                    <w:bottom w:val="single" w:color="auto" w:sz="4" w:space="0"/>
                    <w:right w:val="single" w:color="auto" w:sz="4" w:space="0"/>
                  </w:tcBorders>
                  <w:vAlign w:val="center"/>
                </w:tcPr>
                <w:p>
                  <w:pPr>
                    <w:pStyle w:val="36"/>
                    <w:spacing w:before="24" w:after="24" w:line="240" w:lineRule="auto"/>
                    <w:rPr>
                      <w:rFonts w:ascii="Times New Roman"/>
                      <w:sz w:val="18"/>
                      <w:szCs w:val="18"/>
                    </w:rPr>
                  </w:pPr>
                  <w:r>
                    <w:rPr>
                      <w:rFonts w:ascii="Times New Roman"/>
                      <w:sz w:val="18"/>
                      <w:szCs w:val="18"/>
                    </w:rPr>
                    <w:t>达标</w:t>
                  </w:r>
                </w:p>
              </w:tc>
            </w:tr>
          </w:tbl>
          <w:p>
            <w:pPr>
              <w:snapToGrid w:val="0"/>
              <w:spacing w:line="480" w:lineRule="exact"/>
              <w:ind w:firstLine="480" w:firstLineChars="200"/>
              <w:rPr>
                <w:sz w:val="24"/>
              </w:rPr>
            </w:pPr>
            <w:r>
              <w:rPr>
                <w:sz w:val="24"/>
              </w:rPr>
              <w:t>由表3.1-3统计结果可知，</w:t>
            </w:r>
            <w:r>
              <w:rPr>
                <w:rFonts w:hint="eastAsia"/>
                <w:sz w:val="24"/>
              </w:rPr>
              <w:t>石盘村A2处</w:t>
            </w:r>
            <w:r>
              <w:rPr>
                <w:sz w:val="24"/>
              </w:rPr>
              <w:t>监测点环境空气非甲烷总烃小时平均浓度监测结果满足河北省地标《环境空气质量 非甲烷总烃限值》（DB13/1577-20</w:t>
            </w:r>
            <w:r>
              <w:rPr>
                <w:rFonts w:hint="eastAsia"/>
                <w:sz w:val="24"/>
              </w:rPr>
              <w:t>12</w:t>
            </w:r>
            <w:r>
              <w:rPr>
                <w:sz w:val="24"/>
              </w:rPr>
              <w:t>）二级标准值。</w:t>
            </w:r>
          </w:p>
          <w:p>
            <w:pPr>
              <w:pStyle w:val="2"/>
              <w:spacing w:after="120"/>
              <w:rPr>
                <w:rFonts w:asciiTheme="minorEastAsia" w:hAnsiTheme="minorEastAsia" w:eastAsiaTheme="minorEastAsia"/>
                <w:color w:val="auto"/>
                <w:sz w:val="24"/>
                <w:szCs w:val="24"/>
              </w:rPr>
            </w:pPr>
            <w:r>
              <w:rPr>
                <w:color w:val="auto"/>
                <w:sz w:val="24"/>
                <w:szCs w:val="24"/>
              </w:rPr>
              <w:t>3.1.2</w:t>
            </w:r>
            <w:r>
              <w:rPr>
                <w:rFonts w:asciiTheme="minorEastAsia" w:hAnsiTheme="minorEastAsia" w:eastAsiaTheme="minorEastAsia"/>
                <w:color w:val="auto"/>
                <w:sz w:val="24"/>
                <w:szCs w:val="24"/>
              </w:rPr>
              <w:t>地表水环境质量现状</w:t>
            </w:r>
          </w:p>
          <w:p>
            <w:pPr>
              <w:spacing w:line="360" w:lineRule="auto"/>
              <w:ind w:firstLine="480"/>
              <w:rPr>
                <w:sz w:val="24"/>
              </w:rPr>
            </w:pPr>
            <w:r>
              <w:rPr>
                <w:rFonts w:hint="eastAsia"/>
                <w:sz w:val="24"/>
              </w:rPr>
              <w:t>本项目位于大足区邮亭镇组团邮亭A分区，根据工程特点和地理位置，地表水环境质量现状评价采用3年内所在区域已有有效监测数据进行分析。</w:t>
            </w:r>
          </w:p>
          <w:p>
            <w:pPr>
              <w:spacing w:line="360" w:lineRule="auto"/>
              <w:ind w:firstLine="480"/>
              <w:rPr>
                <w:sz w:val="24"/>
              </w:rPr>
            </w:pPr>
            <w:r>
              <w:rPr>
                <w:rFonts w:hint="eastAsia"/>
                <w:sz w:val="24"/>
              </w:rPr>
              <w:t>本次评价pH、COD、BOD</w:t>
            </w:r>
            <w:r>
              <w:rPr>
                <w:rFonts w:hint="eastAsia"/>
                <w:sz w:val="24"/>
                <w:vertAlign w:val="subscript"/>
              </w:rPr>
              <w:t>5</w:t>
            </w:r>
            <w:r>
              <w:rPr>
                <w:rFonts w:hint="eastAsia"/>
                <w:sz w:val="24"/>
              </w:rPr>
              <w:t>、NH</w:t>
            </w:r>
            <w:r>
              <w:rPr>
                <w:rFonts w:hint="eastAsia"/>
                <w:sz w:val="24"/>
                <w:vertAlign w:val="subscript"/>
              </w:rPr>
              <w:t>3</w:t>
            </w:r>
            <w:r>
              <w:rPr>
                <w:rFonts w:hint="eastAsia"/>
                <w:sz w:val="24"/>
              </w:rPr>
              <w:t>-N、石油类引用《重庆瀚渝再生资源有限公司危险废物资源化利用改扩建项目》中《监测报告》（晟(检)字[2021]第WT0297号）和《监测报告》（EDD55L001474C），1#园区污水处理厂排口上游500m苦水河断面和2#园区污水处理厂排口下游1000m苦水河断面监测数据进行地表水环境质量现状评价。</w:t>
            </w:r>
          </w:p>
          <w:p>
            <w:pPr>
              <w:spacing w:line="360" w:lineRule="auto"/>
              <w:ind w:firstLine="480"/>
              <w:rPr>
                <w:sz w:val="24"/>
              </w:rPr>
            </w:pPr>
            <w:r>
              <w:rPr>
                <w:rFonts w:hint="eastAsia"/>
                <w:sz w:val="24"/>
              </w:rPr>
              <w:t>本评价引用监测断面</w:t>
            </w:r>
            <w:r>
              <w:rPr>
                <w:rFonts w:hint="eastAsia"/>
                <w:sz w:val="24"/>
                <w:lang w:eastAsia="zh-CN"/>
              </w:rPr>
              <w:t>各</w:t>
            </w:r>
            <w:r>
              <w:rPr>
                <w:rFonts w:hint="eastAsia"/>
                <w:sz w:val="24"/>
              </w:rPr>
              <w:t>监测因子pH、COD、BOD</w:t>
            </w:r>
            <w:r>
              <w:rPr>
                <w:rFonts w:hint="eastAsia"/>
                <w:sz w:val="24"/>
                <w:vertAlign w:val="subscript"/>
              </w:rPr>
              <w:t>5</w:t>
            </w:r>
            <w:r>
              <w:rPr>
                <w:rFonts w:hint="eastAsia"/>
                <w:sz w:val="24"/>
              </w:rPr>
              <w:t>、NH</w:t>
            </w:r>
            <w:r>
              <w:rPr>
                <w:rFonts w:hint="eastAsia"/>
                <w:sz w:val="24"/>
                <w:vertAlign w:val="subscript"/>
              </w:rPr>
              <w:t>3</w:t>
            </w:r>
            <w:r>
              <w:rPr>
                <w:rFonts w:hint="eastAsia"/>
                <w:sz w:val="24"/>
              </w:rPr>
              <w:t>-N、石油类监测时间为2021年6月22日~6月24日、2019年8月23日~8月25日，监测时间均为3年内，具有一定的时效性；监测时间至今区域内尚没有新增排放同类污染物的较大污染源，地表水环境质量现状变化不大。因此，本次评价引用监测数据能反应区域内地表水环境质量现状，地表水监测资料引用合理可行。</w:t>
            </w:r>
          </w:p>
          <w:p>
            <w:pPr>
              <w:spacing w:line="360" w:lineRule="auto"/>
              <w:ind w:firstLine="480"/>
              <w:rPr>
                <w:sz w:val="24"/>
              </w:rPr>
            </w:pPr>
            <w:r>
              <w:rPr>
                <w:rFonts w:hint="eastAsia"/>
                <w:sz w:val="24"/>
              </w:rPr>
              <w:t>①监测断面：1#园区污水处理厂排口上游500m苦水河断面和2#园区污水处理厂排口下游1000m苦水河断面。具体详见监测布点图。</w:t>
            </w:r>
          </w:p>
          <w:p>
            <w:pPr>
              <w:spacing w:line="360" w:lineRule="auto"/>
              <w:ind w:firstLine="480"/>
              <w:rPr>
                <w:sz w:val="24"/>
              </w:rPr>
            </w:pPr>
            <w:r>
              <w:rPr>
                <w:rFonts w:hint="eastAsia"/>
                <w:sz w:val="24"/>
              </w:rPr>
              <w:t>②监测时间和监测频次：2021年6月22日~6月24日，连续监测3天，每天监测1次。</w:t>
            </w:r>
          </w:p>
          <w:p>
            <w:pPr>
              <w:spacing w:line="360" w:lineRule="auto"/>
              <w:ind w:firstLine="480"/>
              <w:rPr>
                <w:sz w:val="24"/>
              </w:rPr>
            </w:pPr>
            <w:r>
              <w:rPr>
                <w:rFonts w:hint="eastAsia"/>
                <w:sz w:val="24"/>
              </w:rPr>
              <w:t>③监测项目：水温、pH、COD、BOD</w:t>
            </w:r>
            <w:r>
              <w:rPr>
                <w:rFonts w:hint="eastAsia"/>
                <w:sz w:val="24"/>
                <w:vertAlign w:val="subscript"/>
              </w:rPr>
              <w:t>5</w:t>
            </w:r>
            <w:r>
              <w:rPr>
                <w:rFonts w:hint="eastAsia"/>
                <w:sz w:val="24"/>
              </w:rPr>
              <w:t>、NH</w:t>
            </w:r>
            <w:r>
              <w:rPr>
                <w:rFonts w:hint="eastAsia"/>
                <w:sz w:val="24"/>
                <w:vertAlign w:val="subscript"/>
              </w:rPr>
              <w:t>3</w:t>
            </w:r>
            <w:r>
              <w:rPr>
                <w:rFonts w:hint="eastAsia"/>
                <w:sz w:val="24"/>
              </w:rPr>
              <w:t>-N、石油类。</w:t>
            </w:r>
          </w:p>
          <w:p>
            <w:pPr>
              <w:spacing w:line="360" w:lineRule="auto"/>
              <w:ind w:firstLine="480"/>
              <w:rPr>
                <w:sz w:val="24"/>
              </w:rPr>
            </w:pPr>
            <w:r>
              <w:rPr>
                <w:rFonts w:hint="eastAsia"/>
                <w:sz w:val="24"/>
              </w:rPr>
              <w:t>④评价方法：根据《环境影响评价技术导则 地表水环境》（HJ 2.3-2018），地表水环境质量现状评价，采用水质指数法评价方法。</w:t>
            </w:r>
          </w:p>
          <w:p>
            <w:pPr>
              <w:spacing w:line="360" w:lineRule="auto"/>
              <w:ind w:firstLine="480"/>
              <w:rPr>
                <w:sz w:val="24"/>
              </w:rPr>
            </w:pPr>
            <w:r>
              <w:rPr>
                <w:rFonts w:hint="eastAsia"/>
                <w:sz w:val="24"/>
              </w:rPr>
              <w:t>一般性水质因子的指数计算公式：</w:t>
            </w:r>
          </w:p>
          <w:p>
            <w:pPr>
              <w:spacing w:line="360" w:lineRule="auto"/>
              <w:ind w:firstLine="480"/>
              <w:jc w:val="center"/>
              <w:rPr>
                <w:sz w:val="24"/>
              </w:rPr>
            </w:pPr>
            <w:r>
              <w:rPr>
                <w:sz w:val="24"/>
              </w:rPr>
              <w:t>S</w:t>
            </w:r>
            <w:r>
              <w:rPr>
                <w:sz w:val="24"/>
                <w:vertAlign w:val="subscript"/>
              </w:rPr>
              <w:t>i,j</w:t>
            </w:r>
            <w:r>
              <w:rPr>
                <w:sz w:val="24"/>
              </w:rPr>
              <w:t>=C</w:t>
            </w:r>
            <w:r>
              <w:rPr>
                <w:sz w:val="24"/>
                <w:vertAlign w:val="subscript"/>
              </w:rPr>
              <w:t>i,j</w:t>
            </w:r>
            <w:r>
              <w:rPr>
                <w:sz w:val="24"/>
              </w:rPr>
              <w:t>/C</w:t>
            </w:r>
            <w:r>
              <w:rPr>
                <w:sz w:val="24"/>
                <w:vertAlign w:val="subscript"/>
              </w:rPr>
              <w:t>si</w:t>
            </w:r>
          </w:p>
          <w:p>
            <w:pPr>
              <w:spacing w:line="360" w:lineRule="auto"/>
              <w:ind w:firstLine="480"/>
              <w:rPr>
                <w:sz w:val="24"/>
              </w:rPr>
            </w:pPr>
            <w:r>
              <w:rPr>
                <w:rFonts w:hint="eastAsia"/>
                <w:sz w:val="24"/>
              </w:rPr>
              <w:t>式中：</w:t>
            </w:r>
          </w:p>
          <w:p>
            <w:pPr>
              <w:spacing w:line="360" w:lineRule="auto"/>
              <w:ind w:firstLine="960" w:firstLineChars="400"/>
              <w:rPr>
                <w:sz w:val="24"/>
              </w:rPr>
            </w:pPr>
            <w:r>
              <w:rPr>
                <w:rFonts w:hint="eastAsia"/>
                <w:sz w:val="24"/>
              </w:rPr>
              <w:t>S</w:t>
            </w:r>
            <w:r>
              <w:rPr>
                <w:rFonts w:hint="eastAsia"/>
                <w:sz w:val="24"/>
                <w:vertAlign w:val="subscript"/>
              </w:rPr>
              <w:t>i,j</w:t>
            </w:r>
            <w:r>
              <w:rPr>
                <w:rFonts w:hint="eastAsia"/>
                <w:sz w:val="24"/>
              </w:rPr>
              <w:t>—评价因子i的水质指数，大于1表明该水质因子超标；</w:t>
            </w:r>
          </w:p>
          <w:p>
            <w:pPr>
              <w:spacing w:line="360" w:lineRule="auto"/>
              <w:ind w:firstLine="960" w:firstLineChars="400"/>
              <w:rPr>
                <w:sz w:val="24"/>
              </w:rPr>
            </w:pPr>
            <w:r>
              <w:rPr>
                <w:rFonts w:hint="eastAsia"/>
                <w:sz w:val="24"/>
              </w:rPr>
              <w:t>C</w:t>
            </w:r>
            <w:r>
              <w:rPr>
                <w:rFonts w:hint="eastAsia"/>
                <w:sz w:val="24"/>
                <w:vertAlign w:val="subscript"/>
              </w:rPr>
              <w:t>i,j</w:t>
            </w:r>
            <w:r>
              <w:rPr>
                <w:rFonts w:hint="eastAsia"/>
                <w:sz w:val="24"/>
              </w:rPr>
              <w:t>—评价因子i在j点的实测统计代表值，mg/L；</w:t>
            </w:r>
          </w:p>
          <w:p>
            <w:pPr>
              <w:spacing w:line="360" w:lineRule="auto"/>
              <w:ind w:firstLine="960" w:firstLineChars="400"/>
              <w:rPr>
                <w:sz w:val="24"/>
              </w:rPr>
            </w:pPr>
            <w:r>
              <w:rPr>
                <w:rFonts w:hint="eastAsia"/>
                <w:sz w:val="24"/>
              </w:rPr>
              <w:t>C</w:t>
            </w:r>
            <w:r>
              <w:rPr>
                <w:rFonts w:hint="eastAsia"/>
                <w:sz w:val="24"/>
                <w:vertAlign w:val="subscript"/>
              </w:rPr>
              <w:t>si</w:t>
            </w:r>
            <w:r>
              <w:rPr>
                <w:rFonts w:hint="eastAsia"/>
                <w:sz w:val="24"/>
              </w:rPr>
              <w:t>—评价因子i的水质评价标准限值，mg/L。</w:t>
            </w:r>
          </w:p>
          <w:p>
            <w:pPr>
              <w:spacing w:line="360" w:lineRule="auto"/>
              <w:ind w:firstLine="480"/>
              <w:rPr>
                <w:sz w:val="24"/>
              </w:rPr>
            </w:pPr>
            <w:r>
              <w:rPr>
                <w:rFonts w:hint="eastAsia"/>
                <w:sz w:val="24"/>
              </w:rPr>
              <w:t>pH值的指数计算公式：</w:t>
            </w:r>
          </w:p>
          <w:p>
            <w:pPr>
              <w:spacing w:line="360" w:lineRule="auto"/>
              <w:ind w:firstLine="480"/>
              <w:jc w:val="center"/>
              <w:rPr>
                <w:sz w:val="24"/>
              </w:rPr>
            </w:pPr>
            <w:r>
              <w:rPr>
                <w:rFonts w:hint="eastAsia"/>
                <w:sz w:val="24"/>
              </w:rPr>
              <w:t>pHj＞7.0</w:t>
            </w:r>
          </w:p>
          <w:p>
            <w:pPr>
              <w:spacing w:line="360" w:lineRule="auto"/>
              <w:ind w:firstLine="480"/>
              <w:jc w:val="center"/>
              <w:rPr>
                <w:sz w:val="24"/>
              </w:rPr>
            </w:pPr>
            <w:r>
              <w:rPr>
                <w:rFonts w:hint="eastAsia"/>
                <w:sz w:val="24"/>
              </w:rPr>
              <w:t>pHj≤7.0</w:t>
            </w:r>
          </w:p>
          <w:p>
            <w:pPr>
              <w:spacing w:line="360" w:lineRule="auto"/>
              <w:ind w:firstLine="480"/>
              <w:rPr>
                <w:sz w:val="24"/>
              </w:rPr>
            </w:pPr>
            <w:r>
              <w:rPr>
                <w:rFonts w:hint="eastAsia"/>
                <w:sz w:val="24"/>
              </w:rPr>
              <w:t>式中：</w:t>
            </w:r>
          </w:p>
          <w:p>
            <w:pPr>
              <w:spacing w:line="360" w:lineRule="auto"/>
              <w:ind w:firstLine="960" w:firstLineChars="400"/>
              <w:rPr>
                <w:sz w:val="24"/>
              </w:rPr>
            </w:pPr>
            <w:r>
              <w:rPr>
                <w:rFonts w:hint="eastAsia"/>
                <w:sz w:val="24"/>
              </w:rPr>
              <w:t>S</w:t>
            </w:r>
            <w:r>
              <w:rPr>
                <w:rFonts w:hint="eastAsia"/>
                <w:sz w:val="24"/>
                <w:vertAlign w:val="subscript"/>
              </w:rPr>
              <w:t>pH</w:t>
            </w:r>
            <w:r>
              <w:rPr>
                <w:rFonts w:hint="eastAsia"/>
                <w:sz w:val="24"/>
              </w:rPr>
              <w:t>—pH的指数，大于1表明该水质因子超标；</w:t>
            </w:r>
          </w:p>
          <w:p>
            <w:pPr>
              <w:spacing w:line="360" w:lineRule="auto"/>
              <w:ind w:firstLine="960" w:firstLineChars="400"/>
              <w:rPr>
                <w:sz w:val="24"/>
              </w:rPr>
            </w:pPr>
            <w:r>
              <w:rPr>
                <w:rFonts w:hint="eastAsia"/>
                <w:sz w:val="24"/>
              </w:rPr>
              <w:t>pH</w:t>
            </w:r>
            <w:r>
              <w:rPr>
                <w:rFonts w:hint="eastAsia"/>
                <w:sz w:val="24"/>
                <w:vertAlign w:val="subscript"/>
              </w:rPr>
              <w:t>j</w:t>
            </w:r>
            <w:r>
              <w:rPr>
                <w:rFonts w:hint="eastAsia"/>
                <w:sz w:val="24"/>
              </w:rPr>
              <w:t>—pH值实测统计代表值；</w:t>
            </w:r>
          </w:p>
          <w:p>
            <w:pPr>
              <w:spacing w:line="360" w:lineRule="auto"/>
              <w:ind w:firstLine="960" w:firstLineChars="400"/>
              <w:rPr>
                <w:sz w:val="24"/>
              </w:rPr>
            </w:pPr>
            <w:r>
              <w:rPr>
                <w:rFonts w:hint="eastAsia"/>
                <w:sz w:val="24"/>
              </w:rPr>
              <w:t>pH</w:t>
            </w:r>
            <w:r>
              <w:rPr>
                <w:rFonts w:hint="eastAsia"/>
                <w:sz w:val="24"/>
                <w:vertAlign w:val="subscript"/>
              </w:rPr>
              <w:t>su</w:t>
            </w:r>
            <w:r>
              <w:rPr>
                <w:rFonts w:hint="eastAsia"/>
                <w:sz w:val="24"/>
              </w:rPr>
              <w:t>—评价标准中pH的上限值；</w:t>
            </w:r>
          </w:p>
          <w:p>
            <w:pPr>
              <w:spacing w:line="360" w:lineRule="auto"/>
              <w:ind w:firstLine="960" w:firstLineChars="400"/>
              <w:rPr>
                <w:sz w:val="24"/>
              </w:rPr>
            </w:pPr>
            <w:r>
              <w:rPr>
                <w:rFonts w:hint="eastAsia"/>
                <w:sz w:val="24"/>
              </w:rPr>
              <w:t>pHsd—评价标准中pH的下限值。</w:t>
            </w:r>
          </w:p>
          <w:p>
            <w:pPr>
              <w:spacing w:line="360" w:lineRule="auto"/>
              <w:ind w:firstLine="480"/>
              <w:rPr>
                <w:sz w:val="24"/>
              </w:rPr>
            </w:pPr>
            <w:r>
              <w:rPr>
                <w:rFonts w:hint="eastAsia"/>
                <w:sz w:val="24"/>
              </w:rPr>
              <w:t>⑤环境质量现状分析及评价</w:t>
            </w:r>
          </w:p>
          <w:p>
            <w:pPr>
              <w:spacing w:line="360" w:lineRule="auto"/>
              <w:ind w:firstLine="480"/>
              <w:rPr>
                <w:sz w:val="24"/>
              </w:rPr>
            </w:pPr>
            <w:r>
              <w:rPr>
                <w:rFonts w:hint="eastAsia"/>
                <w:sz w:val="24"/>
              </w:rPr>
              <w:t>地表水环境质量现状监测及评价结果统计见表3.1-4。</w:t>
            </w:r>
          </w:p>
          <w:p>
            <w:pPr>
              <w:spacing w:line="360" w:lineRule="auto"/>
              <w:ind w:firstLine="480"/>
              <w:rPr>
                <w:sz w:val="24"/>
              </w:rPr>
            </w:pPr>
            <w:r>
              <w:rPr>
                <w:rFonts w:hint="eastAsia"/>
                <w:sz w:val="24"/>
              </w:rPr>
              <w:t>由统计表5.4-4可知，1#园区污水处理厂排口上游500m苦水河断面和2#园区污水处理厂排口下游1000m苦水河断面各项监测指标Si值均小于1，满足《地表水环境质量标准》（GB3838-2002）Ⅳ标准的要求。各监测断面均有一定的环境容量。</w:t>
            </w:r>
          </w:p>
          <w:p>
            <w:pPr>
              <w:pStyle w:val="2"/>
              <w:spacing w:after="120"/>
              <w:rPr>
                <w:color w:val="auto"/>
                <w:sz w:val="24"/>
                <w:szCs w:val="24"/>
              </w:rPr>
            </w:pPr>
            <w:r>
              <w:rPr>
                <w:color w:val="auto"/>
                <w:sz w:val="24"/>
                <w:szCs w:val="24"/>
              </w:rPr>
              <w:t>3.1.3</w:t>
            </w:r>
            <w:r>
              <w:rPr>
                <w:rFonts w:asciiTheme="minorEastAsia" w:hAnsiTheme="minorEastAsia" w:eastAsiaTheme="minorEastAsia"/>
                <w:color w:val="auto"/>
                <w:sz w:val="24"/>
                <w:szCs w:val="24"/>
              </w:rPr>
              <w:t>声环境</w:t>
            </w:r>
          </w:p>
          <w:p>
            <w:pPr>
              <w:spacing w:line="480" w:lineRule="exact"/>
              <w:ind w:firstLine="439" w:firstLineChars="183"/>
              <w:rPr>
                <w:sz w:val="24"/>
              </w:rPr>
            </w:pPr>
            <w:r>
              <w:rPr>
                <w:rFonts w:hint="eastAsia"/>
                <w:sz w:val="24"/>
              </w:rPr>
              <w:t>拟建项目位于重庆市大足区邮亭镇工业园区A7-01/01地块，项目厂界外50米范围内无居住区、学校、医院等环境保护目标。因此，不进行声环境质量现状监测。</w:t>
            </w:r>
          </w:p>
          <w:p>
            <w:pPr>
              <w:pStyle w:val="2"/>
              <w:spacing w:before="0" w:after="0" w:line="480" w:lineRule="exact"/>
              <w:ind w:left="0" w:firstLine="0"/>
              <w:rPr>
                <w:color w:val="auto"/>
                <w:sz w:val="24"/>
                <w:szCs w:val="24"/>
              </w:rPr>
            </w:pPr>
            <w:r>
              <w:rPr>
                <w:color w:val="auto"/>
                <w:sz w:val="24"/>
                <w:szCs w:val="24"/>
              </w:rPr>
              <w:t>3.1.4</w:t>
            </w:r>
            <w:r>
              <w:rPr>
                <w:rFonts w:asciiTheme="minorEastAsia" w:hAnsiTheme="minorEastAsia" w:eastAsiaTheme="minorEastAsia"/>
                <w:color w:val="auto"/>
                <w:sz w:val="24"/>
                <w:szCs w:val="24"/>
              </w:rPr>
              <w:t>生态环境现状</w:t>
            </w:r>
          </w:p>
          <w:p>
            <w:pPr>
              <w:adjustRightInd w:val="0"/>
              <w:snapToGrid w:val="0"/>
              <w:spacing w:line="480" w:lineRule="exact"/>
              <w:ind w:firstLine="480" w:firstLineChars="200"/>
              <w:jc w:val="left"/>
              <w:rPr>
                <w:sz w:val="24"/>
                <w:lang w:val="en-GB"/>
              </w:rPr>
            </w:pPr>
            <w:r>
              <w:rPr>
                <w:sz w:val="24"/>
                <w:lang w:val="en-GB"/>
              </w:rPr>
              <w:t>据现场调查，拟建项目建设场地为城市生态系统，项目所在地及附近无野生动物栖息地，无珍稀动植物分布，无国家保护的文物及其它特殊的环境保护目标。项目地块内生态敏感程度较低。</w:t>
            </w:r>
          </w:p>
          <w:p>
            <w:pPr>
              <w:adjustRightInd w:val="0"/>
              <w:snapToGrid w:val="0"/>
              <w:spacing w:line="480" w:lineRule="exact"/>
              <w:jc w:val="left"/>
              <w:rPr>
                <w:b/>
                <w:bCs/>
                <w:sz w:val="24"/>
                <w:lang w:val="en-GB"/>
              </w:rPr>
            </w:pPr>
            <w:r>
              <w:rPr>
                <w:rFonts w:hint="eastAsia"/>
                <w:b/>
                <w:bCs/>
                <w:sz w:val="24"/>
                <w:lang w:val="en-GB"/>
              </w:rPr>
              <w:t>3</w:t>
            </w:r>
            <w:r>
              <w:rPr>
                <w:b/>
                <w:bCs/>
                <w:sz w:val="24"/>
                <w:lang w:val="en-GB"/>
              </w:rPr>
              <w:t>.1.5</w:t>
            </w:r>
            <w:r>
              <w:rPr>
                <w:rFonts w:hint="eastAsia"/>
                <w:b/>
                <w:bCs/>
                <w:sz w:val="24"/>
                <w:lang w:val="en-GB"/>
              </w:rPr>
              <w:t>地下水、土壤环境</w:t>
            </w:r>
          </w:p>
          <w:p>
            <w:pPr>
              <w:adjustRightInd w:val="0"/>
              <w:snapToGrid w:val="0"/>
              <w:spacing w:line="480" w:lineRule="exact"/>
              <w:ind w:firstLine="480" w:firstLineChars="200"/>
              <w:jc w:val="left"/>
              <w:rPr>
                <w:rFonts w:ascii="宋体" w:hAnsi="宋体" w:cs="宋体"/>
                <w:kern w:val="0"/>
                <w:szCs w:val="21"/>
              </w:rPr>
            </w:pPr>
            <w:r>
              <w:rPr>
                <w:rFonts w:hint="eastAsia"/>
                <w:sz w:val="24"/>
                <w:lang w:val="en-GB"/>
              </w:rPr>
              <w:t>建设项目不存在土壤、地下水环境污染途径，原则上不开展环境质量现状调查。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环境</w:t>
            </w:r>
          </w:p>
          <w:p>
            <w:pPr>
              <w:adjustRightInd w:val="0"/>
              <w:snapToGrid w:val="0"/>
              <w:jc w:val="center"/>
              <w:rPr>
                <w:rFonts w:ascii="宋体" w:hAnsi="宋体" w:cs="宋体"/>
                <w:kern w:val="0"/>
                <w:szCs w:val="21"/>
              </w:rPr>
            </w:pPr>
            <w:r>
              <w:rPr>
                <w:rFonts w:hint="eastAsia" w:ascii="宋体" w:hAnsi="宋体" w:cs="宋体"/>
                <w:kern w:val="0"/>
                <w:szCs w:val="21"/>
              </w:rPr>
              <w:t>保护</w:t>
            </w:r>
          </w:p>
          <w:p>
            <w:pPr>
              <w:adjustRightInd w:val="0"/>
              <w:snapToGrid w:val="0"/>
              <w:jc w:val="center"/>
              <w:rPr>
                <w:rFonts w:ascii="宋体" w:hAnsi="宋体" w:cs="宋体"/>
                <w:kern w:val="0"/>
                <w:szCs w:val="21"/>
              </w:rPr>
            </w:pPr>
            <w:r>
              <w:rPr>
                <w:rFonts w:hint="eastAsia" w:ascii="宋体" w:hAnsi="宋体" w:cs="宋体"/>
                <w:kern w:val="0"/>
                <w:szCs w:val="21"/>
              </w:rPr>
              <w:t>目标</w:t>
            </w:r>
          </w:p>
        </w:tc>
        <w:tc>
          <w:tcPr>
            <w:tcW w:w="8190" w:type="dxa"/>
            <w:vAlign w:val="center"/>
          </w:tcPr>
          <w:p>
            <w:pPr>
              <w:spacing w:line="460" w:lineRule="exact"/>
              <w:rPr>
                <w:b/>
                <w:sz w:val="24"/>
              </w:rPr>
            </w:pPr>
            <w:r>
              <w:rPr>
                <w:rFonts w:hint="eastAsia"/>
                <w:b/>
                <w:sz w:val="24"/>
              </w:rPr>
              <w:t>3.2环境保护目标</w:t>
            </w:r>
          </w:p>
          <w:p>
            <w:pPr>
              <w:spacing w:line="460" w:lineRule="exact"/>
              <w:ind w:firstLine="480"/>
              <w:rPr>
                <w:sz w:val="24"/>
              </w:rPr>
            </w:pPr>
            <w:r>
              <w:rPr>
                <w:rFonts w:hint="eastAsia"/>
                <w:sz w:val="24"/>
              </w:rPr>
              <w:t>大气环境：厂界外500米范围内无自然保护区、风景名胜区、居住区、文化区和农村地区中人群较集中的区域等大气环境保护目标。</w:t>
            </w:r>
          </w:p>
          <w:p>
            <w:pPr>
              <w:spacing w:line="460" w:lineRule="exact"/>
              <w:ind w:firstLine="480"/>
              <w:rPr>
                <w:sz w:val="24"/>
              </w:rPr>
            </w:pPr>
            <w:r>
              <w:rPr>
                <w:rFonts w:hint="eastAsia"/>
                <w:sz w:val="24"/>
              </w:rPr>
              <w:t>声环境：厂界外50米范围内无居住区、学校、医院等环境保护目标。</w:t>
            </w:r>
          </w:p>
          <w:p>
            <w:pPr>
              <w:spacing w:line="460" w:lineRule="exact"/>
              <w:ind w:firstLine="480"/>
              <w:rPr>
                <w:sz w:val="24"/>
              </w:rPr>
            </w:pPr>
            <w:r>
              <w:rPr>
                <w:rFonts w:hint="eastAsia"/>
                <w:sz w:val="24"/>
              </w:rPr>
              <w:t>地下水环境：厂界外500米范围内无地下水集中式饮用水水源和热水、矿泉水、温泉等特殊地下水资源。</w:t>
            </w:r>
          </w:p>
          <w:p>
            <w:pPr>
              <w:spacing w:line="460" w:lineRule="exact"/>
              <w:ind w:firstLine="480"/>
              <w:rPr>
                <w:rFonts w:ascii="宋体" w:hAnsi="宋体" w:cs="宋体"/>
                <w:kern w:val="0"/>
                <w:szCs w:val="21"/>
              </w:rPr>
            </w:pPr>
            <w:r>
              <w:rPr>
                <w:rFonts w:hint="eastAsia"/>
                <w:sz w:val="24"/>
              </w:rPr>
              <w:t>生态环境：拟建项目位于产业园区内，无生态环境保护目标。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0" w:type="dxa"/>
            <w:tcMar>
              <w:left w:w="28" w:type="dxa"/>
              <w:right w:w="28"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rPr>
              <w:t>污染</w:t>
            </w:r>
          </w:p>
          <w:p>
            <w:pPr>
              <w:adjustRightInd w:val="0"/>
              <w:snapToGrid w:val="0"/>
              <w:jc w:val="center"/>
              <w:rPr>
                <w:rFonts w:ascii="宋体" w:hAnsi="宋体" w:cs="宋体"/>
                <w:kern w:val="0"/>
                <w:szCs w:val="21"/>
              </w:rPr>
            </w:pPr>
            <w:r>
              <w:rPr>
                <w:rFonts w:hint="eastAsia" w:ascii="宋体" w:hAnsi="宋体" w:cs="宋体"/>
                <w:kern w:val="0"/>
                <w:szCs w:val="21"/>
              </w:rPr>
              <w:t>物排</w:t>
            </w:r>
          </w:p>
          <w:p>
            <w:pPr>
              <w:adjustRightInd w:val="0"/>
              <w:snapToGrid w:val="0"/>
              <w:jc w:val="center"/>
              <w:rPr>
                <w:rFonts w:ascii="宋体" w:hAnsi="宋体" w:cs="宋体"/>
                <w:kern w:val="0"/>
                <w:szCs w:val="21"/>
              </w:rPr>
            </w:pPr>
            <w:r>
              <w:rPr>
                <w:rFonts w:hint="eastAsia" w:ascii="宋体" w:hAnsi="宋体" w:cs="宋体"/>
                <w:kern w:val="0"/>
                <w:szCs w:val="21"/>
              </w:rPr>
              <w:t>放控</w:t>
            </w:r>
          </w:p>
          <w:p>
            <w:pPr>
              <w:adjustRightInd w:val="0"/>
              <w:snapToGrid w:val="0"/>
              <w:jc w:val="center"/>
              <w:rPr>
                <w:rFonts w:ascii="宋体" w:hAnsi="宋体" w:cs="宋体"/>
                <w:kern w:val="0"/>
                <w:szCs w:val="21"/>
              </w:rPr>
            </w:pPr>
            <w:r>
              <w:rPr>
                <w:rFonts w:hint="eastAsia" w:ascii="宋体" w:hAnsi="宋体" w:cs="宋体"/>
                <w:kern w:val="0"/>
                <w:szCs w:val="21"/>
              </w:rPr>
              <w:t>制标</w:t>
            </w:r>
          </w:p>
          <w:p>
            <w:pPr>
              <w:adjustRightInd w:val="0"/>
              <w:snapToGrid w:val="0"/>
              <w:jc w:val="center"/>
              <w:rPr>
                <w:rFonts w:ascii="宋体" w:hAnsi="宋体" w:cs="宋体"/>
                <w:kern w:val="0"/>
                <w:szCs w:val="21"/>
              </w:rPr>
            </w:pPr>
            <w:r>
              <w:rPr>
                <w:rFonts w:hint="eastAsia" w:ascii="宋体" w:hAnsi="宋体" w:cs="宋体"/>
                <w:kern w:val="0"/>
                <w:szCs w:val="21"/>
              </w:rPr>
              <w:t>准</w:t>
            </w:r>
          </w:p>
        </w:tc>
        <w:tc>
          <w:tcPr>
            <w:tcW w:w="8190" w:type="dxa"/>
            <w:vAlign w:val="center"/>
          </w:tcPr>
          <w:p>
            <w:pPr>
              <w:pStyle w:val="2"/>
              <w:spacing w:before="0" w:after="0" w:line="480" w:lineRule="exact"/>
              <w:rPr>
                <w:color w:val="auto"/>
                <w:sz w:val="24"/>
                <w:szCs w:val="24"/>
              </w:rPr>
            </w:pPr>
            <w:r>
              <w:rPr>
                <w:color w:val="auto"/>
                <w:sz w:val="24"/>
                <w:szCs w:val="24"/>
              </w:rPr>
              <w:t>3.</w:t>
            </w:r>
            <w:r>
              <w:rPr>
                <w:rFonts w:hint="eastAsia"/>
                <w:color w:val="auto"/>
                <w:sz w:val="24"/>
                <w:szCs w:val="24"/>
              </w:rPr>
              <w:t>3</w:t>
            </w:r>
            <w:r>
              <w:rPr>
                <w:rFonts w:ascii="宋体" w:hAnsi="宋体" w:eastAsia="宋体"/>
                <w:color w:val="auto"/>
                <w:sz w:val="24"/>
                <w:szCs w:val="24"/>
              </w:rPr>
              <w:t>污染物排放标准</w:t>
            </w:r>
          </w:p>
          <w:p>
            <w:pPr>
              <w:adjustRightInd w:val="0"/>
              <w:snapToGrid w:val="0"/>
              <w:spacing w:line="480" w:lineRule="exact"/>
              <w:ind w:firstLine="360" w:firstLineChars="150"/>
              <w:rPr>
                <w:sz w:val="24"/>
                <w:lang w:val="en-GB"/>
              </w:rPr>
            </w:pPr>
            <w:r>
              <w:rPr>
                <w:sz w:val="24"/>
                <w:lang w:val="en-GB"/>
              </w:rPr>
              <w:t>（1）废气</w:t>
            </w:r>
          </w:p>
          <w:p>
            <w:pPr>
              <w:pStyle w:val="9"/>
              <w:spacing w:line="460" w:lineRule="exact"/>
              <w:ind w:firstLine="480" w:firstLineChars="200"/>
              <w:jc w:val="both"/>
            </w:pPr>
            <w:r>
              <w:rPr>
                <w:rFonts w:hint="eastAsia"/>
                <w:bCs/>
              </w:rPr>
              <w:t>拟建项目有组织废气主要为油液挥发废气、切割废气、破碎废气</w:t>
            </w:r>
            <w:r>
              <w:rPr>
                <w:rFonts w:hint="eastAsia" w:hAnsi="宋体"/>
              </w:rPr>
              <w:t>，主要污染物为非甲烷总烃、颗粒物</w:t>
            </w:r>
            <w:r>
              <w:rPr>
                <w:rFonts w:hint="eastAsia" w:hAnsi="宋体"/>
                <w:szCs w:val="21"/>
              </w:rPr>
              <w:t>执行</w:t>
            </w:r>
            <w:r>
              <w:rPr>
                <w:rFonts w:hAnsi="宋体"/>
              </w:rPr>
              <w:t>《大气污染物综合排放标准》（</w:t>
            </w:r>
            <w:r>
              <w:t>DB50/418-2016</w:t>
            </w:r>
            <w:r>
              <w:rPr>
                <w:rFonts w:hAnsi="宋体"/>
              </w:rPr>
              <w:t>）表</w:t>
            </w:r>
            <w:r>
              <w:rPr>
                <w:rFonts w:hint="eastAsia" w:hAnsi="宋体"/>
              </w:rPr>
              <w:t>1大气污染物排放限值，</w:t>
            </w:r>
            <w:r>
              <w:rPr>
                <w:szCs w:val="24"/>
                <w:lang w:val="en-GB"/>
              </w:rPr>
              <w:t>详见下表3.3-1</w:t>
            </w:r>
            <w:r>
              <w:rPr>
                <w:rFonts w:hint="eastAsia"/>
                <w:szCs w:val="24"/>
                <w:lang w:val="en-GB"/>
              </w:rPr>
              <w:t>；</w:t>
            </w:r>
            <w:r>
              <w:rPr>
                <w:szCs w:val="24"/>
                <w:lang w:val="en-GB"/>
              </w:rPr>
              <w:t>项目厂区内无组织非甲烷总烃执行</w:t>
            </w:r>
            <w:r>
              <w:rPr>
                <w:rFonts w:hint="eastAsia"/>
                <w:bCs/>
              </w:rPr>
              <w:t>《挥发性有机物无组织排放控制标准》（GB37822-2019）附录A表A.1中厂区内VOCs无组织排放限值</w:t>
            </w:r>
            <w:r>
              <w:rPr>
                <w:rFonts w:hint="eastAsia"/>
                <w:szCs w:val="24"/>
                <w:lang w:val="en-GB"/>
              </w:rPr>
              <w:t>，</w:t>
            </w:r>
            <w:r>
              <w:rPr>
                <w:szCs w:val="24"/>
                <w:lang w:val="en-GB"/>
              </w:rPr>
              <w:t>详见下表3.3-</w:t>
            </w:r>
            <w:r>
              <w:rPr>
                <w:rFonts w:hint="eastAsia"/>
                <w:szCs w:val="24"/>
                <w:lang w:val="en-GB"/>
              </w:rPr>
              <w:t>2</w:t>
            </w:r>
            <w:r>
              <w:rPr>
                <w:rFonts w:hint="eastAsia"/>
              </w:rPr>
              <w:t>；</w:t>
            </w:r>
            <w:r>
              <w:rPr>
                <w:szCs w:val="24"/>
                <w:lang w:val="en-GB"/>
              </w:rPr>
              <w:t>厂界无组织废气执行</w:t>
            </w:r>
            <w:r>
              <w:rPr>
                <w:rFonts w:hAnsi="宋体"/>
              </w:rPr>
              <w:t>《大气污染物综合排放标准》（</w:t>
            </w:r>
            <w:r>
              <w:t>DB50/418-2016</w:t>
            </w:r>
            <w:r>
              <w:rPr>
                <w:rFonts w:hAnsi="宋体"/>
              </w:rPr>
              <w:t>）</w:t>
            </w:r>
            <w:r>
              <w:rPr>
                <w:szCs w:val="24"/>
                <w:lang w:val="en-GB"/>
              </w:rPr>
              <w:t>详见下表3.3-</w:t>
            </w:r>
            <w:r>
              <w:rPr>
                <w:rFonts w:hint="eastAsia"/>
                <w:szCs w:val="24"/>
                <w:lang w:val="en-GB"/>
              </w:rPr>
              <w:t>3</w:t>
            </w:r>
            <w:r>
              <w:rPr>
                <w:rFonts w:hint="eastAsia"/>
              </w:rPr>
              <w:t>；污水处理站废气排放执行《恶臭污染物排放标准》（GB14554-93）表1恶臭污染物厂界标准值，详见下表3.3-4；食堂废气执行《餐饮业大气污染物排放标准》（DB50/859-2018），详见下表3.3-</w:t>
            </w:r>
            <w:r>
              <w:t>5</w:t>
            </w:r>
            <w:r>
              <w:rPr>
                <w:rFonts w:hint="eastAsia"/>
              </w:rPr>
              <w:t>。</w:t>
            </w:r>
          </w:p>
          <w:p>
            <w:pPr>
              <w:topLinePunct/>
              <w:adjustRightInd w:val="0"/>
              <w:snapToGrid w:val="0"/>
              <w:spacing w:line="440" w:lineRule="exact"/>
              <w:ind w:firstLine="480"/>
              <w:jc w:val="center"/>
              <w:rPr>
                <w:sz w:val="24"/>
              </w:rPr>
            </w:pPr>
            <w:r>
              <w:rPr>
                <w:rFonts w:hint="eastAsia"/>
                <w:sz w:val="18"/>
                <w:szCs w:val="18"/>
              </w:rPr>
              <w:t>表3.3-1</w:t>
            </w:r>
            <w:r>
              <w:rPr>
                <w:sz w:val="18"/>
                <w:szCs w:val="18"/>
              </w:rPr>
              <w:t xml:space="preserve">  </w:t>
            </w:r>
            <w:r>
              <w:rPr>
                <w:rFonts w:hint="eastAsia"/>
                <w:sz w:val="18"/>
                <w:szCs w:val="18"/>
              </w:rPr>
              <w:t>有组织排放大气污染物浓度限值</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0"/>
              <w:gridCol w:w="992"/>
              <w:gridCol w:w="992"/>
              <w:gridCol w:w="924"/>
              <w:gridCol w:w="133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tblHeader/>
              </w:trPr>
              <w:tc>
                <w:tcPr>
                  <w:tcW w:w="816"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污染源</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污染物</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最高允许排放浓度（mg/m</w:t>
                  </w:r>
                  <w:r>
                    <w:rPr>
                      <w:rStyle w:val="91"/>
                      <w:rFonts w:ascii="Times New Roman"/>
                      <w:sz w:val="18"/>
                      <w:szCs w:val="18"/>
                      <w:vertAlign w:val="superscript"/>
                    </w:rPr>
                    <w:t>3</w:t>
                  </w:r>
                  <w:r>
                    <w:rPr>
                      <w:rStyle w:val="91"/>
                      <w:rFonts w:ascii="Times New Roman"/>
                      <w:sz w:val="18"/>
                      <w:szCs w:val="18"/>
                    </w:rPr>
                    <w:t>）</w:t>
                  </w:r>
                </w:p>
              </w:tc>
              <w:tc>
                <w:tcPr>
                  <w:tcW w:w="580" w:type="pct"/>
                  <w:vAlign w:val="center"/>
                </w:tcPr>
                <w:p>
                  <w:pPr>
                    <w:pStyle w:val="36"/>
                    <w:spacing w:beforeLines="0" w:afterLines="0" w:line="240" w:lineRule="exact"/>
                    <w:rPr>
                      <w:rStyle w:val="91"/>
                      <w:rFonts w:ascii="Times New Roman"/>
                      <w:sz w:val="18"/>
                      <w:szCs w:val="18"/>
                    </w:rPr>
                  </w:pPr>
                  <w:r>
                    <w:rPr>
                      <w:rStyle w:val="91"/>
                      <w:rFonts w:ascii="Times New Roman"/>
                      <w:sz w:val="18"/>
                      <w:szCs w:val="18"/>
                    </w:rPr>
                    <w:t>排气筒高度（m）</w:t>
                  </w:r>
                </w:p>
              </w:tc>
              <w:tc>
                <w:tcPr>
                  <w:tcW w:w="837" w:type="pct"/>
                  <w:vAlign w:val="center"/>
                </w:tcPr>
                <w:p>
                  <w:pPr>
                    <w:pStyle w:val="36"/>
                    <w:spacing w:beforeLines="0" w:afterLines="0" w:line="240" w:lineRule="exact"/>
                    <w:rPr>
                      <w:rStyle w:val="91"/>
                      <w:rFonts w:ascii="Times New Roman"/>
                      <w:sz w:val="18"/>
                      <w:szCs w:val="18"/>
                    </w:rPr>
                  </w:pPr>
                  <w:r>
                    <w:rPr>
                      <w:rStyle w:val="91"/>
                      <w:rFonts w:ascii="Times New Roman"/>
                      <w:sz w:val="18"/>
                      <w:szCs w:val="18"/>
                    </w:rPr>
                    <w:t>最高允许排放速率（kg/h）</w:t>
                  </w:r>
                </w:p>
              </w:tc>
              <w:tc>
                <w:tcPr>
                  <w:tcW w:w="1521"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依  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816"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DA001排气筒</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非甲烷总烃</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120</w:t>
                  </w:r>
                </w:p>
              </w:tc>
              <w:tc>
                <w:tcPr>
                  <w:tcW w:w="580" w:type="pct"/>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15</w:t>
                  </w:r>
                </w:p>
              </w:tc>
              <w:tc>
                <w:tcPr>
                  <w:tcW w:w="837" w:type="pct"/>
                  <w:vAlign w:val="center"/>
                </w:tcPr>
                <w:p>
                  <w:pPr>
                    <w:pStyle w:val="36"/>
                    <w:spacing w:beforeLines="0" w:afterLines="0" w:line="240" w:lineRule="exact"/>
                    <w:rPr>
                      <w:rStyle w:val="91"/>
                      <w:rFonts w:ascii="Times New Roman"/>
                      <w:sz w:val="18"/>
                      <w:szCs w:val="18"/>
                    </w:rPr>
                  </w:pPr>
                  <w:r>
                    <w:rPr>
                      <w:rStyle w:val="91"/>
                      <w:rFonts w:ascii="Times New Roman"/>
                      <w:sz w:val="18"/>
                      <w:szCs w:val="18"/>
                    </w:rPr>
                    <w:t>10</w:t>
                  </w:r>
                </w:p>
              </w:tc>
              <w:tc>
                <w:tcPr>
                  <w:tcW w:w="1521" w:type="pct"/>
                  <w:vMerge w:val="restart"/>
                  <w:shd w:val="clear" w:color="auto" w:fill="auto"/>
                  <w:vAlign w:val="center"/>
                </w:tcPr>
                <w:p>
                  <w:pPr>
                    <w:pStyle w:val="36"/>
                    <w:spacing w:beforeLines="0" w:afterLines="0" w:line="240" w:lineRule="exact"/>
                    <w:rPr>
                      <w:rStyle w:val="91"/>
                      <w:rFonts w:ascii="Times New Roman"/>
                      <w:sz w:val="18"/>
                      <w:szCs w:val="18"/>
                    </w:rPr>
                  </w:pPr>
                  <w:r>
                    <w:rPr>
                      <w:rFonts w:ascii="Times New Roman"/>
                      <w:sz w:val="18"/>
                      <w:szCs w:val="18"/>
                    </w:rPr>
                    <w:t>《大气污染物综合排放标准》（DB50/418-2016）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trPr>
              <w:tc>
                <w:tcPr>
                  <w:tcW w:w="816"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DA002排气筒</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颗粒物</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120</w:t>
                  </w:r>
                </w:p>
              </w:tc>
              <w:tc>
                <w:tcPr>
                  <w:tcW w:w="580" w:type="pct"/>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15</w:t>
                  </w:r>
                </w:p>
              </w:tc>
              <w:tc>
                <w:tcPr>
                  <w:tcW w:w="837" w:type="pct"/>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3</w:t>
                  </w:r>
                  <w:r>
                    <w:rPr>
                      <w:rStyle w:val="91"/>
                      <w:rFonts w:ascii="Times New Roman"/>
                      <w:sz w:val="18"/>
                      <w:szCs w:val="18"/>
                    </w:rPr>
                    <w:t>.5</w:t>
                  </w:r>
                </w:p>
              </w:tc>
              <w:tc>
                <w:tcPr>
                  <w:tcW w:w="1521" w:type="pct"/>
                  <w:vMerge w:val="continue"/>
                  <w:shd w:val="clear" w:color="auto" w:fill="auto"/>
                  <w:vAlign w:val="center"/>
                </w:tcPr>
                <w:p>
                  <w:pPr>
                    <w:pStyle w:val="36"/>
                    <w:spacing w:beforeLines="0" w:afterLines="0" w:line="240" w:lineRule="exact"/>
                    <w:rPr>
                      <w:rStyle w:val="91"/>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816"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DA003排气筒</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颗粒物</w:t>
                  </w:r>
                </w:p>
              </w:tc>
              <w:tc>
                <w:tcPr>
                  <w:tcW w:w="623" w:type="pct"/>
                  <w:shd w:val="clear" w:color="auto" w:fill="auto"/>
                  <w:vAlign w:val="center"/>
                </w:tcPr>
                <w:p>
                  <w:pPr>
                    <w:pStyle w:val="36"/>
                    <w:spacing w:beforeLines="0" w:afterLines="0" w:line="240" w:lineRule="exact"/>
                    <w:rPr>
                      <w:rStyle w:val="91"/>
                      <w:rFonts w:ascii="Times New Roman"/>
                      <w:sz w:val="18"/>
                      <w:szCs w:val="18"/>
                    </w:rPr>
                  </w:pPr>
                  <w:r>
                    <w:rPr>
                      <w:rStyle w:val="91"/>
                      <w:rFonts w:ascii="Times New Roman"/>
                      <w:sz w:val="18"/>
                      <w:szCs w:val="18"/>
                    </w:rPr>
                    <w:t>120</w:t>
                  </w:r>
                </w:p>
              </w:tc>
              <w:tc>
                <w:tcPr>
                  <w:tcW w:w="580" w:type="pct"/>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15</w:t>
                  </w:r>
                </w:p>
              </w:tc>
              <w:tc>
                <w:tcPr>
                  <w:tcW w:w="837" w:type="pct"/>
                  <w:vAlign w:val="center"/>
                </w:tcPr>
                <w:p>
                  <w:pPr>
                    <w:pStyle w:val="36"/>
                    <w:spacing w:beforeLines="0" w:afterLines="0" w:line="240" w:lineRule="exact"/>
                    <w:rPr>
                      <w:rStyle w:val="91"/>
                      <w:rFonts w:ascii="Times New Roman"/>
                      <w:sz w:val="18"/>
                      <w:szCs w:val="18"/>
                    </w:rPr>
                  </w:pPr>
                  <w:r>
                    <w:rPr>
                      <w:rStyle w:val="91"/>
                      <w:rFonts w:hint="eastAsia" w:ascii="Times New Roman"/>
                      <w:sz w:val="18"/>
                      <w:szCs w:val="18"/>
                    </w:rPr>
                    <w:t>3</w:t>
                  </w:r>
                  <w:r>
                    <w:rPr>
                      <w:rStyle w:val="91"/>
                      <w:rFonts w:ascii="Times New Roman"/>
                      <w:sz w:val="18"/>
                      <w:szCs w:val="18"/>
                    </w:rPr>
                    <w:t>.5</w:t>
                  </w:r>
                </w:p>
              </w:tc>
              <w:tc>
                <w:tcPr>
                  <w:tcW w:w="1521" w:type="pct"/>
                  <w:vMerge w:val="continue"/>
                  <w:shd w:val="clear" w:color="auto" w:fill="auto"/>
                  <w:vAlign w:val="center"/>
                </w:tcPr>
                <w:p>
                  <w:pPr>
                    <w:pStyle w:val="36"/>
                    <w:spacing w:beforeLines="0" w:afterLines="0" w:line="240" w:lineRule="exact"/>
                    <w:rPr>
                      <w:rStyle w:val="91"/>
                      <w:rFonts w:ascii="Times New Roman"/>
                      <w:sz w:val="18"/>
                      <w:szCs w:val="18"/>
                    </w:rPr>
                  </w:pPr>
                </w:p>
              </w:tc>
            </w:tr>
          </w:tbl>
          <w:p>
            <w:pPr>
              <w:pStyle w:val="45"/>
              <w:spacing w:after="60"/>
              <w:ind w:firstLine="360"/>
              <w:rPr>
                <w:rFonts w:ascii="Times New Roman" w:hAnsi="Times New Roman"/>
                <w:sz w:val="18"/>
                <w:szCs w:val="18"/>
              </w:rPr>
            </w:pPr>
            <w:r>
              <w:rPr>
                <w:rFonts w:ascii="Times New Roman" w:hAnsi="Times New Roman"/>
                <w:sz w:val="18"/>
                <w:szCs w:val="18"/>
              </w:rPr>
              <w:t>表3.3-</w:t>
            </w:r>
            <w:r>
              <w:rPr>
                <w:rFonts w:hint="eastAsia" w:ascii="Times New Roman" w:hAnsi="Times New Roman"/>
                <w:sz w:val="18"/>
                <w:szCs w:val="18"/>
              </w:rPr>
              <w:t>2</w:t>
            </w:r>
            <w:r>
              <w:rPr>
                <w:rFonts w:ascii="Times New Roman" w:hAnsi="Times New Roman"/>
                <w:sz w:val="18"/>
                <w:szCs w:val="18"/>
              </w:rPr>
              <w:t xml:space="preserve"> </w:t>
            </w:r>
            <w:r>
              <w:rPr>
                <w:rFonts w:hint="eastAsia" w:ascii="Times New Roman" w:hAnsi="Times New Roman"/>
                <w:sz w:val="18"/>
                <w:szCs w:val="18"/>
              </w:rPr>
              <w:t>厂区内无组织废气排放标准</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92"/>
              <w:gridCol w:w="2413"/>
              <w:gridCol w:w="1273"/>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污染物项目</w:t>
                  </w:r>
                </w:p>
              </w:tc>
              <w:tc>
                <w:tcPr>
                  <w:tcW w:w="623"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排放限值mg/m</w:t>
                  </w:r>
                  <w:r>
                    <w:rPr>
                      <w:rFonts w:ascii="Times New Roman"/>
                      <w:sz w:val="18"/>
                      <w:szCs w:val="18"/>
                      <w:vertAlign w:val="superscript"/>
                    </w:rPr>
                    <w:t>3</w:t>
                  </w:r>
                </w:p>
              </w:tc>
              <w:tc>
                <w:tcPr>
                  <w:tcW w:w="1515"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限值含义</w:t>
                  </w:r>
                </w:p>
              </w:tc>
              <w:tc>
                <w:tcPr>
                  <w:tcW w:w="799"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无组织排放监控位置</w:t>
                  </w:r>
                </w:p>
              </w:tc>
              <w:tc>
                <w:tcPr>
                  <w:tcW w:w="1522" w:type="pct"/>
                </w:tcPr>
                <w:p>
                  <w:pPr>
                    <w:pStyle w:val="36"/>
                    <w:spacing w:beforeLines="0" w:afterLines="0" w:line="240" w:lineRule="exact"/>
                    <w:textAlignment w:val="baseline"/>
                    <w:rPr>
                      <w:rFonts w:ascii="Times New Roman"/>
                      <w:sz w:val="18"/>
                      <w:szCs w:val="18"/>
                    </w:rPr>
                  </w:pPr>
                  <w:r>
                    <w:rPr>
                      <w:rFonts w:ascii="Times New Roman"/>
                      <w:sz w:val="18"/>
                      <w:szCs w:val="1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NMHC</w:t>
                  </w:r>
                </w:p>
              </w:tc>
              <w:tc>
                <w:tcPr>
                  <w:tcW w:w="623" w:type="pct"/>
                  <w:shd w:val="clear" w:color="auto" w:fill="auto"/>
                  <w:vAlign w:val="center"/>
                </w:tcPr>
                <w:p>
                  <w:pPr>
                    <w:pStyle w:val="36"/>
                    <w:spacing w:beforeLines="0" w:afterLines="0" w:line="240" w:lineRule="exact"/>
                    <w:textAlignment w:val="baseline"/>
                    <w:rPr>
                      <w:rFonts w:ascii="Times New Roman"/>
                      <w:sz w:val="18"/>
                      <w:szCs w:val="18"/>
                    </w:rPr>
                  </w:pPr>
                  <w:r>
                    <w:rPr>
                      <w:rFonts w:hint="eastAsia" w:ascii="Times New Roman"/>
                      <w:sz w:val="18"/>
                      <w:szCs w:val="18"/>
                    </w:rPr>
                    <w:t>10</w:t>
                  </w:r>
                </w:p>
              </w:tc>
              <w:tc>
                <w:tcPr>
                  <w:tcW w:w="1515"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监控点处1h平均浓度值</w:t>
                  </w:r>
                </w:p>
              </w:tc>
              <w:tc>
                <w:tcPr>
                  <w:tcW w:w="799" w:type="pct"/>
                  <w:vMerge w:val="restar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在厂房外设置监控点</w:t>
                  </w:r>
                </w:p>
              </w:tc>
              <w:tc>
                <w:tcPr>
                  <w:tcW w:w="1522" w:type="pct"/>
                  <w:vMerge w:val="restart"/>
                </w:tcPr>
                <w:p>
                  <w:pPr>
                    <w:pStyle w:val="36"/>
                    <w:spacing w:beforeLines="0" w:afterLines="0" w:line="240" w:lineRule="exact"/>
                    <w:textAlignment w:val="baseline"/>
                    <w:rPr>
                      <w:rFonts w:ascii="Times New Roman"/>
                      <w:sz w:val="18"/>
                      <w:szCs w:val="18"/>
                    </w:rPr>
                  </w:pPr>
                  <w:r>
                    <w:rPr>
                      <w:rFonts w:hint="eastAsia" w:ascii="Times New Roman"/>
                      <w:sz w:val="18"/>
                      <w:szCs w:val="18"/>
                    </w:rPr>
                    <w:t>《挥发性有机物无组织排放控制标准》（GB37822-2019）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shd w:val="clear" w:color="auto" w:fill="auto"/>
                  <w:vAlign w:val="center"/>
                </w:tcPr>
                <w:p>
                  <w:pPr>
                    <w:pStyle w:val="36"/>
                    <w:spacing w:beforeLines="0" w:afterLines="0" w:line="240" w:lineRule="exact"/>
                    <w:textAlignment w:val="baseline"/>
                    <w:rPr>
                      <w:rFonts w:ascii="Times New Roman"/>
                      <w:sz w:val="18"/>
                      <w:szCs w:val="18"/>
                    </w:rPr>
                  </w:pPr>
                </w:p>
              </w:tc>
              <w:tc>
                <w:tcPr>
                  <w:tcW w:w="623" w:type="pct"/>
                  <w:shd w:val="clear" w:color="auto" w:fill="auto"/>
                  <w:vAlign w:val="center"/>
                </w:tcPr>
                <w:p>
                  <w:pPr>
                    <w:pStyle w:val="36"/>
                    <w:spacing w:beforeLines="0" w:afterLines="0" w:line="240" w:lineRule="exact"/>
                    <w:textAlignment w:val="baseline"/>
                    <w:rPr>
                      <w:rFonts w:ascii="Times New Roman"/>
                      <w:sz w:val="18"/>
                      <w:szCs w:val="18"/>
                    </w:rPr>
                  </w:pPr>
                  <w:r>
                    <w:rPr>
                      <w:rFonts w:hint="eastAsia" w:ascii="Times New Roman"/>
                      <w:sz w:val="18"/>
                      <w:szCs w:val="18"/>
                    </w:rPr>
                    <w:t>30</w:t>
                  </w:r>
                </w:p>
              </w:tc>
              <w:tc>
                <w:tcPr>
                  <w:tcW w:w="1515" w:type="pct"/>
                  <w:shd w:val="clear" w:color="auto" w:fill="auto"/>
                  <w:vAlign w:val="center"/>
                </w:tcPr>
                <w:p>
                  <w:pPr>
                    <w:pStyle w:val="36"/>
                    <w:spacing w:beforeLines="0" w:afterLines="0" w:line="240" w:lineRule="exact"/>
                    <w:textAlignment w:val="baseline"/>
                    <w:rPr>
                      <w:rFonts w:ascii="Times New Roman"/>
                      <w:sz w:val="18"/>
                      <w:szCs w:val="18"/>
                    </w:rPr>
                  </w:pPr>
                  <w:r>
                    <w:rPr>
                      <w:rFonts w:ascii="Times New Roman"/>
                      <w:sz w:val="18"/>
                      <w:szCs w:val="18"/>
                    </w:rPr>
                    <w:t>监控点处任意一次浓度值</w:t>
                  </w:r>
                </w:p>
              </w:tc>
              <w:tc>
                <w:tcPr>
                  <w:tcW w:w="799" w:type="pct"/>
                  <w:vMerge w:val="continue"/>
                  <w:shd w:val="clear" w:color="auto" w:fill="auto"/>
                  <w:vAlign w:val="center"/>
                </w:tcPr>
                <w:p>
                  <w:pPr>
                    <w:pStyle w:val="36"/>
                    <w:spacing w:beforeLines="0" w:afterLines="0" w:line="240" w:lineRule="exact"/>
                    <w:textAlignment w:val="baseline"/>
                    <w:rPr>
                      <w:rFonts w:ascii="Times New Roman"/>
                      <w:sz w:val="18"/>
                      <w:szCs w:val="18"/>
                    </w:rPr>
                  </w:pPr>
                </w:p>
              </w:tc>
              <w:tc>
                <w:tcPr>
                  <w:tcW w:w="1522" w:type="pct"/>
                  <w:vMerge w:val="continue"/>
                </w:tcPr>
                <w:p>
                  <w:pPr>
                    <w:pStyle w:val="36"/>
                    <w:spacing w:beforeLines="0" w:afterLines="0" w:line="240" w:lineRule="exact"/>
                    <w:textAlignment w:val="baseline"/>
                    <w:rPr>
                      <w:rFonts w:ascii="Times New Roman"/>
                      <w:sz w:val="18"/>
                      <w:szCs w:val="18"/>
                    </w:rPr>
                  </w:pPr>
                </w:p>
              </w:tc>
            </w:tr>
          </w:tbl>
          <w:p>
            <w:pPr>
              <w:widowControl/>
              <w:adjustRightInd w:val="0"/>
              <w:snapToGrid w:val="0"/>
              <w:spacing w:line="440" w:lineRule="exact"/>
              <w:jc w:val="center"/>
              <w:outlineLvl w:val="0"/>
              <w:rPr>
                <w:sz w:val="18"/>
                <w:szCs w:val="18"/>
              </w:rPr>
            </w:pPr>
            <w:r>
              <w:rPr>
                <w:sz w:val="18"/>
                <w:szCs w:val="18"/>
              </w:rPr>
              <w:t>表3.3-</w:t>
            </w:r>
            <w:r>
              <w:rPr>
                <w:rFonts w:hint="eastAsia"/>
                <w:sz w:val="18"/>
                <w:szCs w:val="18"/>
              </w:rPr>
              <w:t>3</w:t>
            </w:r>
            <w:r>
              <w:rPr>
                <w:sz w:val="18"/>
                <w:szCs w:val="18"/>
              </w:rPr>
              <w:t xml:space="preserve"> </w:t>
            </w:r>
            <w:bookmarkStart w:id="2" w:name="OLE_LINK6"/>
            <w:r>
              <w:rPr>
                <w:rFonts w:hint="eastAsia"/>
                <w:sz w:val="18"/>
                <w:szCs w:val="18"/>
              </w:rPr>
              <w:t>厂界</w:t>
            </w:r>
            <w:r>
              <w:rPr>
                <w:sz w:val="18"/>
                <w:szCs w:val="18"/>
              </w:rPr>
              <w:t>无组织排放标准</w:t>
            </w:r>
          </w:p>
          <w:bookmarkEnd w:id="2"/>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91"/>
              <w:gridCol w:w="2321"/>
              <w:gridCol w:w="3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 w:hRule="atLeast"/>
              </w:trPr>
              <w:tc>
                <w:tcPr>
                  <w:tcW w:w="1627" w:type="pct"/>
                  <w:vMerge w:val="restart"/>
                  <w:vAlign w:val="center"/>
                </w:tcPr>
                <w:p>
                  <w:pPr>
                    <w:pStyle w:val="36"/>
                    <w:spacing w:beforeLines="0" w:afterLines="0" w:line="240" w:lineRule="exact"/>
                    <w:rPr>
                      <w:rFonts w:ascii="Times New Roman"/>
                      <w:sz w:val="18"/>
                      <w:szCs w:val="18"/>
                    </w:rPr>
                  </w:pPr>
                  <w:r>
                    <w:rPr>
                      <w:rFonts w:ascii="Times New Roman"/>
                      <w:sz w:val="18"/>
                      <w:szCs w:val="18"/>
                    </w:rPr>
                    <w:t>污染物</w:t>
                  </w:r>
                </w:p>
              </w:tc>
              <w:tc>
                <w:tcPr>
                  <w:tcW w:w="3373" w:type="pct"/>
                  <w:gridSpan w:val="2"/>
                  <w:vAlign w:val="center"/>
                </w:tcPr>
                <w:p>
                  <w:pPr>
                    <w:pStyle w:val="36"/>
                    <w:spacing w:beforeLines="0" w:afterLines="0" w:line="240" w:lineRule="exact"/>
                    <w:rPr>
                      <w:rFonts w:ascii="Times New Roman"/>
                      <w:sz w:val="18"/>
                      <w:szCs w:val="18"/>
                    </w:rPr>
                  </w:pPr>
                  <w:r>
                    <w:rPr>
                      <w:rFonts w:ascii="Times New Roman"/>
                      <w:sz w:val="18"/>
                      <w:szCs w:val="18"/>
                    </w:rPr>
                    <w:t>无组织排放监控浓度值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 w:hRule="atLeast"/>
              </w:trPr>
              <w:tc>
                <w:tcPr>
                  <w:tcW w:w="1627" w:type="pct"/>
                  <w:vMerge w:val="continue"/>
                  <w:vAlign w:val="center"/>
                </w:tcPr>
                <w:p>
                  <w:pPr>
                    <w:pStyle w:val="36"/>
                    <w:spacing w:beforeLines="0" w:afterLines="0" w:line="240" w:lineRule="exact"/>
                    <w:rPr>
                      <w:rFonts w:ascii="Times New Roman"/>
                      <w:sz w:val="18"/>
                      <w:szCs w:val="18"/>
                    </w:rPr>
                  </w:pPr>
                </w:p>
              </w:tc>
              <w:tc>
                <w:tcPr>
                  <w:tcW w:w="1457" w:type="pct"/>
                  <w:vAlign w:val="center"/>
                </w:tcPr>
                <w:p>
                  <w:pPr>
                    <w:pStyle w:val="36"/>
                    <w:spacing w:beforeLines="0" w:afterLines="0" w:line="240" w:lineRule="exact"/>
                    <w:rPr>
                      <w:rFonts w:ascii="Times New Roman"/>
                      <w:sz w:val="18"/>
                      <w:szCs w:val="18"/>
                    </w:rPr>
                  </w:pPr>
                  <w:r>
                    <w:rPr>
                      <w:rFonts w:ascii="Times New Roman"/>
                      <w:sz w:val="18"/>
                      <w:szCs w:val="18"/>
                    </w:rPr>
                    <w:t>监控点</w:t>
                  </w:r>
                </w:p>
              </w:tc>
              <w:tc>
                <w:tcPr>
                  <w:tcW w:w="1916" w:type="pct"/>
                  <w:vAlign w:val="center"/>
                </w:tcPr>
                <w:p>
                  <w:pPr>
                    <w:pStyle w:val="36"/>
                    <w:spacing w:beforeLines="0" w:afterLines="0" w:line="240" w:lineRule="exact"/>
                    <w:rPr>
                      <w:rFonts w:ascii="Times New Roman"/>
                      <w:sz w:val="18"/>
                      <w:szCs w:val="18"/>
                    </w:rPr>
                  </w:pPr>
                  <w:r>
                    <w:rPr>
                      <w:rFonts w:ascii="Times New Roman"/>
                      <w:sz w:val="18"/>
                      <w:szCs w:val="18"/>
                    </w:rPr>
                    <w:t>浓度mg/m</w:t>
                  </w:r>
                  <w:r>
                    <w:rPr>
                      <w:rFonts w:ascii="Times New Roman"/>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 w:hRule="atLeast"/>
              </w:trPr>
              <w:tc>
                <w:tcPr>
                  <w:tcW w:w="1627" w:type="pct"/>
                  <w:vAlign w:val="center"/>
                </w:tcPr>
                <w:p>
                  <w:pPr>
                    <w:pStyle w:val="36"/>
                    <w:spacing w:beforeLines="0" w:afterLines="0" w:line="240" w:lineRule="exact"/>
                    <w:rPr>
                      <w:rFonts w:ascii="Times New Roman"/>
                      <w:sz w:val="18"/>
                      <w:szCs w:val="18"/>
                    </w:rPr>
                  </w:pPr>
                  <w:r>
                    <w:rPr>
                      <w:rFonts w:ascii="Times New Roman"/>
                      <w:sz w:val="18"/>
                      <w:szCs w:val="18"/>
                    </w:rPr>
                    <w:t>颗粒物</w:t>
                  </w:r>
                </w:p>
              </w:tc>
              <w:tc>
                <w:tcPr>
                  <w:tcW w:w="1457" w:type="pct"/>
                  <w:vMerge w:val="restart"/>
                  <w:vAlign w:val="center"/>
                </w:tcPr>
                <w:p>
                  <w:pPr>
                    <w:pStyle w:val="36"/>
                    <w:spacing w:before="24" w:after="24" w:line="240" w:lineRule="exact"/>
                    <w:rPr>
                      <w:rFonts w:ascii="Times New Roman"/>
                      <w:sz w:val="18"/>
                      <w:szCs w:val="18"/>
                    </w:rPr>
                  </w:pPr>
                  <w:r>
                    <w:rPr>
                      <w:rFonts w:ascii="Times New Roman"/>
                      <w:sz w:val="18"/>
                      <w:szCs w:val="18"/>
                    </w:rPr>
                    <w:t>周界外浓度最高点</w:t>
                  </w:r>
                </w:p>
              </w:tc>
              <w:tc>
                <w:tcPr>
                  <w:tcW w:w="1916" w:type="pct"/>
                  <w:vAlign w:val="center"/>
                </w:tcPr>
                <w:p>
                  <w:pPr>
                    <w:pStyle w:val="36"/>
                    <w:spacing w:beforeLines="0" w:afterLines="0" w:line="240" w:lineRule="exact"/>
                    <w:rPr>
                      <w:rFonts w:ascii="Times New Roman"/>
                      <w:sz w:val="18"/>
                      <w:szCs w:val="18"/>
                    </w:rPr>
                  </w:pPr>
                  <w:r>
                    <w:rPr>
                      <w:rFonts w:ascii="Times New Roman"/>
                      <w:sz w:val="18"/>
                      <w:szCs w:val="18"/>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 w:hRule="atLeast"/>
              </w:trPr>
              <w:tc>
                <w:tcPr>
                  <w:tcW w:w="1627" w:type="pct"/>
                  <w:vAlign w:val="center"/>
                </w:tcPr>
                <w:p>
                  <w:pPr>
                    <w:pStyle w:val="36"/>
                    <w:spacing w:beforeLines="0" w:afterLines="0" w:line="240" w:lineRule="exact"/>
                    <w:rPr>
                      <w:rFonts w:ascii="Times New Roman"/>
                      <w:sz w:val="18"/>
                      <w:szCs w:val="18"/>
                    </w:rPr>
                  </w:pPr>
                  <w:r>
                    <w:rPr>
                      <w:rFonts w:ascii="Times New Roman"/>
                      <w:sz w:val="18"/>
                      <w:szCs w:val="18"/>
                    </w:rPr>
                    <w:t>非甲烷总烃</w:t>
                  </w:r>
                </w:p>
              </w:tc>
              <w:tc>
                <w:tcPr>
                  <w:tcW w:w="1457" w:type="pct"/>
                  <w:vMerge w:val="continue"/>
                  <w:vAlign w:val="center"/>
                </w:tcPr>
                <w:p>
                  <w:pPr>
                    <w:pStyle w:val="36"/>
                    <w:spacing w:beforeLines="0" w:afterLines="0" w:line="240" w:lineRule="exact"/>
                    <w:rPr>
                      <w:rFonts w:ascii="Times New Roman"/>
                      <w:sz w:val="18"/>
                      <w:szCs w:val="18"/>
                    </w:rPr>
                  </w:pPr>
                </w:p>
              </w:tc>
              <w:tc>
                <w:tcPr>
                  <w:tcW w:w="1916" w:type="pct"/>
                  <w:vAlign w:val="center"/>
                </w:tcPr>
                <w:p>
                  <w:pPr>
                    <w:pStyle w:val="36"/>
                    <w:spacing w:beforeLines="0" w:afterLines="0" w:line="240" w:lineRule="exact"/>
                    <w:rPr>
                      <w:rFonts w:ascii="Times New Roman"/>
                      <w:sz w:val="18"/>
                      <w:szCs w:val="18"/>
                    </w:rPr>
                  </w:pPr>
                  <w:r>
                    <w:rPr>
                      <w:rFonts w:ascii="Times New Roman"/>
                      <w:sz w:val="18"/>
                      <w:szCs w:val="18"/>
                    </w:rPr>
                    <w:t>4</w:t>
                  </w:r>
                </w:p>
              </w:tc>
            </w:tr>
          </w:tbl>
          <w:p>
            <w:pPr>
              <w:pStyle w:val="45"/>
              <w:spacing w:after="60"/>
              <w:ind w:firstLine="360"/>
              <w:rPr>
                <w:rFonts w:ascii="Times New Roman" w:hAnsi="Times New Roman"/>
                <w:sz w:val="18"/>
                <w:szCs w:val="18"/>
              </w:rPr>
            </w:pPr>
            <w:r>
              <w:rPr>
                <w:rFonts w:ascii="Times New Roman" w:hAnsi="Times New Roman"/>
                <w:sz w:val="18"/>
                <w:szCs w:val="18"/>
              </w:rPr>
              <w:t>表3.3-</w:t>
            </w:r>
            <w:r>
              <w:rPr>
                <w:rFonts w:hint="eastAsia" w:ascii="Times New Roman" w:hAnsi="Times New Roman"/>
                <w:sz w:val="18"/>
                <w:szCs w:val="18"/>
              </w:rPr>
              <w:t>4</w:t>
            </w:r>
            <w:r>
              <w:rPr>
                <w:rFonts w:ascii="Times New Roman" w:hAnsi="Times New Roman"/>
                <w:sz w:val="18"/>
                <w:szCs w:val="18"/>
              </w:rPr>
              <w:t xml:space="preserve"> 《恶臭污染物排放标准》（GB14554-93）</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7"/>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 w:hRule="atLeast"/>
                <w:jc w:val="center"/>
              </w:trPr>
              <w:tc>
                <w:tcPr>
                  <w:tcW w:w="1555" w:type="pct"/>
                  <w:vAlign w:val="center"/>
                </w:tcPr>
                <w:p>
                  <w:pPr>
                    <w:pStyle w:val="36"/>
                    <w:spacing w:beforeLines="0" w:afterLines="0" w:line="240" w:lineRule="exact"/>
                    <w:rPr>
                      <w:rFonts w:ascii="Times New Roman"/>
                      <w:sz w:val="18"/>
                      <w:szCs w:val="18"/>
                    </w:rPr>
                  </w:pPr>
                  <w:r>
                    <w:rPr>
                      <w:rFonts w:ascii="Times New Roman"/>
                      <w:sz w:val="18"/>
                      <w:szCs w:val="18"/>
                    </w:rPr>
                    <w:t>污染物</w:t>
                  </w:r>
                </w:p>
              </w:tc>
              <w:tc>
                <w:tcPr>
                  <w:tcW w:w="3445" w:type="pct"/>
                  <w:vAlign w:val="center"/>
                </w:tcPr>
                <w:p>
                  <w:pPr>
                    <w:pStyle w:val="36"/>
                    <w:spacing w:beforeLines="0" w:afterLines="0" w:line="240" w:lineRule="exact"/>
                    <w:rPr>
                      <w:rFonts w:ascii="Times New Roman"/>
                      <w:sz w:val="18"/>
                      <w:szCs w:val="18"/>
                    </w:rPr>
                  </w:pPr>
                  <w:r>
                    <w:rPr>
                      <w:rFonts w:ascii="Times New Roman"/>
                      <w:sz w:val="18"/>
                      <w:szCs w:val="18"/>
                    </w:rPr>
                    <w:t>恶臭污染物厂界标准值（mg/m</w:t>
                  </w:r>
                  <w:r>
                    <w:rPr>
                      <w:rFonts w:ascii="Times New Roman"/>
                      <w:sz w:val="18"/>
                      <w:szCs w:val="18"/>
                      <w:vertAlign w:val="superscript"/>
                    </w:rPr>
                    <w:t>3</w:t>
                  </w:r>
                  <w:r>
                    <w:rPr>
                      <w:rFonts w:asci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1555" w:type="pct"/>
                  <w:vAlign w:val="center"/>
                </w:tcPr>
                <w:p>
                  <w:pPr>
                    <w:pStyle w:val="36"/>
                    <w:spacing w:beforeLines="0" w:afterLines="0" w:line="240" w:lineRule="exact"/>
                    <w:rPr>
                      <w:rFonts w:ascii="Times New Roman"/>
                      <w:sz w:val="18"/>
                      <w:szCs w:val="18"/>
                    </w:rPr>
                  </w:pPr>
                  <w:r>
                    <w:rPr>
                      <w:rFonts w:ascii="Times New Roman"/>
                      <w:sz w:val="18"/>
                      <w:szCs w:val="18"/>
                    </w:rPr>
                    <w:t>臭气浓度</w:t>
                  </w:r>
                </w:p>
              </w:tc>
              <w:tc>
                <w:tcPr>
                  <w:tcW w:w="3445" w:type="pct"/>
                  <w:vAlign w:val="center"/>
                </w:tcPr>
                <w:p>
                  <w:pPr>
                    <w:pStyle w:val="36"/>
                    <w:spacing w:beforeLines="0" w:afterLines="0" w:line="240" w:lineRule="exact"/>
                    <w:rPr>
                      <w:rFonts w:ascii="Times New Roman"/>
                      <w:sz w:val="18"/>
                      <w:szCs w:val="18"/>
                    </w:rPr>
                  </w:pPr>
                  <w:r>
                    <w:rPr>
                      <w:rFonts w:ascii="Times New Roman"/>
                      <w:sz w:val="18"/>
                      <w:szCs w:val="18"/>
                    </w:rPr>
                    <w:t>20（单位：无量纲）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 w:hRule="atLeast"/>
                <w:jc w:val="center"/>
              </w:trPr>
              <w:tc>
                <w:tcPr>
                  <w:tcW w:w="1555" w:type="pct"/>
                  <w:vAlign w:val="center"/>
                </w:tcPr>
                <w:p>
                  <w:pPr>
                    <w:pStyle w:val="36"/>
                    <w:spacing w:beforeLines="0" w:afterLines="0" w:line="240" w:lineRule="exact"/>
                    <w:rPr>
                      <w:rFonts w:ascii="Times New Roman"/>
                      <w:sz w:val="18"/>
                      <w:szCs w:val="18"/>
                    </w:rPr>
                  </w:pPr>
                  <w:r>
                    <w:rPr>
                      <w:rFonts w:ascii="Times New Roman"/>
                      <w:sz w:val="18"/>
                      <w:szCs w:val="18"/>
                    </w:rPr>
                    <w:t>硫化氢</w:t>
                  </w:r>
                </w:p>
              </w:tc>
              <w:tc>
                <w:tcPr>
                  <w:tcW w:w="3445" w:type="pct"/>
                  <w:vAlign w:val="center"/>
                </w:tcPr>
                <w:p>
                  <w:pPr>
                    <w:pStyle w:val="36"/>
                    <w:spacing w:beforeLines="0" w:afterLines="0" w:line="240" w:lineRule="exact"/>
                    <w:rPr>
                      <w:rFonts w:ascii="Times New Roman"/>
                      <w:sz w:val="18"/>
                      <w:szCs w:val="18"/>
                    </w:rPr>
                  </w:pPr>
                  <w:r>
                    <w:rPr>
                      <w:rFonts w:ascii="Times New Roman"/>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55" w:type="pct"/>
                  <w:vAlign w:val="center"/>
                </w:tcPr>
                <w:p>
                  <w:pPr>
                    <w:pStyle w:val="36"/>
                    <w:spacing w:beforeLines="0" w:afterLines="0" w:line="240" w:lineRule="exact"/>
                    <w:rPr>
                      <w:rFonts w:ascii="Times New Roman"/>
                      <w:sz w:val="18"/>
                      <w:szCs w:val="18"/>
                    </w:rPr>
                  </w:pPr>
                  <w:r>
                    <w:rPr>
                      <w:rFonts w:ascii="Times New Roman"/>
                      <w:sz w:val="18"/>
                      <w:szCs w:val="18"/>
                    </w:rPr>
                    <w:t>氨</w:t>
                  </w:r>
                </w:p>
              </w:tc>
              <w:tc>
                <w:tcPr>
                  <w:tcW w:w="3445" w:type="pct"/>
                  <w:vAlign w:val="center"/>
                </w:tcPr>
                <w:p>
                  <w:pPr>
                    <w:pStyle w:val="36"/>
                    <w:spacing w:beforeLines="0" w:afterLines="0" w:line="240" w:lineRule="exact"/>
                    <w:rPr>
                      <w:rFonts w:ascii="Times New Roman"/>
                      <w:sz w:val="18"/>
                      <w:szCs w:val="18"/>
                    </w:rPr>
                  </w:pPr>
                  <w:r>
                    <w:rPr>
                      <w:rFonts w:ascii="Times New Roman"/>
                      <w:sz w:val="18"/>
                      <w:szCs w:val="18"/>
                    </w:rPr>
                    <w:t>1.5</w:t>
                  </w:r>
                </w:p>
              </w:tc>
            </w:tr>
          </w:tbl>
          <w:p>
            <w:pPr>
              <w:adjustRightInd w:val="0"/>
              <w:snapToGrid w:val="0"/>
              <w:spacing w:line="440" w:lineRule="exact"/>
              <w:ind w:firstLine="510"/>
              <w:jc w:val="center"/>
              <w:rPr>
                <w:sz w:val="18"/>
                <w:szCs w:val="18"/>
              </w:rPr>
            </w:pPr>
            <w:r>
              <w:rPr>
                <w:sz w:val="18"/>
                <w:szCs w:val="18"/>
              </w:rPr>
              <w:t xml:space="preserve">表3.3-5 </w:t>
            </w:r>
            <w:r>
              <w:rPr>
                <w:rFonts w:hint="eastAsia"/>
                <w:sz w:val="18"/>
                <w:szCs w:val="18"/>
              </w:rPr>
              <w:t>《饮食业大气污染物排放标准》（DB50/859-2018）</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238" w:type="dxa"/>
                  <w:tcBorders>
                    <w:top w:val="single" w:color="auto" w:sz="4" w:space="0"/>
                    <w:left w:val="single" w:color="auto" w:sz="4" w:space="0"/>
                    <w:bottom w:val="single" w:color="auto" w:sz="4" w:space="0"/>
                    <w:right w:val="single" w:color="auto" w:sz="4" w:space="0"/>
                  </w:tcBorders>
                </w:tcPr>
                <w:p>
                  <w:pPr>
                    <w:pStyle w:val="101"/>
                    <w:spacing w:line="240" w:lineRule="exact"/>
                    <w:rPr>
                      <w:color w:val="auto"/>
                      <w:sz w:val="18"/>
                      <w:szCs w:val="18"/>
                    </w:rPr>
                  </w:pPr>
                  <w:r>
                    <w:rPr>
                      <w:color w:val="auto"/>
                      <w:sz w:val="18"/>
                      <w:szCs w:val="18"/>
                    </w:rPr>
                    <w:t>污染物项目</w:t>
                  </w:r>
                </w:p>
              </w:tc>
              <w:tc>
                <w:tcPr>
                  <w:tcW w:w="4441" w:type="dxa"/>
                  <w:tcBorders>
                    <w:top w:val="single" w:color="auto" w:sz="4" w:space="0"/>
                    <w:left w:val="single" w:color="auto" w:sz="4" w:space="0"/>
                    <w:bottom w:val="single" w:color="auto" w:sz="4" w:space="0"/>
                    <w:right w:val="single" w:color="auto" w:sz="4" w:space="0"/>
                  </w:tcBorders>
                </w:tcPr>
                <w:p>
                  <w:pPr>
                    <w:pStyle w:val="101"/>
                    <w:spacing w:line="240" w:lineRule="exact"/>
                    <w:rPr>
                      <w:color w:val="auto"/>
                      <w:sz w:val="18"/>
                      <w:szCs w:val="18"/>
                    </w:rPr>
                  </w:pPr>
                  <w:r>
                    <w:rPr>
                      <w:color w:val="auto"/>
                      <w:sz w:val="18"/>
                      <w:szCs w:val="18"/>
                    </w:rPr>
                    <w:t>最高允许排放浓度（mg/m</w:t>
                  </w:r>
                  <w:r>
                    <w:rPr>
                      <w:color w:val="auto"/>
                      <w:sz w:val="18"/>
                      <w:szCs w:val="18"/>
                      <w:vertAlign w:val="superscript"/>
                    </w:rPr>
                    <w:t>3</w:t>
                  </w:r>
                  <w:r>
                    <w:rPr>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38" w:type="dxa"/>
                  <w:tcBorders>
                    <w:top w:val="single" w:color="auto" w:sz="4" w:space="0"/>
                    <w:left w:val="single" w:color="auto" w:sz="4" w:space="0"/>
                    <w:bottom w:val="single" w:color="auto" w:sz="4" w:space="0"/>
                    <w:right w:val="single" w:color="auto" w:sz="4" w:space="0"/>
                  </w:tcBorders>
                  <w:vAlign w:val="center"/>
                </w:tcPr>
                <w:p>
                  <w:pPr>
                    <w:pStyle w:val="101"/>
                    <w:spacing w:line="240" w:lineRule="exact"/>
                    <w:rPr>
                      <w:color w:val="auto"/>
                      <w:sz w:val="18"/>
                      <w:szCs w:val="18"/>
                    </w:rPr>
                  </w:pPr>
                  <w:r>
                    <w:rPr>
                      <w:color w:val="auto"/>
                      <w:sz w:val="18"/>
                      <w:szCs w:val="18"/>
                    </w:rPr>
                    <w:t>油烟</w:t>
                  </w:r>
                </w:p>
              </w:tc>
              <w:tc>
                <w:tcPr>
                  <w:tcW w:w="4441" w:type="dxa"/>
                  <w:tcBorders>
                    <w:top w:val="single" w:color="auto" w:sz="4" w:space="0"/>
                    <w:left w:val="single" w:color="auto" w:sz="4" w:space="0"/>
                    <w:bottom w:val="single" w:color="auto" w:sz="4" w:space="0"/>
                    <w:right w:val="single" w:color="auto" w:sz="4" w:space="0"/>
                  </w:tcBorders>
                  <w:vAlign w:val="center"/>
                </w:tcPr>
                <w:p>
                  <w:pPr>
                    <w:pStyle w:val="101"/>
                    <w:spacing w:line="240" w:lineRule="exact"/>
                    <w:rPr>
                      <w:color w:val="auto"/>
                      <w:sz w:val="18"/>
                      <w:szCs w:val="18"/>
                    </w:rPr>
                  </w:pPr>
                  <w:r>
                    <w:rPr>
                      <w:color w:val="auto"/>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238" w:type="dxa"/>
                  <w:tcBorders>
                    <w:top w:val="single" w:color="auto" w:sz="4" w:space="0"/>
                    <w:left w:val="single" w:color="auto" w:sz="4" w:space="0"/>
                    <w:bottom w:val="single" w:color="auto" w:sz="4" w:space="0"/>
                    <w:right w:val="single" w:color="auto" w:sz="4" w:space="0"/>
                  </w:tcBorders>
                  <w:vAlign w:val="center"/>
                </w:tcPr>
                <w:p>
                  <w:pPr>
                    <w:pStyle w:val="101"/>
                    <w:spacing w:line="240" w:lineRule="exact"/>
                    <w:rPr>
                      <w:color w:val="auto"/>
                      <w:sz w:val="18"/>
                      <w:szCs w:val="18"/>
                    </w:rPr>
                  </w:pPr>
                  <w:r>
                    <w:rPr>
                      <w:color w:val="auto"/>
                      <w:sz w:val="18"/>
                      <w:szCs w:val="18"/>
                    </w:rPr>
                    <w:t>非甲烷总烃</w:t>
                  </w:r>
                </w:p>
              </w:tc>
              <w:tc>
                <w:tcPr>
                  <w:tcW w:w="4441" w:type="dxa"/>
                  <w:tcBorders>
                    <w:top w:val="single" w:color="auto" w:sz="4" w:space="0"/>
                    <w:left w:val="single" w:color="auto" w:sz="4" w:space="0"/>
                    <w:bottom w:val="single" w:color="auto" w:sz="4" w:space="0"/>
                    <w:right w:val="single" w:color="auto" w:sz="4" w:space="0"/>
                  </w:tcBorders>
                  <w:vAlign w:val="center"/>
                </w:tcPr>
                <w:p>
                  <w:pPr>
                    <w:pStyle w:val="101"/>
                    <w:spacing w:line="240" w:lineRule="exact"/>
                    <w:rPr>
                      <w:color w:val="auto"/>
                      <w:sz w:val="18"/>
                      <w:szCs w:val="18"/>
                    </w:rPr>
                  </w:pPr>
                  <w:r>
                    <w:rPr>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679" w:type="dxa"/>
                  <w:gridSpan w:val="2"/>
                  <w:tcBorders>
                    <w:top w:val="single" w:color="auto" w:sz="4" w:space="0"/>
                    <w:left w:val="single" w:color="auto" w:sz="4" w:space="0"/>
                    <w:bottom w:val="single" w:color="auto" w:sz="4" w:space="0"/>
                    <w:right w:val="single" w:color="auto" w:sz="4" w:space="0"/>
                  </w:tcBorders>
                  <w:vAlign w:val="center"/>
                </w:tcPr>
                <w:p>
                  <w:pPr>
                    <w:pStyle w:val="101"/>
                    <w:spacing w:line="240" w:lineRule="exact"/>
                    <w:jc w:val="both"/>
                    <w:rPr>
                      <w:color w:val="auto"/>
                      <w:sz w:val="18"/>
                      <w:szCs w:val="18"/>
                    </w:rPr>
                  </w:pPr>
                  <w:r>
                    <w:rPr>
                      <w:color w:val="auto"/>
                      <w:sz w:val="18"/>
                      <w:szCs w:val="18"/>
                    </w:rPr>
                    <w:t>注：最高允许排放浓度指任何1 小时浓度均值不得超过的浓度</w:t>
                  </w:r>
                </w:p>
              </w:tc>
            </w:tr>
          </w:tbl>
          <w:p>
            <w:pPr>
              <w:adjustRightInd w:val="0"/>
              <w:snapToGrid w:val="0"/>
              <w:spacing w:line="440" w:lineRule="exact"/>
              <w:ind w:firstLine="510"/>
              <w:rPr>
                <w:sz w:val="24"/>
                <w:lang w:val="en-GB"/>
              </w:rPr>
            </w:pPr>
            <w:r>
              <w:rPr>
                <w:sz w:val="24"/>
                <w:lang w:val="en-GB"/>
              </w:rPr>
              <w:t>（2）废水</w:t>
            </w:r>
          </w:p>
          <w:p>
            <w:pPr>
              <w:adjustRightInd w:val="0"/>
              <w:snapToGrid w:val="0"/>
              <w:spacing w:line="480" w:lineRule="exact"/>
              <w:ind w:firstLine="510"/>
              <w:rPr>
                <w:sz w:val="24"/>
                <w:lang w:val="en-GB"/>
              </w:rPr>
            </w:pPr>
            <w:r>
              <w:rPr>
                <w:rFonts w:hint="eastAsia"/>
                <w:sz w:val="24"/>
                <w:lang w:val="en-GB"/>
              </w:rPr>
              <w:t>厂区内所有废水一并进入厂区内新建污水处理站处理达《污水综合排放标准》（GB8978-1996）三级排放标准（其中氨氮、总氮、总磷参照执行《污水排入城镇下水道水质标准》（GB/T31962-2015））后进入双桥园区污水处理厂近期进一步处理达《城镇污水处理厂污染物排放标准》（GB18918-2002）一级B标后排入苦水河，远期待园区污水处理厂提标改造后进一步处理达《城镇污水处理厂污染物排放标准》（GB18918-2002）一级A标后排入苦水河。</w:t>
            </w:r>
          </w:p>
          <w:p>
            <w:pPr>
              <w:adjustRightInd w:val="0"/>
              <w:snapToGrid w:val="0"/>
              <w:spacing w:line="480" w:lineRule="exact"/>
              <w:ind w:firstLine="510"/>
              <w:jc w:val="center"/>
              <w:rPr>
                <w:sz w:val="18"/>
                <w:szCs w:val="18"/>
              </w:rPr>
            </w:pPr>
            <w:r>
              <w:rPr>
                <w:sz w:val="18"/>
                <w:szCs w:val="18"/>
              </w:rPr>
              <w:t xml:space="preserve">表3.3-6 </w:t>
            </w:r>
            <w:r>
              <w:rPr>
                <w:rFonts w:hint="eastAsia"/>
                <w:sz w:val="18"/>
                <w:szCs w:val="18"/>
              </w:rPr>
              <w:t>废水执行标准</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134"/>
              <w:gridCol w:w="1418"/>
              <w:gridCol w:w="567"/>
              <w:gridCol w:w="567"/>
              <w:gridCol w:w="567"/>
              <w:gridCol w:w="567"/>
              <w:gridCol w:w="709"/>
              <w:gridCol w:w="451"/>
              <w:gridCol w:w="543"/>
              <w:gridCol w:w="565"/>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988" w:type="pct"/>
                  <w:gridSpan w:val="2"/>
                  <w:vMerge w:val="restart"/>
                  <w:vAlign w:val="center"/>
                </w:tcPr>
                <w:p>
                  <w:pPr>
                    <w:jc w:val="center"/>
                    <w:rPr>
                      <w:sz w:val="18"/>
                      <w:szCs w:val="18"/>
                    </w:rPr>
                  </w:pPr>
                  <w:r>
                    <w:rPr>
                      <w:rFonts w:hint="eastAsia"/>
                      <w:sz w:val="18"/>
                      <w:szCs w:val="18"/>
                    </w:rPr>
                    <w:t>去向</w:t>
                  </w:r>
                </w:p>
              </w:tc>
              <w:tc>
                <w:tcPr>
                  <w:tcW w:w="890" w:type="pct"/>
                  <w:vMerge w:val="restart"/>
                  <w:vAlign w:val="center"/>
                </w:tcPr>
                <w:p>
                  <w:pPr>
                    <w:jc w:val="center"/>
                    <w:rPr>
                      <w:sz w:val="18"/>
                      <w:szCs w:val="18"/>
                    </w:rPr>
                  </w:pPr>
                  <w:r>
                    <w:rPr>
                      <w:sz w:val="18"/>
                      <w:szCs w:val="18"/>
                    </w:rPr>
                    <w:t>执行标准</w:t>
                  </w:r>
                </w:p>
              </w:tc>
              <w:tc>
                <w:tcPr>
                  <w:tcW w:w="3122" w:type="pct"/>
                  <w:gridSpan w:val="9"/>
                  <w:vAlign w:val="center"/>
                </w:tcPr>
                <w:p>
                  <w:pPr>
                    <w:jc w:val="center"/>
                    <w:rPr>
                      <w:sz w:val="18"/>
                      <w:szCs w:val="18"/>
                    </w:rPr>
                  </w:pPr>
                  <w:r>
                    <w:rPr>
                      <w:sz w:val="18"/>
                      <w:szCs w:val="18"/>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988" w:type="pct"/>
                  <w:gridSpan w:val="2"/>
                  <w:vMerge w:val="continue"/>
                  <w:vAlign w:val="center"/>
                </w:tcPr>
                <w:p>
                  <w:pPr>
                    <w:widowControl/>
                    <w:jc w:val="center"/>
                    <w:rPr>
                      <w:sz w:val="18"/>
                      <w:szCs w:val="18"/>
                    </w:rPr>
                  </w:pPr>
                </w:p>
              </w:tc>
              <w:tc>
                <w:tcPr>
                  <w:tcW w:w="890" w:type="pct"/>
                  <w:vMerge w:val="continue"/>
                  <w:vAlign w:val="center"/>
                </w:tcPr>
                <w:p>
                  <w:pPr>
                    <w:widowControl/>
                    <w:jc w:val="center"/>
                    <w:rPr>
                      <w:sz w:val="18"/>
                      <w:szCs w:val="18"/>
                    </w:rPr>
                  </w:pPr>
                </w:p>
              </w:tc>
              <w:tc>
                <w:tcPr>
                  <w:tcW w:w="356" w:type="pct"/>
                  <w:vAlign w:val="center"/>
                </w:tcPr>
                <w:p>
                  <w:pPr>
                    <w:jc w:val="center"/>
                    <w:rPr>
                      <w:sz w:val="18"/>
                      <w:szCs w:val="18"/>
                    </w:rPr>
                  </w:pPr>
                  <w:r>
                    <w:rPr>
                      <w:sz w:val="18"/>
                      <w:szCs w:val="18"/>
                    </w:rPr>
                    <w:t>pH</w:t>
                  </w:r>
                </w:p>
              </w:tc>
              <w:tc>
                <w:tcPr>
                  <w:tcW w:w="356" w:type="pct"/>
                  <w:vAlign w:val="center"/>
                </w:tcPr>
                <w:p>
                  <w:pPr>
                    <w:jc w:val="center"/>
                    <w:rPr>
                      <w:sz w:val="18"/>
                      <w:szCs w:val="18"/>
                    </w:rPr>
                  </w:pPr>
                  <w:r>
                    <w:rPr>
                      <w:sz w:val="18"/>
                      <w:szCs w:val="18"/>
                    </w:rPr>
                    <w:t>COD</w:t>
                  </w:r>
                </w:p>
              </w:tc>
              <w:tc>
                <w:tcPr>
                  <w:tcW w:w="356" w:type="pct"/>
                  <w:vAlign w:val="center"/>
                </w:tcPr>
                <w:p>
                  <w:pPr>
                    <w:jc w:val="center"/>
                    <w:rPr>
                      <w:sz w:val="18"/>
                      <w:szCs w:val="18"/>
                    </w:rPr>
                  </w:pPr>
                  <w:r>
                    <w:rPr>
                      <w:sz w:val="18"/>
                      <w:szCs w:val="18"/>
                    </w:rPr>
                    <w:t>SS</w:t>
                  </w:r>
                </w:p>
              </w:tc>
              <w:tc>
                <w:tcPr>
                  <w:tcW w:w="356" w:type="pct"/>
                  <w:vAlign w:val="center"/>
                </w:tcPr>
                <w:p>
                  <w:pPr>
                    <w:jc w:val="center"/>
                    <w:rPr>
                      <w:sz w:val="18"/>
                      <w:szCs w:val="18"/>
                    </w:rPr>
                  </w:pPr>
                  <w:r>
                    <w:rPr>
                      <w:sz w:val="18"/>
                      <w:szCs w:val="18"/>
                    </w:rPr>
                    <w:t>BOD</w:t>
                  </w:r>
                  <w:r>
                    <w:rPr>
                      <w:sz w:val="18"/>
                      <w:szCs w:val="18"/>
                      <w:vertAlign w:val="subscript"/>
                    </w:rPr>
                    <w:t>5</w:t>
                  </w:r>
                </w:p>
              </w:tc>
              <w:tc>
                <w:tcPr>
                  <w:tcW w:w="445" w:type="pct"/>
                  <w:vAlign w:val="center"/>
                </w:tcPr>
                <w:p>
                  <w:pPr>
                    <w:jc w:val="center"/>
                    <w:rPr>
                      <w:sz w:val="18"/>
                      <w:szCs w:val="18"/>
                    </w:rPr>
                  </w:pPr>
                  <w:r>
                    <w:rPr>
                      <w:sz w:val="18"/>
                      <w:szCs w:val="18"/>
                    </w:rPr>
                    <w:t>氨氮</w:t>
                  </w:r>
                </w:p>
              </w:tc>
              <w:tc>
                <w:tcPr>
                  <w:tcW w:w="283" w:type="pct"/>
                  <w:tcBorders>
                    <w:right w:val="single" w:color="000000" w:sz="8" w:space="0"/>
                  </w:tcBorders>
                  <w:vAlign w:val="center"/>
                </w:tcPr>
                <w:p>
                  <w:pPr>
                    <w:jc w:val="center"/>
                    <w:rPr>
                      <w:iCs/>
                      <w:sz w:val="18"/>
                      <w:szCs w:val="18"/>
                    </w:rPr>
                  </w:pPr>
                  <w:r>
                    <w:rPr>
                      <w:iCs/>
                      <w:sz w:val="18"/>
                      <w:szCs w:val="18"/>
                    </w:rPr>
                    <w:t>石油类</w:t>
                  </w:r>
                </w:p>
              </w:tc>
              <w:tc>
                <w:tcPr>
                  <w:tcW w:w="341" w:type="pct"/>
                  <w:tcBorders>
                    <w:left w:val="single" w:color="000000" w:sz="8" w:space="0"/>
                    <w:right w:val="single" w:color="auto" w:sz="4" w:space="0"/>
                  </w:tcBorders>
                  <w:vAlign w:val="center"/>
                </w:tcPr>
                <w:p>
                  <w:pPr>
                    <w:jc w:val="center"/>
                    <w:rPr>
                      <w:iCs/>
                      <w:sz w:val="18"/>
                      <w:szCs w:val="18"/>
                    </w:rPr>
                  </w:pPr>
                  <w:r>
                    <w:rPr>
                      <w:iCs/>
                      <w:sz w:val="18"/>
                      <w:szCs w:val="18"/>
                    </w:rPr>
                    <w:t>动植物油</w:t>
                  </w:r>
                </w:p>
              </w:tc>
              <w:tc>
                <w:tcPr>
                  <w:tcW w:w="355" w:type="pct"/>
                  <w:tcBorders>
                    <w:left w:val="single" w:color="auto" w:sz="4" w:space="0"/>
                    <w:right w:val="single" w:color="auto" w:sz="4" w:space="0"/>
                  </w:tcBorders>
                  <w:vAlign w:val="center"/>
                </w:tcPr>
                <w:p>
                  <w:pPr>
                    <w:jc w:val="center"/>
                    <w:rPr>
                      <w:iCs/>
                      <w:sz w:val="18"/>
                      <w:szCs w:val="18"/>
                    </w:rPr>
                  </w:pPr>
                  <w:r>
                    <w:rPr>
                      <w:rFonts w:hint="eastAsia"/>
                      <w:iCs/>
                      <w:sz w:val="18"/>
                      <w:szCs w:val="18"/>
                    </w:rPr>
                    <w:t>总氮</w:t>
                  </w:r>
                </w:p>
              </w:tc>
              <w:tc>
                <w:tcPr>
                  <w:tcW w:w="274" w:type="pct"/>
                  <w:tcBorders>
                    <w:left w:val="single" w:color="auto" w:sz="4" w:space="0"/>
                  </w:tcBorders>
                  <w:vAlign w:val="center"/>
                </w:tcPr>
                <w:p>
                  <w:pPr>
                    <w:jc w:val="center"/>
                    <w:rPr>
                      <w:iCs/>
                      <w:sz w:val="18"/>
                      <w:szCs w:val="18"/>
                    </w:rPr>
                  </w:pPr>
                  <w:r>
                    <w:rPr>
                      <w:rFonts w:hint="eastAsia"/>
                      <w:iCs/>
                      <w:sz w:val="18"/>
                      <w:szCs w:val="18"/>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988" w:type="pct"/>
                  <w:gridSpan w:val="2"/>
                  <w:vAlign w:val="center"/>
                </w:tcPr>
                <w:p>
                  <w:pPr>
                    <w:jc w:val="center"/>
                    <w:rPr>
                      <w:sz w:val="18"/>
                      <w:szCs w:val="18"/>
                    </w:rPr>
                  </w:pPr>
                  <w:r>
                    <w:rPr>
                      <w:rFonts w:hint="eastAsia"/>
                      <w:sz w:val="18"/>
                      <w:szCs w:val="18"/>
                    </w:rPr>
                    <w:t>排入双桥园区污水处理厂</w:t>
                  </w:r>
                </w:p>
              </w:tc>
              <w:tc>
                <w:tcPr>
                  <w:tcW w:w="890" w:type="pct"/>
                  <w:vAlign w:val="center"/>
                </w:tcPr>
                <w:p>
                  <w:pPr>
                    <w:jc w:val="center"/>
                    <w:rPr>
                      <w:sz w:val="18"/>
                      <w:szCs w:val="18"/>
                    </w:rPr>
                  </w:pPr>
                  <w:r>
                    <w:rPr>
                      <w:sz w:val="18"/>
                      <w:szCs w:val="18"/>
                    </w:rPr>
                    <w:t>（GB8978-1996）三级标准</w:t>
                  </w:r>
                </w:p>
              </w:tc>
              <w:tc>
                <w:tcPr>
                  <w:tcW w:w="356" w:type="pct"/>
                  <w:vAlign w:val="center"/>
                </w:tcPr>
                <w:p>
                  <w:pPr>
                    <w:jc w:val="center"/>
                    <w:rPr>
                      <w:sz w:val="18"/>
                      <w:szCs w:val="18"/>
                    </w:rPr>
                  </w:pPr>
                  <w:r>
                    <w:rPr>
                      <w:sz w:val="18"/>
                      <w:szCs w:val="18"/>
                    </w:rPr>
                    <w:t>6~9</w:t>
                  </w:r>
                </w:p>
              </w:tc>
              <w:tc>
                <w:tcPr>
                  <w:tcW w:w="356" w:type="pct"/>
                  <w:vAlign w:val="center"/>
                </w:tcPr>
                <w:p>
                  <w:pPr>
                    <w:jc w:val="center"/>
                    <w:rPr>
                      <w:sz w:val="18"/>
                      <w:szCs w:val="18"/>
                    </w:rPr>
                  </w:pPr>
                  <w:r>
                    <w:rPr>
                      <w:sz w:val="18"/>
                      <w:szCs w:val="18"/>
                    </w:rPr>
                    <w:t>500</w:t>
                  </w:r>
                </w:p>
              </w:tc>
              <w:tc>
                <w:tcPr>
                  <w:tcW w:w="356" w:type="pct"/>
                  <w:vAlign w:val="center"/>
                </w:tcPr>
                <w:p>
                  <w:pPr>
                    <w:jc w:val="center"/>
                    <w:rPr>
                      <w:sz w:val="18"/>
                      <w:szCs w:val="18"/>
                    </w:rPr>
                  </w:pPr>
                  <w:r>
                    <w:rPr>
                      <w:sz w:val="18"/>
                      <w:szCs w:val="18"/>
                    </w:rPr>
                    <w:t>400</w:t>
                  </w:r>
                </w:p>
              </w:tc>
              <w:tc>
                <w:tcPr>
                  <w:tcW w:w="356" w:type="pct"/>
                  <w:vAlign w:val="center"/>
                </w:tcPr>
                <w:p>
                  <w:pPr>
                    <w:jc w:val="center"/>
                    <w:rPr>
                      <w:sz w:val="18"/>
                      <w:szCs w:val="18"/>
                    </w:rPr>
                  </w:pPr>
                  <w:r>
                    <w:rPr>
                      <w:sz w:val="18"/>
                      <w:szCs w:val="18"/>
                    </w:rPr>
                    <w:t>300</w:t>
                  </w:r>
                </w:p>
              </w:tc>
              <w:tc>
                <w:tcPr>
                  <w:tcW w:w="445" w:type="pct"/>
                  <w:vAlign w:val="center"/>
                </w:tcPr>
                <w:p>
                  <w:pPr>
                    <w:jc w:val="center"/>
                    <w:rPr>
                      <w:sz w:val="18"/>
                      <w:szCs w:val="18"/>
                    </w:rPr>
                  </w:pPr>
                  <w:r>
                    <w:rPr>
                      <w:sz w:val="18"/>
                      <w:szCs w:val="18"/>
                    </w:rPr>
                    <w:t>45*</w:t>
                  </w:r>
                </w:p>
              </w:tc>
              <w:tc>
                <w:tcPr>
                  <w:tcW w:w="283" w:type="pct"/>
                  <w:tcBorders>
                    <w:right w:val="single" w:color="000000" w:sz="8" w:space="0"/>
                  </w:tcBorders>
                  <w:vAlign w:val="center"/>
                </w:tcPr>
                <w:p>
                  <w:pPr>
                    <w:jc w:val="center"/>
                    <w:rPr>
                      <w:iCs/>
                      <w:sz w:val="18"/>
                      <w:szCs w:val="18"/>
                    </w:rPr>
                  </w:pPr>
                  <w:r>
                    <w:rPr>
                      <w:iCs/>
                      <w:sz w:val="18"/>
                      <w:szCs w:val="18"/>
                    </w:rPr>
                    <w:t>20</w:t>
                  </w:r>
                </w:p>
              </w:tc>
              <w:tc>
                <w:tcPr>
                  <w:tcW w:w="341" w:type="pct"/>
                  <w:tcBorders>
                    <w:left w:val="single" w:color="000000" w:sz="8" w:space="0"/>
                    <w:right w:val="single" w:color="auto" w:sz="4" w:space="0"/>
                  </w:tcBorders>
                  <w:vAlign w:val="center"/>
                </w:tcPr>
                <w:p>
                  <w:pPr>
                    <w:jc w:val="center"/>
                    <w:rPr>
                      <w:iCs/>
                      <w:sz w:val="18"/>
                      <w:szCs w:val="18"/>
                    </w:rPr>
                  </w:pPr>
                  <w:r>
                    <w:rPr>
                      <w:iCs/>
                      <w:sz w:val="18"/>
                      <w:szCs w:val="18"/>
                    </w:rPr>
                    <w:t>100</w:t>
                  </w:r>
                </w:p>
              </w:tc>
              <w:tc>
                <w:tcPr>
                  <w:tcW w:w="355" w:type="pct"/>
                  <w:tcBorders>
                    <w:left w:val="single" w:color="auto" w:sz="4" w:space="0"/>
                    <w:right w:val="single" w:color="auto" w:sz="4" w:space="0"/>
                  </w:tcBorders>
                  <w:vAlign w:val="center"/>
                </w:tcPr>
                <w:p>
                  <w:pPr>
                    <w:jc w:val="center"/>
                    <w:rPr>
                      <w:rFonts w:eastAsia="等线"/>
                      <w:iCs/>
                      <w:sz w:val="18"/>
                      <w:szCs w:val="18"/>
                    </w:rPr>
                  </w:pPr>
                  <w:r>
                    <w:rPr>
                      <w:rFonts w:hint="eastAsia" w:eastAsia="等线"/>
                      <w:iCs/>
                      <w:sz w:val="18"/>
                      <w:szCs w:val="18"/>
                    </w:rPr>
                    <w:t>7</w:t>
                  </w:r>
                  <w:r>
                    <w:rPr>
                      <w:rFonts w:eastAsia="等线"/>
                      <w:iCs/>
                      <w:sz w:val="18"/>
                      <w:szCs w:val="18"/>
                    </w:rPr>
                    <w:t>0</w:t>
                  </w:r>
                  <w:r>
                    <w:rPr>
                      <w:sz w:val="18"/>
                      <w:szCs w:val="18"/>
                    </w:rPr>
                    <w:t>*</w:t>
                  </w:r>
                </w:p>
              </w:tc>
              <w:tc>
                <w:tcPr>
                  <w:tcW w:w="274" w:type="pct"/>
                  <w:tcBorders>
                    <w:left w:val="single" w:color="auto" w:sz="4" w:space="0"/>
                  </w:tcBorders>
                  <w:vAlign w:val="center"/>
                </w:tcPr>
                <w:p>
                  <w:pPr>
                    <w:jc w:val="center"/>
                    <w:rPr>
                      <w:rFonts w:eastAsia="等线"/>
                      <w:iCs/>
                      <w:sz w:val="18"/>
                      <w:szCs w:val="18"/>
                    </w:rPr>
                  </w:pPr>
                  <w:r>
                    <w:rPr>
                      <w:rFonts w:eastAsia="等线"/>
                      <w:iCs/>
                      <w:sz w:val="18"/>
                      <w:szCs w:val="18"/>
                    </w:rPr>
                    <w:t>8</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76" w:type="pct"/>
                  <w:vMerge w:val="restart"/>
                  <w:vAlign w:val="center"/>
                </w:tcPr>
                <w:p>
                  <w:pPr>
                    <w:jc w:val="center"/>
                    <w:rPr>
                      <w:sz w:val="18"/>
                      <w:szCs w:val="18"/>
                    </w:rPr>
                  </w:pPr>
                  <w:r>
                    <w:rPr>
                      <w:rFonts w:hint="eastAsia"/>
                      <w:sz w:val="18"/>
                      <w:szCs w:val="18"/>
                    </w:rPr>
                    <w:t>排入环境</w:t>
                  </w:r>
                </w:p>
              </w:tc>
              <w:tc>
                <w:tcPr>
                  <w:tcW w:w="712" w:type="pct"/>
                  <w:vAlign w:val="center"/>
                </w:tcPr>
                <w:p>
                  <w:pPr>
                    <w:jc w:val="center"/>
                    <w:rPr>
                      <w:sz w:val="18"/>
                      <w:szCs w:val="18"/>
                    </w:rPr>
                  </w:pPr>
                  <w:r>
                    <w:rPr>
                      <w:rFonts w:hint="eastAsia"/>
                      <w:sz w:val="18"/>
                      <w:szCs w:val="18"/>
                    </w:rPr>
                    <w:t>近期</w:t>
                  </w:r>
                </w:p>
              </w:tc>
              <w:tc>
                <w:tcPr>
                  <w:tcW w:w="890" w:type="pct"/>
                  <w:vAlign w:val="center"/>
                </w:tcPr>
                <w:p>
                  <w:pPr>
                    <w:jc w:val="center"/>
                    <w:rPr>
                      <w:sz w:val="18"/>
                      <w:szCs w:val="18"/>
                    </w:rPr>
                  </w:pPr>
                  <w:r>
                    <w:rPr>
                      <w:sz w:val="18"/>
                      <w:szCs w:val="18"/>
                    </w:rPr>
                    <w:t>（GB18918-2002）一级B标</w:t>
                  </w:r>
                </w:p>
              </w:tc>
              <w:tc>
                <w:tcPr>
                  <w:tcW w:w="356" w:type="pct"/>
                  <w:vAlign w:val="center"/>
                </w:tcPr>
                <w:p>
                  <w:pPr>
                    <w:jc w:val="center"/>
                    <w:rPr>
                      <w:sz w:val="18"/>
                      <w:szCs w:val="18"/>
                    </w:rPr>
                  </w:pPr>
                  <w:r>
                    <w:rPr>
                      <w:sz w:val="18"/>
                      <w:szCs w:val="18"/>
                    </w:rPr>
                    <w:t>6~9</w:t>
                  </w:r>
                </w:p>
              </w:tc>
              <w:tc>
                <w:tcPr>
                  <w:tcW w:w="356" w:type="pct"/>
                  <w:vAlign w:val="center"/>
                </w:tcPr>
                <w:p>
                  <w:pPr>
                    <w:jc w:val="center"/>
                    <w:rPr>
                      <w:sz w:val="18"/>
                      <w:szCs w:val="18"/>
                    </w:rPr>
                  </w:pPr>
                  <w:r>
                    <w:rPr>
                      <w:sz w:val="18"/>
                      <w:szCs w:val="18"/>
                    </w:rPr>
                    <w:t>60</w:t>
                  </w:r>
                </w:p>
              </w:tc>
              <w:tc>
                <w:tcPr>
                  <w:tcW w:w="356" w:type="pct"/>
                  <w:vAlign w:val="center"/>
                </w:tcPr>
                <w:p>
                  <w:pPr>
                    <w:jc w:val="center"/>
                    <w:rPr>
                      <w:sz w:val="18"/>
                      <w:szCs w:val="18"/>
                    </w:rPr>
                  </w:pPr>
                  <w:r>
                    <w:rPr>
                      <w:sz w:val="18"/>
                      <w:szCs w:val="18"/>
                    </w:rPr>
                    <w:t>20</w:t>
                  </w:r>
                </w:p>
              </w:tc>
              <w:tc>
                <w:tcPr>
                  <w:tcW w:w="356" w:type="pct"/>
                  <w:vAlign w:val="center"/>
                </w:tcPr>
                <w:p>
                  <w:pPr>
                    <w:jc w:val="center"/>
                    <w:rPr>
                      <w:sz w:val="18"/>
                      <w:szCs w:val="18"/>
                    </w:rPr>
                  </w:pPr>
                  <w:r>
                    <w:rPr>
                      <w:sz w:val="18"/>
                      <w:szCs w:val="18"/>
                    </w:rPr>
                    <w:t>20</w:t>
                  </w:r>
                </w:p>
              </w:tc>
              <w:tc>
                <w:tcPr>
                  <w:tcW w:w="445" w:type="pct"/>
                  <w:vAlign w:val="center"/>
                </w:tcPr>
                <w:p>
                  <w:pPr>
                    <w:jc w:val="center"/>
                    <w:rPr>
                      <w:sz w:val="18"/>
                      <w:szCs w:val="18"/>
                    </w:rPr>
                  </w:pPr>
                  <w:r>
                    <w:rPr>
                      <w:sz w:val="18"/>
                      <w:szCs w:val="18"/>
                    </w:rPr>
                    <w:t>8（15）</w:t>
                  </w:r>
                </w:p>
              </w:tc>
              <w:tc>
                <w:tcPr>
                  <w:tcW w:w="283" w:type="pct"/>
                  <w:tcBorders>
                    <w:right w:val="single" w:color="000000" w:sz="8" w:space="0"/>
                  </w:tcBorders>
                  <w:vAlign w:val="center"/>
                </w:tcPr>
                <w:p>
                  <w:pPr>
                    <w:jc w:val="center"/>
                    <w:rPr>
                      <w:iCs/>
                      <w:sz w:val="18"/>
                      <w:szCs w:val="18"/>
                    </w:rPr>
                  </w:pPr>
                  <w:r>
                    <w:rPr>
                      <w:iCs/>
                      <w:sz w:val="18"/>
                      <w:szCs w:val="18"/>
                    </w:rPr>
                    <w:t>3</w:t>
                  </w:r>
                </w:p>
              </w:tc>
              <w:tc>
                <w:tcPr>
                  <w:tcW w:w="341" w:type="pct"/>
                  <w:tcBorders>
                    <w:left w:val="single" w:color="000000" w:sz="8" w:space="0"/>
                    <w:right w:val="single" w:color="auto" w:sz="4" w:space="0"/>
                  </w:tcBorders>
                  <w:vAlign w:val="center"/>
                </w:tcPr>
                <w:p>
                  <w:pPr>
                    <w:jc w:val="center"/>
                    <w:rPr>
                      <w:iCs/>
                      <w:sz w:val="18"/>
                      <w:szCs w:val="18"/>
                    </w:rPr>
                  </w:pPr>
                  <w:r>
                    <w:rPr>
                      <w:iCs/>
                      <w:sz w:val="18"/>
                      <w:szCs w:val="18"/>
                    </w:rPr>
                    <w:t>3</w:t>
                  </w:r>
                </w:p>
              </w:tc>
              <w:tc>
                <w:tcPr>
                  <w:tcW w:w="355" w:type="pct"/>
                  <w:tcBorders>
                    <w:left w:val="single" w:color="auto" w:sz="4" w:space="0"/>
                    <w:right w:val="single" w:color="auto" w:sz="4" w:space="0"/>
                  </w:tcBorders>
                  <w:vAlign w:val="center"/>
                </w:tcPr>
                <w:p>
                  <w:pPr>
                    <w:jc w:val="center"/>
                    <w:rPr>
                      <w:rFonts w:eastAsia="等线"/>
                      <w:iCs/>
                      <w:sz w:val="18"/>
                      <w:szCs w:val="18"/>
                    </w:rPr>
                  </w:pPr>
                  <w:r>
                    <w:rPr>
                      <w:rFonts w:eastAsia="等线"/>
                      <w:iCs/>
                      <w:sz w:val="18"/>
                      <w:szCs w:val="18"/>
                    </w:rPr>
                    <w:t>20</w:t>
                  </w:r>
                </w:p>
              </w:tc>
              <w:tc>
                <w:tcPr>
                  <w:tcW w:w="274" w:type="pct"/>
                  <w:tcBorders>
                    <w:left w:val="single" w:color="auto" w:sz="4" w:space="0"/>
                  </w:tcBorders>
                  <w:vAlign w:val="center"/>
                </w:tcPr>
                <w:p>
                  <w:pPr>
                    <w:jc w:val="center"/>
                    <w:rPr>
                      <w:rFonts w:eastAsia="等线"/>
                      <w:iCs/>
                      <w:sz w:val="18"/>
                      <w:szCs w:val="18"/>
                    </w:rPr>
                  </w:pPr>
                  <w:r>
                    <w:rPr>
                      <w:rFonts w:hint="eastAsia" w:eastAsia="等线"/>
                      <w:i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276" w:type="pct"/>
                  <w:vMerge w:val="continue"/>
                  <w:vAlign w:val="center"/>
                </w:tcPr>
                <w:p>
                  <w:pPr>
                    <w:jc w:val="center"/>
                    <w:rPr>
                      <w:sz w:val="18"/>
                      <w:szCs w:val="18"/>
                    </w:rPr>
                  </w:pPr>
                </w:p>
              </w:tc>
              <w:tc>
                <w:tcPr>
                  <w:tcW w:w="712" w:type="pct"/>
                  <w:vAlign w:val="center"/>
                </w:tcPr>
                <w:p>
                  <w:pPr>
                    <w:jc w:val="center"/>
                    <w:rPr>
                      <w:sz w:val="18"/>
                      <w:szCs w:val="18"/>
                    </w:rPr>
                  </w:pPr>
                  <w:r>
                    <w:rPr>
                      <w:rFonts w:hint="eastAsia"/>
                      <w:sz w:val="18"/>
                      <w:szCs w:val="18"/>
                    </w:rPr>
                    <w:t>远期（提标改造后）</w:t>
                  </w:r>
                </w:p>
              </w:tc>
              <w:tc>
                <w:tcPr>
                  <w:tcW w:w="890" w:type="pct"/>
                  <w:vAlign w:val="center"/>
                </w:tcPr>
                <w:p>
                  <w:pPr>
                    <w:jc w:val="center"/>
                    <w:rPr>
                      <w:sz w:val="18"/>
                      <w:szCs w:val="18"/>
                    </w:rPr>
                  </w:pPr>
                  <w:r>
                    <w:rPr>
                      <w:sz w:val="18"/>
                      <w:szCs w:val="18"/>
                    </w:rPr>
                    <w:t>（GB18918-2002）一级</w:t>
                  </w:r>
                  <w:r>
                    <w:rPr>
                      <w:rFonts w:hint="eastAsia"/>
                      <w:sz w:val="18"/>
                      <w:szCs w:val="18"/>
                    </w:rPr>
                    <w:t>A</w:t>
                  </w:r>
                  <w:r>
                    <w:rPr>
                      <w:sz w:val="18"/>
                      <w:szCs w:val="18"/>
                    </w:rPr>
                    <w:t>标</w:t>
                  </w:r>
                </w:p>
              </w:tc>
              <w:tc>
                <w:tcPr>
                  <w:tcW w:w="356" w:type="pct"/>
                  <w:vAlign w:val="center"/>
                </w:tcPr>
                <w:p>
                  <w:pPr>
                    <w:jc w:val="center"/>
                    <w:rPr>
                      <w:sz w:val="18"/>
                      <w:szCs w:val="18"/>
                    </w:rPr>
                  </w:pPr>
                  <w:r>
                    <w:rPr>
                      <w:sz w:val="18"/>
                      <w:szCs w:val="18"/>
                    </w:rPr>
                    <w:t>6~9</w:t>
                  </w:r>
                </w:p>
              </w:tc>
              <w:tc>
                <w:tcPr>
                  <w:tcW w:w="356" w:type="pct"/>
                  <w:vAlign w:val="center"/>
                </w:tcPr>
                <w:p>
                  <w:pPr>
                    <w:jc w:val="center"/>
                    <w:rPr>
                      <w:sz w:val="18"/>
                      <w:szCs w:val="18"/>
                    </w:rPr>
                  </w:pPr>
                  <w:r>
                    <w:rPr>
                      <w:rFonts w:hint="eastAsia"/>
                      <w:sz w:val="18"/>
                      <w:szCs w:val="18"/>
                    </w:rPr>
                    <w:t>5</w:t>
                  </w:r>
                  <w:r>
                    <w:rPr>
                      <w:sz w:val="18"/>
                      <w:szCs w:val="18"/>
                    </w:rPr>
                    <w:t>0</w:t>
                  </w:r>
                </w:p>
              </w:tc>
              <w:tc>
                <w:tcPr>
                  <w:tcW w:w="356" w:type="pct"/>
                  <w:vAlign w:val="center"/>
                </w:tcPr>
                <w:p>
                  <w:pPr>
                    <w:jc w:val="center"/>
                    <w:rPr>
                      <w:sz w:val="18"/>
                      <w:szCs w:val="18"/>
                    </w:rPr>
                  </w:pPr>
                  <w:r>
                    <w:rPr>
                      <w:rFonts w:hint="eastAsia"/>
                      <w:sz w:val="18"/>
                      <w:szCs w:val="18"/>
                    </w:rPr>
                    <w:t>1</w:t>
                  </w:r>
                  <w:r>
                    <w:rPr>
                      <w:sz w:val="18"/>
                      <w:szCs w:val="18"/>
                    </w:rPr>
                    <w:t>0</w:t>
                  </w:r>
                </w:p>
              </w:tc>
              <w:tc>
                <w:tcPr>
                  <w:tcW w:w="356" w:type="pct"/>
                  <w:vAlign w:val="center"/>
                </w:tcPr>
                <w:p>
                  <w:pPr>
                    <w:jc w:val="center"/>
                    <w:rPr>
                      <w:sz w:val="18"/>
                      <w:szCs w:val="18"/>
                    </w:rPr>
                  </w:pPr>
                  <w:r>
                    <w:rPr>
                      <w:rFonts w:hint="eastAsia"/>
                      <w:sz w:val="18"/>
                      <w:szCs w:val="18"/>
                    </w:rPr>
                    <w:t>1</w:t>
                  </w:r>
                  <w:r>
                    <w:rPr>
                      <w:sz w:val="18"/>
                      <w:szCs w:val="18"/>
                    </w:rPr>
                    <w:t>0</w:t>
                  </w:r>
                </w:p>
              </w:tc>
              <w:tc>
                <w:tcPr>
                  <w:tcW w:w="445" w:type="pct"/>
                  <w:vAlign w:val="center"/>
                </w:tcPr>
                <w:p>
                  <w:pPr>
                    <w:jc w:val="center"/>
                    <w:rPr>
                      <w:sz w:val="18"/>
                      <w:szCs w:val="18"/>
                    </w:rPr>
                  </w:pPr>
                  <w:r>
                    <w:rPr>
                      <w:sz w:val="18"/>
                      <w:szCs w:val="18"/>
                    </w:rPr>
                    <w:t>5（8）</w:t>
                  </w:r>
                </w:p>
              </w:tc>
              <w:tc>
                <w:tcPr>
                  <w:tcW w:w="283" w:type="pct"/>
                  <w:tcBorders>
                    <w:right w:val="single" w:color="000000" w:sz="8" w:space="0"/>
                  </w:tcBorders>
                  <w:vAlign w:val="center"/>
                </w:tcPr>
                <w:p>
                  <w:pPr>
                    <w:jc w:val="center"/>
                    <w:rPr>
                      <w:iCs/>
                      <w:sz w:val="18"/>
                      <w:szCs w:val="18"/>
                    </w:rPr>
                  </w:pPr>
                  <w:r>
                    <w:rPr>
                      <w:rFonts w:hint="eastAsia"/>
                      <w:iCs/>
                      <w:sz w:val="18"/>
                      <w:szCs w:val="18"/>
                    </w:rPr>
                    <w:t>1</w:t>
                  </w:r>
                </w:p>
              </w:tc>
              <w:tc>
                <w:tcPr>
                  <w:tcW w:w="341" w:type="pct"/>
                  <w:tcBorders>
                    <w:left w:val="single" w:color="000000" w:sz="8" w:space="0"/>
                    <w:right w:val="single" w:color="auto" w:sz="4" w:space="0"/>
                  </w:tcBorders>
                  <w:vAlign w:val="center"/>
                </w:tcPr>
                <w:p>
                  <w:pPr>
                    <w:jc w:val="center"/>
                    <w:rPr>
                      <w:iCs/>
                      <w:sz w:val="18"/>
                      <w:szCs w:val="18"/>
                    </w:rPr>
                  </w:pPr>
                  <w:r>
                    <w:rPr>
                      <w:rFonts w:hint="eastAsia"/>
                      <w:iCs/>
                      <w:sz w:val="18"/>
                      <w:szCs w:val="18"/>
                    </w:rPr>
                    <w:t>1</w:t>
                  </w:r>
                </w:p>
              </w:tc>
              <w:tc>
                <w:tcPr>
                  <w:tcW w:w="355" w:type="pct"/>
                  <w:tcBorders>
                    <w:left w:val="single" w:color="auto" w:sz="4" w:space="0"/>
                    <w:right w:val="single" w:color="auto" w:sz="4" w:space="0"/>
                  </w:tcBorders>
                  <w:vAlign w:val="center"/>
                </w:tcPr>
                <w:p>
                  <w:pPr>
                    <w:jc w:val="center"/>
                    <w:rPr>
                      <w:rFonts w:eastAsia="等线"/>
                      <w:iCs/>
                      <w:sz w:val="18"/>
                      <w:szCs w:val="18"/>
                    </w:rPr>
                  </w:pPr>
                  <w:r>
                    <w:rPr>
                      <w:rFonts w:hint="eastAsia" w:eastAsia="等线"/>
                      <w:iCs/>
                      <w:sz w:val="18"/>
                      <w:szCs w:val="18"/>
                    </w:rPr>
                    <w:t>1</w:t>
                  </w:r>
                  <w:r>
                    <w:rPr>
                      <w:rFonts w:eastAsia="等线"/>
                      <w:iCs/>
                      <w:sz w:val="18"/>
                      <w:szCs w:val="18"/>
                    </w:rPr>
                    <w:t>5</w:t>
                  </w:r>
                </w:p>
              </w:tc>
              <w:tc>
                <w:tcPr>
                  <w:tcW w:w="274" w:type="pct"/>
                  <w:tcBorders>
                    <w:left w:val="single" w:color="auto" w:sz="4" w:space="0"/>
                  </w:tcBorders>
                  <w:vAlign w:val="center"/>
                </w:tcPr>
                <w:p>
                  <w:pPr>
                    <w:jc w:val="center"/>
                    <w:rPr>
                      <w:rFonts w:eastAsia="等线"/>
                      <w:iCs/>
                      <w:sz w:val="18"/>
                      <w:szCs w:val="18"/>
                    </w:rPr>
                  </w:pPr>
                  <w:r>
                    <w:rPr>
                      <w:rFonts w:hint="eastAsia" w:eastAsia="等线"/>
                      <w:iCs/>
                      <w:sz w:val="18"/>
                      <w:szCs w:val="18"/>
                    </w:rPr>
                    <w:t>0</w:t>
                  </w:r>
                  <w:r>
                    <w:rPr>
                      <w:rFonts w:eastAsia="等线"/>
                      <w:iCs/>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5000" w:type="pct"/>
                  <w:gridSpan w:val="12"/>
                  <w:vAlign w:val="center"/>
                </w:tcPr>
                <w:p>
                  <w:pPr>
                    <w:jc w:val="center"/>
                    <w:rPr>
                      <w:kern w:val="0"/>
                      <w:sz w:val="18"/>
                      <w:szCs w:val="18"/>
                    </w:rPr>
                  </w:pPr>
                  <w:r>
                    <w:rPr>
                      <w:sz w:val="18"/>
                      <w:szCs w:val="18"/>
                    </w:rPr>
                    <w:t>*备注：</w:t>
                  </w:r>
                  <w:r>
                    <w:rPr>
                      <w:kern w:val="0"/>
                      <w:sz w:val="18"/>
                      <w:szCs w:val="18"/>
                    </w:rPr>
                    <w:t>氨氮</w:t>
                  </w:r>
                  <w:r>
                    <w:rPr>
                      <w:rFonts w:hint="eastAsia"/>
                      <w:kern w:val="0"/>
                      <w:sz w:val="18"/>
                      <w:szCs w:val="18"/>
                    </w:rPr>
                    <w:t>和总氮、总磷</w:t>
                  </w:r>
                  <w:r>
                    <w:rPr>
                      <w:kern w:val="0"/>
                      <w:sz w:val="18"/>
                      <w:szCs w:val="18"/>
                    </w:rPr>
                    <w:t>参照执行《污水排入城镇下水道水质标准》（GB/T31962-2015）；</w:t>
                  </w:r>
                </w:p>
                <w:p>
                  <w:pPr>
                    <w:jc w:val="center"/>
                    <w:rPr>
                      <w:sz w:val="18"/>
                      <w:szCs w:val="18"/>
                    </w:rPr>
                  </w:pPr>
                  <w:r>
                    <w:rPr>
                      <w:kern w:val="0"/>
                      <w:sz w:val="18"/>
                      <w:szCs w:val="18"/>
                    </w:rPr>
                    <w:t>括号外数值为水温＞12℃时的控制指标，括号内数值为水温≤12℃时的控制指标。</w:t>
                  </w:r>
                </w:p>
              </w:tc>
            </w:tr>
          </w:tbl>
          <w:p>
            <w:pPr>
              <w:adjustRightInd w:val="0"/>
              <w:snapToGrid w:val="0"/>
              <w:spacing w:line="480" w:lineRule="exact"/>
              <w:ind w:firstLine="510"/>
              <w:rPr>
                <w:sz w:val="24"/>
                <w:lang w:val="en-GB"/>
              </w:rPr>
            </w:pPr>
            <w:r>
              <w:rPr>
                <w:sz w:val="24"/>
                <w:lang w:val="en-GB"/>
              </w:rPr>
              <w:t>（3）噪声</w:t>
            </w:r>
          </w:p>
          <w:p>
            <w:pPr>
              <w:adjustRightInd w:val="0"/>
              <w:snapToGrid w:val="0"/>
              <w:spacing w:line="440" w:lineRule="exact"/>
              <w:ind w:firstLine="510"/>
              <w:rPr>
                <w:szCs w:val="21"/>
              </w:rPr>
            </w:pPr>
            <w:r>
              <w:rPr>
                <w:sz w:val="24"/>
                <w:lang w:val="en-GB"/>
              </w:rPr>
              <w:t>施工期噪声执行《建筑施工场界环境噪声排放标准》（GB12523</w:t>
            </w:r>
            <w:r>
              <w:rPr>
                <w:rFonts w:hint="eastAsia"/>
                <w:sz w:val="24"/>
                <w:lang w:val="en-GB"/>
              </w:rPr>
              <w:t>-</w:t>
            </w:r>
            <w:r>
              <w:rPr>
                <w:sz w:val="24"/>
                <w:lang w:val="en-GB"/>
              </w:rPr>
              <w:t>2011）标准，</w:t>
            </w:r>
            <w:r>
              <w:rPr>
                <w:rFonts w:hint="eastAsia"/>
                <w:sz w:val="24"/>
                <w:lang w:val="en-GB"/>
              </w:rPr>
              <w:t>营运期各</w:t>
            </w:r>
            <w:r>
              <w:rPr>
                <w:sz w:val="24"/>
                <w:lang w:val="en-GB"/>
              </w:rPr>
              <w:t>厂界噪声执行《工业企业厂界环境</w:t>
            </w:r>
            <w:r>
              <w:rPr>
                <w:sz w:val="24"/>
              </w:rPr>
              <w:t>噪声排放</w:t>
            </w:r>
            <w:r>
              <w:rPr>
                <w:sz w:val="24"/>
                <w:lang w:val="en-GB"/>
              </w:rPr>
              <w:t>标准》（GB12348-2008）3类标准。见表3.</w:t>
            </w:r>
            <w:r>
              <w:rPr>
                <w:rFonts w:hint="eastAsia"/>
                <w:sz w:val="24"/>
                <w:lang w:val="en-GB"/>
              </w:rPr>
              <w:t>3</w:t>
            </w:r>
            <w:r>
              <w:rPr>
                <w:sz w:val="24"/>
                <w:lang w:val="en-GB"/>
              </w:rPr>
              <w:t>-</w:t>
            </w:r>
            <w:r>
              <w:rPr>
                <w:rFonts w:hint="eastAsia"/>
                <w:sz w:val="24"/>
                <w:lang w:val="en-GB"/>
              </w:rPr>
              <w:t>5</w:t>
            </w:r>
            <w:r>
              <w:rPr>
                <w:sz w:val="24"/>
                <w:lang w:val="en-GB"/>
              </w:rPr>
              <w:t>。</w:t>
            </w:r>
          </w:p>
          <w:p>
            <w:pPr>
              <w:pStyle w:val="63"/>
              <w:spacing w:line="480" w:lineRule="exact"/>
              <w:rPr>
                <w:rFonts w:cs="Times New Roman"/>
                <w:sz w:val="18"/>
                <w:szCs w:val="18"/>
              </w:rPr>
            </w:pPr>
            <w:r>
              <w:rPr>
                <w:rFonts w:cs="Times New Roman"/>
                <w:sz w:val="18"/>
                <w:szCs w:val="18"/>
              </w:rPr>
              <w:t>表3.</w:t>
            </w:r>
            <w:r>
              <w:rPr>
                <w:rFonts w:hint="eastAsia" w:cs="Times New Roman"/>
                <w:sz w:val="18"/>
                <w:szCs w:val="18"/>
              </w:rPr>
              <w:t>3</w:t>
            </w:r>
            <w:r>
              <w:rPr>
                <w:rFonts w:cs="Times New Roman"/>
                <w:sz w:val="18"/>
                <w:szCs w:val="18"/>
              </w:rPr>
              <w:t>-</w:t>
            </w:r>
            <w:r>
              <w:rPr>
                <w:rFonts w:hint="eastAsia" w:cs="Times New Roman"/>
                <w:sz w:val="18"/>
                <w:szCs w:val="18"/>
              </w:rPr>
              <w:t xml:space="preserve">5 </w:t>
            </w:r>
            <w:r>
              <w:rPr>
                <w:rFonts w:cs="Times New Roman"/>
                <w:sz w:val="18"/>
                <w:szCs w:val="18"/>
              </w:rPr>
              <w:t>环境噪声排放标准</w:t>
            </w:r>
            <w:r>
              <w:rPr>
                <w:rFonts w:hint="eastAsia" w:cs="Times New Roman"/>
                <w:sz w:val="18"/>
                <w:szCs w:val="18"/>
              </w:rPr>
              <w:t xml:space="preserve">  </w:t>
            </w:r>
            <w:r>
              <w:rPr>
                <w:rFonts w:cs="Times New Roman"/>
                <w:sz w:val="18"/>
                <w:szCs w:val="18"/>
              </w:rPr>
              <w:t>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674"/>
              <w:gridCol w:w="1340"/>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4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lang w:val="en-GB"/>
                    </w:rPr>
                    <w:t>执行标准</w:t>
                  </w:r>
                </w:p>
              </w:tc>
              <w:tc>
                <w:tcPr>
                  <w:tcW w:w="10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rPr>
                    <w:t>昼间</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rPr>
                    <w:t>夜间</w:t>
                  </w:r>
                </w:p>
              </w:tc>
              <w:tc>
                <w:tcPr>
                  <w:tcW w:w="1700" w:type="pct"/>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sz w:val="18"/>
                      <w:szCs w:val="18"/>
                    </w:rPr>
                  </w:pPr>
                  <w:r>
                    <w:rPr>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lang w:val="en-GB"/>
                    </w:rPr>
                    <w:t>GB12523－2011</w:t>
                  </w:r>
                </w:p>
              </w:tc>
              <w:tc>
                <w:tcPr>
                  <w:tcW w:w="10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rPr>
                  </w:pPr>
                  <w:r>
                    <w:rPr>
                      <w:sz w:val="18"/>
                      <w:szCs w:val="18"/>
                    </w:rPr>
                    <w:t>70</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rPr>
                  </w:pPr>
                  <w:r>
                    <w:rPr>
                      <w:sz w:val="18"/>
                      <w:szCs w:val="18"/>
                    </w:rPr>
                    <w:t>55</w:t>
                  </w:r>
                </w:p>
              </w:tc>
              <w:tc>
                <w:tcPr>
                  <w:tcW w:w="1700" w:type="pct"/>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sz w:val="18"/>
                      <w:szCs w:val="18"/>
                    </w:rPr>
                  </w:pPr>
                  <w:r>
                    <w:rPr>
                      <w:sz w:val="18"/>
                      <w:szCs w:val="18"/>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40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lang w:val="en-GB"/>
                    </w:rPr>
                    <w:t xml:space="preserve">GB12348－2008 </w:t>
                  </w:r>
                  <w:r>
                    <w:rPr>
                      <w:sz w:val="18"/>
                      <w:szCs w:val="18"/>
                    </w:rPr>
                    <w:t>3类标准</w:t>
                  </w:r>
                </w:p>
              </w:tc>
              <w:tc>
                <w:tcPr>
                  <w:tcW w:w="105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lang w:val="en-GB"/>
                    </w:rPr>
                    <w:t>65</w:t>
                  </w:r>
                </w:p>
              </w:tc>
              <w:tc>
                <w:tcPr>
                  <w:tcW w:w="8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18"/>
                      <w:szCs w:val="18"/>
                      <w:lang w:val="en-GB"/>
                    </w:rPr>
                  </w:pPr>
                  <w:r>
                    <w:rPr>
                      <w:sz w:val="18"/>
                      <w:szCs w:val="18"/>
                      <w:lang w:val="en-GB"/>
                    </w:rPr>
                    <w:t>55</w:t>
                  </w:r>
                </w:p>
              </w:tc>
              <w:tc>
                <w:tcPr>
                  <w:tcW w:w="1700" w:type="pct"/>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sz w:val="18"/>
                      <w:szCs w:val="18"/>
                      <w:lang w:val="en-GB"/>
                    </w:rPr>
                  </w:pPr>
                  <w:r>
                    <w:rPr>
                      <w:rFonts w:hint="eastAsia"/>
                      <w:sz w:val="18"/>
                      <w:szCs w:val="18"/>
                      <w:lang w:val="en-GB"/>
                    </w:rPr>
                    <w:t>各</w:t>
                  </w:r>
                  <w:r>
                    <w:rPr>
                      <w:sz w:val="18"/>
                      <w:szCs w:val="18"/>
                      <w:lang w:val="en-GB"/>
                    </w:rPr>
                    <w:t>厂界</w:t>
                  </w:r>
                </w:p>
              </w:tc>
            </w:tr>
          </w:tbl>
          <w:p>
            <w:pPr>
              <w:adjustRightInd w:val="0"/>
              <w:snapToGrid w:val="0"/>
              <w:spacing w:line="440" w:lineRule="exact"/>
              <w:ind w:firstLine="510"/>
              <w:rPr>
                <w:sz w:val="24"/>
                <w:lang w:val="en-GB"/>
              </w:rPr>
            </w:pPr>
            <w:r>
              <w:rPr>
                <w:sz w:val="24"/>
                <w:lang w:val="en-GB"/>
              </w:rPr>
              <w:t>（4）固体废物</w:t>
            </w:r>
          </w:p>
          <w:p>
            <w:pPr>
              <w:adjustRightInd w:val="0"/>
              <w:snapToGrid w:val="0"/>
              <w:spacing w:line="440" w:lineRule="exact"/>
              <w:ind w:firstLine="510"/>
              <w:rPr>
                <w:sz w:val="24"/>
                <w:lang w:val="en-GB"/>
              </w:rPr>
            </w:pPr>
            <w:r>
              <w:rPr>
                <w:rFonts w:hint="eastAsia"/>
                <w:sz w:val="24"/>
                <w:lang w:val="en-GB"/>
              </w:rPr>
              <w:t>一般工业固体废物暂存应满足相应防渗漏、防雨淋、防扬尘等环境保护要求；危险废物执行《危险废物贮存污染控制标准》（GB18597-2001）和《危险废物收集贮存运输技术规范》（HJ2025-2012）以及《危险废物转移联单管理办法》（国家环境保护总局令第5号）中相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ascii="宋体" w:hAnsi="宋体" w:cs="宋体"/>
                <w:kern w:val="0"/>
                <w:szCs w:val="21"/>
              </w:rPr>
            </w:pPr>
            <w:r>
              <w:rPr>
                <w:rFonts w:hint="eastAsia" w:ascii="宋体" w:hAnsi="宋体" w:cs="宋体"/>
                <w:kern w:val="0"/>
                <w:szCs w:val="21"/>
              </w:rPr>
              <w:t>总量</w:t>
            </w:r>
          </w:p>
          <w:p>
            <w:pPr>
              <w:adjustRightInd w:val="0"/>
              <w:snapToGrid w:val="0"/>
              <w:jc w:val="center"/>
              <w:rPr>
                <w:rFonts w:ascii="宋体" w:hAnsi="宋体" w:cs="宋体"/>
                <w:kern w:val="0"/>
                <w:szCs w:val="21"/>
              </w:rPr>
            </w:pPr>
            <w:r>
              <w:rPr>
                <w:rFonts w:hint="eastAsia" w:ascii="宋体" w:hAnsi="宋体" w:cs="宋体"/>
                <w:kern w:val="0"/>
                <w:szCs w:val="21"/>
              </w:rPr>
              <w:t>控制</w:t>
            </w:r>
          </w:p>
          <w:p>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190" w:type="dxa"/>
            <w:vAlign w:val="center"/>
          </w:tcPr>
          <w:p>
            <w:pPr>
              <w:spacing w:line="360" w:lineRule="auto"/>
              <w:ind w:firstLine="480"/>
              <w:rPr>
                <w:sz w:val="24"/>
              </w:rPr>
            </w:pPr>
            <w:r>
              <w:rPr>
                <w:sz w:val="24"/>
              </w:rPr>
              <w:t>实施污染物排放总量控制是污染控制管理的重要举措，污染物排放应在确保满足达到排放的前提下，排放总量还需满足区域的污染物排放总量控制目标。拟建项目污染物排放涉及废水、废气、固废为总量控制范畴，因此，本次评价就废水、废气、固废的总量控制指标进行分析。拟建项目总量控制污染物排放见表3</w:t>
            </w:r>
            <w:r>
              <w:rPr>
                <w:rFonts w:hint="eastAsia"/>
                <w:sz w:val="24"/>
              </w:rPr>
              <w:t>.4</w:t>
            </w:r>
            <w:r>
              <w:rPr>
                <w:sz w:val="24"/>
              </w:rPr>
              <w:t>-1。</w:t>
            </w:r>
          </w:p>
          <w:p>
            <w:pPr>
              <w:spacing w:line="360" w:lineRule="auto"/>
              <w:jc w:val="center"/>
              <w:rPr>
                <w:szCs w:val="21"/>
              </w:rPr>
            </w:pPr>
            <w:r>
              <w:rPr>
                <w:szCs w:val="21"/>
              </w:rPr>
              <w:t>表3.</w:t>
            </w:r>
            <w:r>
              <w:rPr>
                <w:rFonts w:hint="eastAsia"/>
                <w:szCs w:val="21"/>
              </w:rPr>
              <w:t>4</w:t>
            </w:r>
            <w:r>
              <w:rPr>
                <w:szCs w:val="21"/>
              </w:rPr>
              <w:t>-1总量控制污染物排放表</w:t>
            </w:r>
          </w:p>
          <w:tbl>
            <w:tblPr>
              <w:tblStyle w:val="21"/>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87"/>
              <w:gridCol w:w="1985"/>
              <w:gridCol w:w="1276"/>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461" w:type="pc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类别</w:t>
                  </w:r>
                </w:p>
              </w:tc>
              <w:tc>
                <w:tcPr>
                  <w:tcW w:w="871" w:type="pc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污染因子</w:t>
                  </w:r>
                </w:p>
              </w:tc>
              <w:tc>
                <w:tcPr>
                  <w:tcW w:w="1246" w:type="pc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总量控制指标</w:t>
                  </w:r>
                </w:p>
              </w:tc>
              <w:tc>
                <w:tcPr>
                  <w:tcW w:w="801" w:type="pc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排放量（t/a）</w:t>
                  </w:r>
                </w:p>
              </w:tc>
              <w:tc>
                <w:tcPr>
                  <w:tcW w:w="1621" w:type="pc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restart"/>
                  <w:tcBorders>
                    <w:left w:val="single" w:color="auto" w:sz="4" w:space="0"/>
                    <w:right w:val="single" w:color="auto" w:sz="4" w:space="0"/>
                  </w:tcBorders>
                  <w:vAlign w:val="center"/>
                </w:tcPr>
                <w:p>
                  <w:pPr>
                    <w:widowControl/>
                    <w:spacing w:line="240" w:lineRule="exact"/>
                    <w:jc w:val="center"/>
                    <w:rPr>
                      <w:sz w:val="18"/>
                      <w:szCs w:val="18"/>
                    </w:rPr>
                  </w:pPr>
                  <w:r>
                    <w:rPr>
                      <w:sz w:val="18"/>
                      <w:szCs w:val="18"/>
                    </w:rPr>
                    <w:t>废气</w:t>
                  </w: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sz w:val="18"/>
                      <w:szCs w:val="18"/>
                    </w:rPr>
                    <w:t>颗粒物</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允许排入环境的量</w:t>
                  </w:r>
                </w:p>
              </w:tc>
              <w:tc>
                <w:tcPr>
                  <w:tcW w:w="801" w:type="pct"/>
                  <w:tcBorders>
                    <w:top w:val="single" w:color="auto" w:sz="4" w:space="0"/>
                    <w:left w:val="single" w:color="auto" w:sz="4" w:space="0"/>
                    <w:bottom w:val="single" w:color="auto" w:sz="4" w:space="0"/>
                    <w:right w:val="single" w:color="auto" w:sz="4" w:space="0"/>
                  </w:tcBorders>
                </w:tcPr>
                <w:p>
                  <w:pPr>
                    <w:spacing w:line="240" w:lineRule="exact"/>
                    <w:jc w:val="center"/>
                    <w:rPr>
                      <w:sz w:val="18"/>
                      <w:szCs w:val="18"/>
                    </w:rPr>
                  </w:pPr>
                  <w:r>
                    <w:rPr>
                      <w:sz w:val="18"/>
                      <w:szCs w:val="18"/>
                    </w:rPr>
                    <w:t>0.04</w:t>
                  </w:r>
                </w:p>
              </w:tc>
              <w:tc>
                <w:tcPr>
                  <w:tcW w:w="1621" w:type="pct"/>
                  <w:vMerge w:val="restart"/>
                  <w:tcBorders>
                    <w:left w:val="single" w:color="auto" w:sz="4" w:space="0"/>
                    <w:right w:val="single" w:color="auto" w:sz="4" w:space="0"/>
                  </w:tcBorders>
                  <w:vAlign w:val="center"/>
                </w:tcPr>
                <w:p>
                  <w:pPr>
                    <w:widowControl/>
                    <w:spacing w:line="240" w:lineRule="exact"/>
                    <w:jc w:val="center"/>
                    <w:rPr>
                      <w:sz w:val="18"/>
                      <w:szCs w:val="18"/>
                    </w:rPr>
                  </w:pPr>
                  <w:r>
                    <w:rPr>
                      <w:sz w:val="18"/>
                      <w:szCs w:val="18"/>
                    </w:rPr>
                    <w:t>排入环境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sz w:val="18"/>
                      <w:szCs w:val="18"/>
                    </w:rPr>
                    <w:t>非甲烷总烃</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允许排入环境的量</w:t>
                  </w:r>
                </w:p>
              </w:tc>
              <w:tc>
                <w:tcPr>
                  <w:tcW w:w="801" w:type="pct"/>
                  <w:tcBorders>
                    <w:top w:val="single" w:color="auto" w:sz="4" w:space="0"/>
                    <w:left w:val="single" w:color="auto" w:sz="4" w:space="0"/>
                    <w:bottom w:val="single" w:color="auto" w:sz="4" w:space="0"/>
                    <w:right w:val="single" w:color="auto" w:sz="4" w:space="0"/>
                  </w:tcBorders>
                </w:tcPr>
                <w:p>
                  <w:pPr>
                    <w:spacing w:line="240" w:lineRule="exact"/>
                    <w:jc w:val="center"/>
                    <w:rPr>
                      <w:sz w:val="18"/>
                      <w:szCs w:val="18"/>
                    </w:rPr>
                  </w:pPr>
                  <w:r>
                    <w:rPr>
                      <w:sz w:val="18"/>
                      <w:szCs w:val="18"/>
                    </w:rPr>
                    <w:t>0.97</w:t>
                  </w:r>
                </w:p>
              </w:tc>
              <w:tc>
                <w:tcPr>
                  <w:tcW w:w="162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restart"/>
                  <w:tcBorders>
                    <w:left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废水</w:t>
                  </w: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COD</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排入市政管网的量</w:t>
                  </w:r>
                </w:p>
              </w:tc>
              <w:tc>
                <w:tcPr>
                  <w:tcW w:w="801" w:type="pct"/>
                  <w:tcBorders>
                    <w:top w:val="single" w:color="auto" w:sz="4" w:space="0"/>
                    <w:left w:val="single" w:color="auto" w:sz="4" w:space="0"/>
                    <w:bottom w:val="single" w:color="auto" w:sz="4" w:space="0"/>
                    <w:right w:val="single" w:color="auto" w:sz="4" w:space="0"/>
                  </w:tcBorders>
                </w:tcPr>
                <w:p>
                  <w:pPr>
                    <w:spacing w:line="240" w:lineRule="exact"/>
                    <w:jc w:val="center"/>
                    <w:rPr>
                      <w:sz w:val="18"/>
                      <w:szCs w:val="18"/>
                    </w:rPr>
                  </w:pPr>
                  <w:r>
                    <w:rPr>
                      <w:rFonts w:hint="eastAsia"/>
                      <w:sz w:val="18"/>
                      <w:szCs w:val="18"/>
                    </w:rPr>
                    <w:t>1</w:t>
                  </w:r>
                  <w:r>
                    <w:rPr>
                      <w:sz w:val="18"/>
                      <w:szCs w:val="18"/>
                    </w:rPr>
                    <w:t>.38</w:t>
                  </w:r>
                </w:p>
              </w:tc>
              <w:tc>
                <w:tcPr>
                  <w:tcW w:w="1621" w:type="pct"/>
                  <w:vMerge w:val="restart"/>
                  <w:tcBorders>
                    <w:left w:val="single" w:color="auto" w:sz="4" w:space="0"/>
                    <w:right w:val="single" w:color="auto" w:sz="4" w:space="0"/>
                  </w:tcBorders>
                  <w:vAlign w:val="center"/>
                </w:tcPr>
                <w:p>
                  <w:pPr>
                    <w:widowControl/>
                    <w:spacing w:line="240" w:lineRule="exact"/>
                    <w:jc w:val="center"/>
                    <w:rPr>
                      <w:sz w:val="18"/>
                      <w:szCs w:val="18"/>
                    </w:rPr>
                  </w:pPr>
                  <w:r>
                    <w:rPr>
                      <w:sz w:val="18"/>
                      <w:szCs w:val="18"/>
                    </w:rPr>
                    <w:t>排入市政管网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NH</w:t>
                  </w:r>
                  <w:r>
                    <w:rPr>
                      <w:rFonts w:hint="eastAsia"/>
                      <w:sz w:val="18"/>
                      <w:szCs w:val="18"/>
                      <w:vertAlign w:val="subscript"/>
                    </w:rPr>
                    <w:t>3</w:t>
                  </w:r>
                  <w:r>
                    <w:rPr>
                      <w:rFonts w:hint="eastAsia"/>
                      <w:sz w:val="18"/>
                      <w:szCs w:val="18"/>
                    </w:rPr>
                    <w:t>-N</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排入市政管网的量</w:t>
                  </w:r>
                </w:p>
              </w:tc>
              <w:tc>
                <w:tcPr>
                  <w:tcW w:w="801" w:type="pct"/>
                  <w:tcBorders>
                    <w:top w:val="single" w:color="auto" w:sz="4" w:space="0"/>
                    <w:left w:val="single" w:color="auto" w:sz="4" w:space="0"/>
                    <w:bottom w:val="single" w:color="auto" w:sz="4" w:space="0"/>
                    <w:right w:val="single" w:color="auto" w:sz="4" w:space="0"/>
                  </w:tcBorders>
                </w:tcPr>
                <w:p>
                  <w:pPr>
                    <w:spacing w:line="240" w:lineRule="exact"/>
                    <w:jc w:val="center"/>
                    <w:rPr>
                      <w:sz w:val="18"/>
                      <w:szCs w:val="18"/>
                    </w:rPr>
                  </w:pPr>
                  <w:r>
                    <w:rPr>
                      <w:rFonts w:hint="eastAsia"/>
                      <w:sz w:val="18"/>
                      <w:szCs w:val="18"/>
                    </w:rPr>
                    <w:t>0</w:t>
                  </w:r>
                  <w:r>
                    <w:rPr>
                      <w:sz w:val="18"/>
                      <w:szCs w:val="18"/>
                    </w:rPr>
                    <w:t>.13</w:t>
                  </w:r>
                </w:p>
              </w:tc>
              <w:tc>
                <w:tcPr>
                  <w:tcW w:w="162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COD</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允许排入环境的量</w:t>
                  </w:r>
                </w:p>
              </w:tc>
              <w:tc>
                <w:tcPr>
                  <w:tcW w:w="801" w:type="pct"/>
                  <w:tcBorders>
                    <w:top w:val="single" w:color="auto" w:sz="4" w:space="0"/>
                    <w:left w:val="single" w:color="auto" w:sz="4" w:space="0"/>
                    <w:bottom w:val="single" w:color="auto" w:sz="4" w:space="0"/>
                    <w:right w:val="single" w:color="auto" w:sz="4" w:space="0"/>
                  </w:tcBorders>
                </w:tcPr>
                <w:p>
                  <w:pPr>
                    <w:spacing w:line="240" w:lineRule="exact"/>
                    <w:jc w:val="center"/>
                    <w:rPr>
                      <w:sz w:val="18"/>
                      <w:szCs w:val="18"/>
                    </w:rPr>
                  </w:pPr>
                  <w:r>
                    <w:rPr>
                      <w:rFonts w:hint="eastAsia"/>
                      <w:sz w:val="18"/>
                      <w:szCs w:val="18"/>
                    </w:rPr>
                    <w:t>0</w:t>
                  </w:r>
                  <w:r>
                    <w:rPr>
                      <w:sz w:val="18"/>
                      <w:szCs w:val="18"/>
                    </w:rPr>
                    <w:t>.2/0.16</w:t>
                  </w:r>
                </w:p>
              </w:tc>
              <w:tc>
                <w:tcPr>
                  <w:tcW w:w="1621" w:type="pct"/>
                  <w:vMerge w:val="restart"/>
                  <w:tcBorders>
                    <w:left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排入环境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46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c>
                <w:tcPr>
                  <w:tcW w:w="8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sz w:val="18"/>
                      <w:szCs w:val="18"/>
                    </w:rPr>
                  </w:pPr>
                  <w:r>
                    <w:rPr>
                      <w:rFonts w:hint="eastAsia"/>
                      <w:sz w:val="18"/>
                      <w:szCs w:val="18"/>
                    </w:rPr>
                    <w:t>NH</w:t>
                  </w:r>
                  <w:r>
                    <w:rPr>
                      <w:rFonts w:hint="eastAsia"/>
                      <w:sz w:val="18"/>
                      <w:szCs w:val="18"/>
                      <w:vertAlign w:val="subscript"/>
                    </w:rPr>
                    <w:t>3</w:t>
                  </w:r>
                  <w:r>
                    <w:rPr>
                      <w:rFonts w:hint="eastAsia"/>
                      <w:sz w:val="18"/>
                      <w:szCs w:val="18"/>
                    </w:rPr>
                    <w:t>-N</w:t>
                  </w:r>
                </w:p>
              </w:tc>
              <w:tc>
                <w:tcPr>
                  <w:tcW w:w="1246" w:type="pct"/>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允许排入环境的量</w:t>
                  </w:r>
                </w:p>
              </w:tc>
              <w:tc>
                <w:tcPr>
                  <w:tcW w:w="801" w:type="pct"/>
                  <w:tcBorders>
                    <w:top w:val="single" w:color="auto" w:sz="4" w:space="0"/>
                    <w:left w:val="single" w:color="auto" w:sz="4" w:space="0"/>
                    <w:bottom w:val="single" w:color="auto" w:sz="4" w:space="0"/>
                    <w:right w:val="single" w:color="auto" w:sz="4" w:space="0"/>
                  </w:tcBorders>
                </w:tcPr>
                <w:p>
                  <w:pPr>
                    <w:widowControl/>
                    <w:jc w:val="center"/>
                    <w:rPr>
                      <w:kern w:val="0"/>
                      <w:sz w:val="18"/>
                      <w:szCs w:val="18"/>
                    </w:rPr>
                  </w:pPr>
                  <w:r>
                    <w:rPr>
                      <w:rFonts w:hint="eastAsia"/>
                      <w:sz w:val="18"/>
                      <w:szCs w:val="18"/>
                    </w:rPr>
                    <w:t>0.03</w:t>
                  </w:r>
                  <w:r>
                    <w:rPr>
                      <w:sz w:val="18"/>
                      <w:szCs w:val="18"/>
                    </w:rPr>
                    <w:t>/0.02</w:t>
                  </w:r>
                </w:p>
              </w:tc>
              <w:tc>
                <w:tcPr>
                  <w:tcW w:w="1621" w:type="pct"/>
                  <w:vMerge w:val="continue"/>
                  <w:tcBorders>
                    <w:left w:val="single" w:color="auto" w:sz="4" w:space="0"/>
                    <w:right w:val="single" w:color="auto" w:sz="4" w:space="0"/>
                  </w:tcBorders>
                  <w:vAlign w:val="center"/>
                </w:tcPr>
                <w:p>
                  <w:pPr>
                    <w:widowControl/>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pct"/>
                  <w:gridSpan w:val="2"/>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一般固废（产生量）</w:t>
                  </w:r>
                </w:p>
              </w:tc>
              <w:tc>
                <w:tcPr>
                  <w:tcW w:w="2047" w:type="pct"/>
                  <w:gridSpan w:val="2"/>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4791.03</w:t>
                  </w:r>
                </w:p>
              </w:tc>
              <w:tc>
                <w:tcPr>
                  <w:tcW w:w="1621" w:type="pct"/>
                  <w:vMerge w:val="restart"/>
                  <w:tcBorders>
                    <w:top w:val="single" w:color="auto" w:sz="4" w:space="0"/>
                    <w:left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332" w:type="pct"/>
                  <w:gridSpan w:val="2"/>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危险废物（产生量）</w:t>
                  </w:r>
                </w:p>
              </w:tc>
              <w:tc>
                <w:tcPr>
                  <w:tcW w:w="2047" w:type="pct"/>
                  <w:gridSpan w:val="2"/>
                  <w:tcBorders>
                    <w:top w:val="single" w:color="auto" w:sz="4" w:space="0"/>
                    <w:left w:val="single" w:color="auto" w:sz="4" w:space="0"/>
                    <w:bottom w:val="single" w:color="auto" w:sz="4" w:space="0"/>
                    <w:right w:val="single" w:color="auto" w:sz="4" w:space="0"/>
                  </w:tcBorders>
                  <w:vAlign w:val="center"/>
                </w:tcPr>
                <w:p>
                  <w:pPr>
                    <w:pStyle w:val="127"/>
                    <w:spacing w:line="240" w:lineRule="exact"/>
                    <w:rPr>
                      <w:color w:val="auto"/>
                      <w:sz w:val="18"/>
                      <w:szCs w:val="18"/>
                    </w:rPr>
                  </w:pPr>
                  <w:r>
                    <w:rPr>
                      <w:color w:val="auto"/>
                      <w:sz w:val="18"/>
                      <w:szCs w:val="18"/>
                    </w:rPr>
                    <w:t>3531.09</w:t>
                  </w:r>
                </w:p>
              </w:tc>
              <w:tc>
                <w:tcPr>
                  <w:tcW w:w="1621" w:type="pct"/>
                  <w:vMerge w:val="continue"/>
                  <w:tcBorders>
                    <w:left w:val="single" w:color="auto" w:sz="4" w:space="0"/>
                    <w:bottom w:val="single" w:color="auto" w:sz="4" w:space="0"/>
                    <w:right w:val="single" w:color="auto" w:sz="4" w:space="0"/>
                  </w:tcBorders>
                  <w:vAlign w:val="center"/>
                </w:tcPr>
                <w:p>
                  <w:pPr>
                    <w:pStyle w:val="127"/>
                    <w:spacing w:line="240" w:lineRule="exact"/>
                    <w:rPr>
                      <w:color w:val="auto"/>
                      <w:sz w:val="18"/>
                      <w:szCs w:val="18"/>
                    </w:rPr>
                  </w:pPr>
                </w:p>
              </w:tc>
            </w:tr>
          </w:tbl>
          <w:p>
            <w:pPr>
              <w:spacing w:line="360" w:lineRule="auto"/>
              <w:jc w:val="left"/>
              <w:rPr>
                <w:sz w:val="18"/>
                <w:szCs w:val="18"/>
              </w:rPr>
            </w:pPr>
            <w:r>
              <w:rPr>
                <w:rFonts w:hint="eastAsia"/>
                <w:sz w:val="18"/>
                <w:szCs w:val="18"/>
              </w:rPr>
              <w:t>注：“/”前表示近期排入环境的总量，“/”前表示远期提标改造后排入环境的总量</w:t>
            </w:r>
          </w:p>
          <w:p>
            <w:pPr>
              <w:spacing w:line="360" w:lineRule="auto"/>
              <w:jc w:val="center"/>
              <w:rPr>
                <w:szCs w:val="21"/>
              </w:rPr>
            </w:pPr>
          </w:p>
          <w:p>
            <w:pPr>
              <w:spacing w:line="360" w:lineRule="auto"/>
              <w:jc w:val="center"/>
              <w:rPr>
                <w:szCs w:val="21"/>
              </w:rPr>
            </w:pPr>
          </w:p>
          <w:p>
            <w:pPr>
              <w:spacing w:line="360" w:lineRule="auto"/>
              <w:jc w:val="center"/>
              <w:rPr>
                <w:szCs w:val="21"/>
              </w:rPr>
            </w:pPr>
          </w:p>
          <w:p>
            <w:pPr>
              <w:adjustRightInd w:val="0"/>
              <w:snapToGrid w:val="0"/>
              <w:spacing w:line="360" w:lineRule="auto"/>
              <w:ind w:firstLine="400" w:firstLineChars="200"/>
              <w:rPr>
                <w:sz w:val="20"/>
                <w:szCs w:val="20"/>
                <w:lang w:val="en-GB"/>
              </w:rPr>
            </w:pPr>
          </w:p>
        </w:tc>
      </w:tr>
    </w:tbl>
    <w:p>
      <w:pPr>
        <w:pStyle w:val="18"/>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8" w:type="dxa"/>
            <w:tcMar>
              <w:left w:w="28" w:type="dxa"/>
              <w:right w:w="28" w:type="dxa"/>
            </w:tcMar>
            <w:vAlign w:val="center"/>
          </w:tcPr>
          <w:p>
            <w:pPr>
              <w:pStyle w:val="18"/>
              <w:adjustRightInd w:val="0"/>
              <w:snapToGrid w:val="0"/>
              <w:spacing w:before="0" w:beforeAutospacing="0" w:after="0" w:afterAutospacing="0"/>
              <w:jc w:val="center"/>
              <w:rPr>
                <w:rFonts w:cs="宋体"/>
                <w:bCs/>
                <w:kern w:val="2"/>
                <w:sz w:val="21"/>
                <w:szCs w:val="21"/>
              </w:rPr>
            </w:pPr>
            <w:r>
              <w:rPr>
                <w:rFonts w:hint="eastAsia" w:cs="宋体"/>
                <w:kern w:val="2"/>
                <w:sz w:val="21"/>
                <w:szCs w:val="21"/>
              </w:rPr>
              <w:t>施工期环境保护措施</w:t>
            </w:r>
          </w:p>
        </w:tc>
        <w:tc>
          <w:tcPr>
            <w:tcW w:w="8450" w:type="dxa"/>
            <w:vAlign w:val="center"/>
          </w:tcPr>
          <w:p>
            <w:pPr>
              <w:pStyle w:val="50"/>
              <w:spacing w:line="460" w:lineRule="exact"/>
              <w:ind w:firstLine="0" w:firstLineChars="0"/>
              <w:rPr>
                <w:b/>
                <w:szCs w:val="24"/>
                <w:lang w:eastAsia="zh-CN"/>
              </w:rPr>
            </w:pPr>
            <w:r>
              <w:rPr>
                <w:rFonts w:hint="eastAsia"/>
                <w:b/>
                <w:szCs w:val="24"/>
                <w:lang w:eastAsia="zh-CN"/>
              </w:rPr>
              <w:t>4.1施工期环境保护措施</w:t>
            </w:r>
          </w:p>
          <w:p>
            <w:pPr>
              <w:pStyle w:val="12"/>
              <w:adjustRightInd w:val="0"/>
              <w:snapToGrid w:val="0"/>
              <w:spacing w:line="460" w:lineRule="exact"/>
              <w:rPr>
                <w:rFonts w:ascii="Times New Roman" w:hAnsi="Times New Roman"/>
                <w:b/>
                <w:sz w:val="24"/>
                <w:szCs w:val="24"/>
              </w:rPr>
            </w:pPr>
            <w:r>
              <w:rPr>
                <w:rFonts w:ascii="Times New Roman" w:hAnsi="Times New Roman"/>
                <w:b/>
                <w:sz w:val="24"/>
                <w:szCs w:val="24"/>
              </w:rPr>
              <w:t>4.1.1大气污染防治措施</w:t>
            </w:r>
          </w:p>
          <w:p>
            <w:pPr>
              <w:pStyle w:val="12"/>
              <w:adjustRightInd w:val="0"/>
              <w:snapToGrid w:val="0"/>
              <w:spacing w:line="480" w:lineRule="exact"/>
              <w:ind w:firstLine="510"/>
              <w:rPr>
                <w:rFonts w:ascii="Times New Roman" w:hAnsi="Times New Roman"/>
                <w:sz w:val="24"/>
                <w:szCs w:val="24"/>
              </w:rPr>
            </w:pPr>
            <w:r>
              <w:rPr>
                <w:rFonts w:hint="eastAsia" w:ascii="Times New Roman" w:hAnsi="Times New Roman"/>
                <w:sz w:val="24"/>
                <w:szCs w:val="24"/>
              </w:rPr>
              <w:t>施工期的大气污染源主要是燃油废气、粉尘和装修废气。燃油废气主要为各类燃油动力机械在进行场地填挖、运输等施工活动时排放。粉尘主要由土石方开挖、出渣装卸、钻孔、散装水泥和建筑材料运输等施工活动产生。装修废气如装饰材料、粘合剂中通常含有甲醛、苯等有害气体。</w:t>
            </w:r>
          </w:p>
          <w:p>
            <w:pPr>
              <w:pStyle w:val="12"/>
              <w:adjustRightInd w:val="0"/>
              <w:snapToGrid w:val="0"/>
              <w:spacing w:line="480" w:lineRule="exact"/>
              <w:ind w:firstLine="510"/>
              <w:rPr>
                <w:rFonts w:ascii="Times New Roman" w:hAnsi="Times New Roman"/>
                <w:sz w:val="24"/>
                <w:szCs w:val="24"/>
              </w:rPr>
            </w:pPr>
            <w:r>
              <w:rPr>
                <w:rFonts w:hint="eastAsia" w:ascii="Times New Roman" w:hAnsi="Times New Roman"/>
                <w:sz w:val="24"/>
                <w:szCs w:val="24"/>
              </w:rPr>
              <w:t>燃油废气环保措施：通过加强施工机械的保养维修，提高机械的正常使用率等措施，降低燃油废气的排放率，使其对环境的影响降到最低。</w:t>
            </w:r>
          </w:p>
          <w:p>
            <w:pPr>
              <w:pStyle w:val="12"/>
              <w:adjustRightInd w:val="0"/>
              <w:snapToGrid w:val="0"/>
              <w:spacing w:line="480" w:lineRule="exact"/>
              <w:ind w:firstLine="510"/>
              <w:rPr>
                <w:rFonts w:ascii="Times New Roman" w:hAnsi="Times New Roman"/>
                <w:sz w:val="24"/>
                <w:szCs w:val="24"/>
              </w:rPr>
            </w:pPr>
            <w:r>
              <w:rPr>
                <w:rFonts w:hint="eastAsia" w:ascii="Times New Roman" w:hAnsi="Times New Roman"/>
                <w:sz w:val="24"/>
                <w:szCs w:val="24"/>
              </w:rPr>
              <w:t>粉尘环保措施：工地周围按规范要求设置不低于1.8米的围墙或者硬质密闭围挡；对工地进出口及场内道路予以硬化，并采取冲洗、洒水等措施控制扬尘。</w:t>
            </w:r>
          </w:p>
          <w:p>
            <w:pPr>
              <w:pStyle w:val="12"/>
              <w:adjustRightInd w:val="0"/>
              <w:snapToGrid w:val="0"/>
              <w:spacing w:line="480" w:lineRule="exact"/>
              <w:ind w:firstLine="510"/>
              <w:rPr>
                <w:rFonts w:ascii="Times New Roman" w:hAnsi="Times New Roman"/>
                <w:sz w:val="24"/>
                <w:szCs w:val="24"/>
              </w:rPr>
            </w:pPr>
            <w:r>
              <w:rPr>
                <w:rFonts w:hint="eastAsia" w:ascii="Times New Roman" w:hAnsi="Times New Roman"/>
                <w:sz w:val="24"/>
                <w:szCs w:val="24"/>
              </w:rPr>
              <w:t>装修废气环保措施：文明施工；选用质量合格、国家质量检验的低污染环保型油漆和涂料；加快施工进度，缩短工期，减少影响时间。</w:t>
            </w:r>
          </w:p>
          <w:p>
            <w:pPr>
              <w:pStyle w:val="12"/>
              <w:tabs>
                <w:tab w:val="left" w:pos="1452"/>
              </w:tabs>
              <w:adjustRightInd w:val="0"/>
              <w:snapToGrid w:val="0"/>
              <w:spacing w:line="460" w:lineRule="exact"/>
              <w:rPr>
                <w:rFonts w:ascii="Times New Roman" w:hAnsi="Times New Roman"/>
                <w:b/>
                <w:sz w:val="24"/>
                <w:szCs w:val="24"/>
              </w:rPr>
            </w:pPr>
            <w:r>
              <w:rPr>
                <w:rFonts w:ascii="Times New Roman" w:hAnsi="Times New Roman"/>
                <w:b/>
                <w:sz w:val="24"/>
                <w:szCs w:val="24"/>
              </w:rPr>
              <w:t>4.1.2水环境污染防治措施</w:t>
            </w:r>
          </w:p>
          <w:p>
            <w:pPr>
              <w:spacing w:line="480" w:lineRule="exact"/>
              <w:ind w:firstLine="480" w:firstLineChars="200"/>
              <w:rPr>
                <w:sz w:val="24"/>
              </w:rPr>
            </w:pPr>
            <w:r>
              <w:rPr>
                <w:sz w:val="24"/>
              </w:rPr>
              <w:t>施工期的水环境污染源主要是施工废水、冲洗含油废水和施工人员生活污水。</w:t>
            </w:r>
            <w:r>
              <w:rPr>
                <w:rFonts w:hint="eastAsia"/>
                <w:sz w:val="24"/>
              </w:rPr>
              <w:t>其中</w:t>
            </w:r>
            <w:r>
              <w:rPr>
                <w:sz w:val="24"/>
              </w:rPr>
              <w:t>施工废水主要由土建施工和管网建设施工产生。冲洗含油废水</w:t>
            </w:r>
            <w:r>
              <w:rPr>
                <w:rFonts w:hint="eastAsia"/>
                <w:sz w:val="24"/>
              </w:rPr>
              <w:t>主要为冲洗和维护燃油动力机械时产生的废水。其中，施工废水和</w:t>
            </w:r>
            <w:r>
              <w:rPr>
                <w:sz w:val="24"/>
              </w:rPr>
              <w:t>冲洗含油废水</w:t>
            </w:r>
            <w:r>
              <w:rPr>
                <w:rFonts w:hint="eastAsia"/>
                <w:sz w:val="24"/>
              </w:rPr>
              <w:t>为含</w:t>
            </w:r>
            <w:r>
              <w:rPr>
                <w:sz w:val="24"/>
              </w:rPr>
              <w:t>SS</w:t>
            </w:r>
            <w:r>
              <w:rPr>
                <w:rFonts w:hint="eastAsia"/>
                <w:sz w:val="24"/>
              </w:rPr>
              <w:t>、石油类污水，设置排水沟和沉砂池，经过隔油沉沙处理后回用；生活污水依托周边的生活污水处理设施收集处理。</w:t>
            </w:r>
          </w:p>
          <w:p>
            <w:pPr>
              <w:pStyle w:val="50"/>
              <w:spacing w:line="460" w:lineRule="exact"/>
              <w:ind w:firstLine="480"/>
              <w:rPr>
                <w:lang w:eastAsia="zh-CN"/>
              </w:rPr>
            </w:pPr>
            <w:r>
              <w:rPr>
                <w:rFonts w:hint="eastAsia"/>
                <w:lang w:eastAsia="zh-CN"/>
              </w:rPr>
              <w:t>施工期污水采取以上污染防治措施，对地表水环境影响小。施工结束，影响也将消失。</w:t>
            </w:r>
          </w:p>
          <w:p>
            <w:pPr>
              <w:pStyle w:val="12"/>
              <w:adjustRightInd w:val="0"/>
              <w:snapToGrid w:val="0"/>
              <w:spacing w:line="460" w:lineRule="exact"/>
              <w:rPr>
                <w:rFonts w:ascii="Times New Roman" w:hAnsi="Times New Roman"/>
                <w:b/>
                <w:sz w:val="24"/>
                <w:szCs w:val="24"/>
              </w:rPr>
            </w:pPr>
            <w:r>
              <w:rPr>
                <w:rFonts w:ascii="Times New Roman" w:hAnsi="Times New Roman"/>
                <w:b/>
                <w:sz w:val="24"/>
                <w:szCs w:val="24"/>
              </w:rPr>
              <w:t>4.1.3噪声污染防治措施</w:t>
            </w:r>
          </w:p>
          <w:p>
            <w:pPr>
              <w:pStyle w:val="12"/>
              <w:adjustRightInd w:val="0"/>
              <w:snapToGrid w:val="0"/>
              <w:spacing w:line="460" w:lineRule="exact"/>
              <w:ind w:firstLine="480" w:firstLineChars="200"/>
              <w:rPr>
                <w:rFonts w:ascii="Times New Roman" w:hAnsi="Times New Roman"/>
                <w:sz w:val="24"/>
                <w:szCs w:val="24"/>
              </w:rPr>
            </w:pPr>
            <w:r>
              <w:rPr>
                <w:rFonts w:ascii="Times New Roman" w:hAnsi="Times New Roman"/>
                <w:sz w:val="24"/>
                <w:szCs w:val="24"/>
              </w:rPr>
              <w:t>拟建项目施工期噪声主要是各种施工机械、设备产生的噪声，主要设备噪声源强度介于</w:t>
            </w:r>
            <w:r>
              <w:rPr>
                <w:rFonts w:hint="eastAsia" w:ascii="Times New Roman" w:hAnsi="Times New Roman"/>
                <w:sz w:val="24"/>
                <w:szCs w:val="24"/>
              </w:rPr>
              <w:t>80</w:t>
            </w:r>
            <w:r>
              <w:rPr>
                <w:rFonts w:ascii="Times New Roman" w:hAnsi="Times New Roman"/>
                <w:sz w:val="24"/>
                <w:szCs w:val="24"/>
              </w:rPr>
              <w:t>~1</w:t>
            </w:r>
            <w:r>
              <w:rPr>
                <w:rFonts w:hint="eastAsia" w:ascii="Times New Roman" w:hAnsi="Times New Roman"/>
                <w:sz w:val="24"/>
                <w:szCs w:val="24"/>
              </w:rPr>
              <w:t>0</w:t>
            </w:r>
            <w:r>
              <w:rPr>
                <w:rFonts w:ascii="Times New Roman" w:hAnsi="Times New Roman"/>
                <w:sz w:val="24"/>
                <w:szCs w:val="24"/>
              </w:rPr>
              <w:t>0dB（A）之间。</w:t>
            </w:r>
          </w:p>
          <w:p>
            <w:pPr>
              <w:adjustRightInd w:val="0"/>
              <w:snapToGrid w:val="0"/>
              <w:spacing w:line="460" w:lineRule="exact"/>
              <w:ind w:firstLine="480" w:firstLineChars="200"/>
              <w:rPr>
                <w:sz w:val="24"/>
              </w:rPr>
            </w:pPr>
            <w:r>
              <w:rPr>
                <w:sz w:val="24"/>
              </w:rPr>
              <w:t>通过实施文明施工，控制施工人员活动噪声，对搬运设备、材料轻拿轻放，严禁抛掷，可以减小施工期噪声对环境的影响。</w:t>
            </w:r>
          </w:p>
          <w:p>
            <w:pPr>
              <w:pStyle w:val="12"/>
              <w:adjustRightInd w:val="0"/>
              <w:snapToGrid w:val="0"/>
              <w:spacing w:line="460" w:lineRule="exact"/>
              <w:rPr>
                <w:rFonts w:ascii="Times New Roman" w:hAnsi="Times New Roman"/>
                <w:b/>
                <w:sz w:val="24"/>
                <w:szCs w:val="24"/>
              </w:rPr>
            </w:pPr>
            <w:r>
              <w:rPr>
                <w:rFonts w:ascii="Times New Roman" w:hAnsi="Times New Roman"/>
                <w:b/>
                <w:sz w:val="24"/>
                <w:szCs w:val="24"/>
              </w:rPr>
              <w:t>4.1.4固体废物污染防治措施</w:t>
            </w:r>
          </w:p>
          <w:p>
            <w:pPr>
              <w:pStyle w:val="55"/>
              <w:spacing w:line="480" w:lineRule="exact"/>
              <w:ind w:firstLine="480"/>
            </w:pPr>
            <w:r>
              <w:rPr>
                <w:rFonts w:hint="eastAsia"/>
              </w:rPr>
              <w:t>施工期固体废弃物主要是土石方开挖的弃土弃石、建筑施工垃圾以及施工人员的生活垃圾。</w:t>
            </w:r>
          </w:p>
          <w:p>
            <w:pPr>
              <w:pStyle w:val="55"/>
              <w:spacing w:line="480" w:lineRule="exact"/>
              <w:ind w:firstLine="480"/>
            </w:pPr>
            <w:r>
              <w:rPr>
                <w:rFonts w:hint="eastAsia"/>
              </w:rPr>
              <w:t>施工时应尽可能做到土石方平衡，弃方的出路主要用于场地平整、厂内建设等。拟建项目因地势建设办公楼、厂房等，厂区内可实现土石方平衡，基本无弃方产生。</w:t>
            </w:r>
          </w:p>
          <w:p>
            <w:pPr>
              <w:pStyle w:val="55"/>
              <w:spacing w:line="480" w:lineRule="exact"/>
              <w:ind w:firstLine="480"/>
            </w:pPr>
            <w:r>
              <w:rPr>
                <w:rFonts w:hint="eastAsia"/>
              </w:rPr>
              <w:t>对施工产生的建筑垃圾，应集中收集堆放，分选后土石瓦块就地填方，金属木块等回收利用，剩余建筑弃渣量全部就近外运至建委指定的附近渣场集中处置。</w:t>
            </w:r>
          </w:p>
          <w:p>
            <w:pPr>
              <w:pStyle w:val="55"/>
              <w:spacing w:line="480" w:lineRule="exact"/>
              <w:ind w:firstLine="480"/>
            </w:pPr>
            <w:r>
              <w:rPr>
                <w:rFonts w:hint="eastAsia"/>
              </w:rPr>
              <w:t>施工人员按生活垃圾袋装收集后送环卫部门统一处理。</w:t>
            </w:r>
          </w:p>
          <w:p>
            <w:pPr>
              <w:pStyle w:val="12"/>
              <w:adjustRightInd w:val="0"/>
              <w:snapToGrid w:val="0"/>
              <w:spacing w:line="460" w:lineRule="exact"/>
              <w:ind w:firstLine="480" w:firstLineChars="200"/>
              <w:rPr>
                <w:rFonts w:ascii="Times New Roman" w:hAnsi="Times New Roman"/>
                <w:sz w:val="24"/>
                <w:szCs w:val="24"/>
              </w:rPr>
            </w:pPr>
            <w:r>
              <w:rPr>
                <w:rFonts w:ascii="Times New Roman" w:hAnsi="Times New Roman"/>
                <w:sz w:val="24"/>
                <w:szCs w:val="24"/>
              </w:rPr>
              <w:t>综上，采取以上措施后，拟建项目施工期对周围环境的影响小。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458" w:type="dxa"/>
            <w:tcMar>
              <w:left w:w="28" w:type="dxa"/>
              <w:right w:w="28" w:type="dxa"/>
            </w:tcMar>
            <w:vAlign w:val="center"/>
          </w:tcPr>
          <w:p>
            <w:pPr>
              <w:adjustRightInd w:val="0"/>
              <w:snapToGrid w:val="0"/>
              <w:jc w:val="center"/>
              <w:rPr>
                <w:rFonts w:ascii="宋体" w:hAnsi="宋体" w:cs="宋体"/>
                <w:bCs/>
                <w:szCs w:val="21"/>
              </w:rPr>
            </w:pPr>
            <w:r>
              <w:rPr>
                <w:rFonts w:hint="eastAsia" w:ascii="宋体" w:hAnsi="宋体" w:cs="宋体"/>
                <w:bCs/>
                <w:szCs w:val="21"/>
              </w:rPr>
              <w:t>运营</w:t>
            </w:r>
          </w:p>
          <w:p>
            <w:pPr>
              <w:adjustRightInd w:val="0"/>
              <w:snapToGrid w:val="0"/>
              <w:jc w:val="center"/>
              <w:rPr>
                <w:rFonts w:ascii="宋体" w:hAnsi="宋体" w:cs="宋体"/>
                <w:bCs/>
                <w:szCs w:val="21"/>
              </w:rPr>
            </w:pPr>
            <w:r>
              <w:rPr>
                <w:rFonts w:hint="eastAsia" w:ascii="宋体" w:hAnsi="宋体" w:cs="宋体"/>
                <w:bCs/>
                <w:szCs w:val="21"/>
              </w:rPr>
              <w:t>期环</w:t>
            </w:r>
          </w:p>
          <w:p>
            <w:pPr>
              <w:adjustRightInd w:val="0"/>
              <w:snapToGrid w:val="0"/>
              <w:jc w:val="center"/>
              <w:rPr>
                <w:rFonts w:ascii="宋体" w:hAnsi="宋体" w:cs="宋体"/>
                <w:bCs/>
                <w:szCs w:val="21"/>
              </w:rPr>
            </w:pPr>
            <w:r>
              <w:rPr>
                <w:rFonts w:hint="eastAsia" w:ascii="宋体" w:hAnsi="宋体" w:cs="宋体"/>
                <w:bCs/>
                <w:szCs w:val="21"/>
              </w:rPr>
              <w:t>境影</w:t>
            </w:r>
          </w:p>
          <w:p>
            <w:pPr>
              <w:adjustRightInd w:val="0"/>
              <w:snapToGrid w:val="0"/>
              <w:jc w:val="center"/>
              <w:rPr>
                <w:rFonts w:ascii="宋体" w:hAnsi="宋体" w:cs="宋体"/>
                <w:bCs/>
                <w:szCs w:val="21"/>
              </w:rPr>
            </w:pPr>
            <w:r>
              <w:rPr>
                <w:rFonts w:hint="eastAsia" w:ascii="宋体" w:hAnsi="宋体" w:cs="宋体"/>
                <w:bCs/>
                <w:szCs w:val="21"/>
              </w:rPr>
              <w:t>响和</w:t>
            </w:r>
          </w:p>
          <w:p>
            <w:pPr>
              <w:adjustRightInd w:val="0"/>
              <w:snapToGrid w:val="0"/>
              <w:jc w:val="center"/>
              <w:rPr>
                <w:rFonts w:ascii="宋体" w:hAnsi="宋体" w:cs="宋体"/>
                <w:bCs/>
                <w:szCs w:val="21"/>
              </w:rPr>
            </w:pPr>
            <w:r>
              <w:rPr>
                <w:rFonts w:hint="eastAsia" w:ascii="宋体" w:hAnsi="宋体" w:cs="宋体"/>
                <w:bCs/>
                <w:szCs w:val="21"/>
              </w:rPr>
              <w:t>保护</w:t>
            </w:r>
          </w:p>
          <w:p>
            <w:pPr>
              <w:adjustRightInd w:val="0"/>
              <w:snapToGrid w:val="0"/>
              <w:jc w:val="center"/>
              <w:rPr>
                <w:rFonts w:ascii="宋体" w:hAnsi="宋体" w:cs="宋体"/>
                <w:bCs/>
                <w:szCs w:val="21"/>
              </w:rPr>
            </w:pPr>
            <w:r>
              <w:rPr>
                <w:rFonts w:hint="eastAsia" w:ascii="宋体" w:hAnsi="宋体" w:cs="宋体"/>
                <w:bCs/>
                <w:szCs w:val="21"/>
              </w:rPr>
              <w:t>措施</w:t>
            </w:r>
          </w:p>
        </w:tc>
        <w:tc>
          <w:tcPr>
            <w:tcW w:w="8450" w:type="dxa"/>
            <w:vAlign w:val="center"/>
          </w:tcPr>
          <w:p>
            <w:pPr>
              <w:pStyle w:val="2"/>
              <w:spacing w:before="0" w:after="0" w:line="480" w:lineRule="exact"/>
              <w:ind w:left="0" w:firstLine="0"/>
              <w:rPr>
                <w:rFonts w:eastAsia="宋体"/>
                <w:bCs w:val="0"/>
                <w:color w:val="auto"/>
                <w:kern w:val="0"/>
                <w:sz w:val="24"/>
                <w:szCs w:val="24"/>
              </w:rPr>
            </w:pPr>
            <w:r>
              <w:rPr>
                <w:rFonts w:hint="eastAsia" w:eastAsia="宋体"/>
                <w:bCs w:val="0"/>
                <w:color w:val="auto"/>
                <w:kern w:val="0"/>
                <w:sz w:val="24"/>
                <w:szCs w:val="24"/>
              </w:rPr>
              <w:t>4.2运营期环境影响和保护措施</w:t>
            </w:r>
          </w:p>
          <w:p>
            <w:pPr>
              <w:pStyle w:val="2"/>
              <w:spacing w:before="0" w:after="0" w:line="480" w:lineRule="exact"/>
              <w:ind w:left="0" w:firstLine="0"/>
              <w:rPr>
                <w:rFonts w:eastAsia="宋体"/>
                <w:bCs w:val="0"/>
                <w:color w:val="auto"/>
                <w:kern w:val="0"/>
                <w:sz w:val="24"/>
                <w:szCs w:val="24"/>
              </w:rPr>
            </w:pPr>
            <w:r>
              <w:rPr>
                <w:rFonts w:hint="eastAsia" w:eastAsia="宋体"/>
                <w:bCs w:val="0"/>
                <w:color w:val="auto"/>
                <w:kern w:val="0"/>
                <w:sz w:val="24"/>
                <w:szCs w:val="24"/>
              </w:rPr>
              <w:t>4.2.1</w:t>
            </w:r>
            <w:r>
              <w:rPr>
                <w:rFonts w:eastAsia="宋体"/>
                <w:bCs w:val="0"/>
                <w:color w:val="auto"/>
                <w:kern w:val="0"/>
                <w:sz w:val="24"/>
                <w:szCs w:val="24"/>
              </w:rPr>
              <w:t>废气</w:t>
            </w:r>
          </w:p>
          <w:p>
            <w:pPr>
              <w:spacing w:line="480" w:lineRule="exact"/>
              <w:rPr>
                <w:b/>
                <w:sz w:val="24"/>
              </w:rPr>
            </w:pPr>
            <w:r>
              <w:rPr>
                <w:rFonts w:hint="eastAsia"/>
                <w:b/>
                <w:sz w:val="24"/>
              </w:rPr>
              <w:t>4.2.1.1废气产生及排放情况</w:t>
            </w:r>
          </w:p>
          <w:p>
            <w:pPr>
              <w:spacing w:line="500" w:lineRule="exact"/>
              <w:ind w:firstLine="480" w:firstLineChars="200"/>
              <w:rPr>
                <w:sz w:val="24"/>
              </w:rPr>
            </w:pPr>
            <w:r>
              <w:rPr>
                <w:rFonts w:hint="eastAsia"/>
                <w:sz w:val="24"/>
              </w:rPr>
              <w:t>拟建项目废气主要为安全气囊引爆废气、</w:t>
            </w:r>
          </w:p>
          <w:p>
            <w:pPr>
              <w:spacing w:line="500" w:lineRule="exact"/>
              <w:ind w:firstLine="480" w:firstLineChars="200"/>
              <w:rPr>
                <w:sz w:val="24"/>
              </w:rPr>
            </w:pPr>
            <w:r>
              <w:rPr>
                <w:rFonts w:hint="eastAsia"/>
                <w:sz w:val="24"/>
              </w:rPr>
              <w:t>（1）安全气囊引爆废气</w:t>
            </w:r>
          </w:p>
          <w:p>
            <w:pPr>
              <w:spacing w:line="500" w:lineRule="exact"/>
              <w:ind w:firstLine="480" w:firstLineChars="200"/>
              <w:rPr>
                <w:sz w:val="24"/>
              </w:rPr>
            </w:pPr>
            <w:r>
              <w:rPr>
                <w:rFonts w:hint="eastAsia"/>
                <w:sz w:val="24"/>
              </w:rPr>
              <w:t>本项目采用将未引爆的安全气囊组件拆除后再引爆的方式处理安全气囊。</w:t>
            </w:r>
          </w:p>
          <w:p>
            <w:pPr>
              <w:spacing w:line="500" w:lineRule="exact"/>
              <w:ind w:firstLine="480" w:firstLineChars="200"/>
              <w:rPr>
                <w:sz w:val="24"/>
              </w:rPr>
            </w:pPr>
            <w:r>
              <w:rPr>
                <w:rFonts w:hint="eastAsia"/>
                <w:sz w:val="24"/>
              </w:rPr>
              <w:t>汽车充气剂为叠氮化钠(NaN</w:t>
            </w:r>
            <w:r>
              <w:rPr>
                <w:rFonts w:hint="eastAsia"/>
                <w:sz w:val="24"/>
                <w:vertAlign w:val="subscript"/>
              </w:rPr>
              <w:t>3</w:t>
            </w:r>
            <w:r>
              <w:rPr>
                <w:rFonts w:hint="eastAsia"/>
                <w:sz w:val="24"/>
              </w:rPr>
              <w:t>)，在近乎爆炸的化学反应快速发生的同时，会产生大量无害的以氮气为主的气体，将气囊充气至饱满的状态。气囊可由设计好的小排气口排气，排出的气体主要成分为氮气，对空气环境影响较小。引爆后的安全气囊不再具有环境风险，不再作为危险废物，可作为一般尼龙材料外售。</w:t>
            </w:r>
          </w:p>
          <w:p>
            <w:pPr>
              <w:spacing w:line="500" w:lineRule="exact"/>
              <w:ind w:firstLine="480" w:firstLineChars="200"/>
              <w:rPr>
                <w:sz w:val="24"/>
              </w:rPr>
            </w:pPr>
            <w:r>
              <w:rPr>
                <w:rFonts w:hint="eastAsia"/>
                <w:sz w:val="24"/>
              </w:rPr>
              <w:t>反应的化学方程式：</w:t>
            </w:r>
          </w:p>
          <w:p>
            <w:pPr>
              <w:spacing w:line="480" w:lineRule="exact"/>
              <w:ind w:firstLine="480" w:firstLineChars="200"/>
              <w:jc w:val="center"/>
              <w:rPr>
                <w:sz w:val="24"/>
              </w:rPr>
            </w:pPr>
            <w:r>
              <w:rPr>
                <w:sz w:val="24"/>
              </w:rPr>
              <w:t>2NaN</w:t>
            </w:r>
            <w:r>
              <w:rPr>
                <w:sz w:val="24"/>
                <w:vertAlign w:val="subscript"/>
              </w:rPr>
              <w:t>3</w:t>
            </w:r>
            <w:r>
              <w:rPr>
                <w:sz w:val="24"/>
              </w:rPr>
              <w:t>=（撞击）=2Na+3N</w:t>
            </w:r>
            <w:r>
              <w:rPr>
                <w:sz w:val="24"/>
                <w:vertAlign w:val="subscript"/>
              </w:rPr>
              <w:t>2</w:t>
            </w:r>
            <w:r>
              <w:rPr>
                <w:sz w:val="24"/>
              </w:rPr>
              <w:t>（气体）</w:t>
            </w:r>
          </w:p>
          <w:p>
            <w:pPr>
              <w:spacing w:line="480" w:lineRule="exact"/>
              <w:jc w:val="center"/>
              <w:rPr>
                <w:sz w:val="24"/>
              </w:rPr>
            </w:pPr>
            <w:r>
              <w:rPr>
                <w:sz w:val="24"/>
              </w:rPr>
              <w:t>10Na+ KNO</w:t>
            </w:r>
            <w:r>
              <w:rPr>
                <w:sz w:val="24"/>
                <w:vertAlign w:val="subscript"/>
              </w:rPr>
              <w:t>3</w:t>
            </w:r>
            <w:r>
              <w:rPr>
                <w:sz w:val="24"/>
              </w:rPr>
              <w:t>+6SiO</w:t>
            </w:r>
            <w:r>
              <w:rPr>
                <w:sz w:val="24"/>
                <w:vertAlign w:val="subscript"/>
              </w:rPr>
              <w:t>2</w:t>
            </w:r>
            <w:r>
              <w:rPr>
                <w:sz w:val="24"/>
              </w:rPr>
              <w:t>=5NaSiO</w:t>
            </w:r>
            <w:r>
              <w:rPr>
                <w:sz w:val="24"/>
                <w:vertAlign w:val="subscript"/>
              </w:rPr>
              <w:t>3</w:t>
            </w:r>
            <w:r>
              <w:rPr>
                <w:sz w:val="24"/>
              </w:rPr>
              <w:t>+K</w:t>
            </w:r>
            <w:r>
              <w:rPr>
                <w:sz w:val="24"/>
                <w:vertAlign w:val="subscript"/>
              </w:rPr>
              <w:t>2</w:t>
            </w:r>
            <w:r>
              <w:rPr>
                <w:sz w:val="24"/>
              </w:rPr>
              <w:t>SiO</w:t>
            </w:r>
            <w:r>
              <w:rPr>
                <w:sz w:val="24"/>
                <w:vertAlign w:val="subscript"/>
              </w:rPr>
              <w:t>3</w:t>
            </w:r>
            <w:r>
              <w:rPr>
                <w:sz w:val="24"/>
              </w:rPr>
              <w:t>+N</w:t>
            </w:r>
            <w:r>
              <w:rPr>
                <w:sz w:val="24"/>
                <w:vertAlign w:val="subscript"/>
              </w:rPr>
              <w:t>2</w:t>
            </w:r>
            <w:r>
              <w:rPr>
                <w:sz w:val="24"/>
              </w:rPr>
              <w:t>（气体）</w:t>
            </w:r>
          </w:p>
          <w:p>
            <w:pPr>
              <w:spacing w:line="480" w:lineRule="exact"/>
              <w:ind w:firstLine="480" w:firstLineChars="200"/>
              <w:rPr>
                <w:sz w:val="24"/>
              </w:rPr>
            </w:pPr>
            <w:r>
              <w:rPr>
                <w:rFonts w:hint="eastAsia"/>
                <w:sz w:val="24"/>
              </w:rPr>
              <w:t>安全气囊有三部分组成：气囊、传感器、充气系统。安全气囊是安全气囊系统一个辅助保护设备，它是由带橡胶衬里的特种织物尼龙制成的。安全气囊引爆装置引爆过程中会产生少量的尼龙粉尘。本项目引爆容器为封闭箱式装置，引爆后粉尘废气产生量极少，故本评价不对其进行定量分析。</w:t>
            </w:r>
          </w:p>
          <w:p>
            <w:pPr>
              <w:adjustRightInd w:val="0"/>
              <w:snapToGrid w:val="0"/>
              <w:spacing w:line="480" w:lineRule="exact"/>
              <w:ind w:firstLine="480" w:firstLineChars="200"/>
              <w:rPr>
                <w:kern w:val="0"/>
                <w:sz w:val="24"/>
              </w:rPr>
            </w:pPr>
            <w:r>
              <w:rPr>
                <w:kern w:val="0"/>
                <w:sz w:val="24"/>
              </w:rPr>
              <w:t>（2）油液挥发废气</w:t>
            </w:r>
          </w:p>
          <w:p>
            <w:pPr>
              <w:adjustRightInd w:val="0"/>
              <w:snapToGrid w:val="0"/>
              <w:spacing w:line="480" w:lineRule="exact"/>
              <w:ind w:firstLine="480" w:firstLineChars="200"/>
              <w:rPr>
                <w:kern w:val="0"/>
                <w:sz w:val="24"/>
              </w:rPr>
            </w:pPr>
            <w:r>
              <w:rPr>
                <w:kern w:val="0"/>
                <w:sz w:val="24"/>
              </w:rPr>
              <w:t>本项目废油液的挥发产生有机废气（以非甲烷总烃计）。项目报废汽车在入厂后，首先对车辆进行检查，对出现泄漏的总成部件，收集泄漏的液体或封住泄漏处，故泄漏的废油液量很少。在拆解预处理阶段，采用废油液抽取机将各废油液抽至专用容器密闭储存。根据物料平衡可知，废油（不包含废液）收集总量为</w:t>
            </w:r>
            <w:r>
              <w:rPr>
                <w:rFonts w:hint="eastAsia"/>
                <w:kern w:val="0"/>
                <w:sz w:val="24"/>
              </w:rPr>
              <w:t>606.15</w:t>
            </w:r>
            <w:r>
              <w:rPr>
                <w:kern w:val="0"/>
                <w:sz w:val="24"/>
              </w:rPr>
              <w:t>t/a。</w:t>
            </w:r>
            <w:r>
              <w:rPr>
                <w:rFonts w:hint="eastAsia"/>
                <w:kern w:val="0"/>
                <w:sz w:val="24"/>
              </w:rPr>
              <w:t>因</w:t>
            </w:r>
            <w:r>
              <w:rPr>
                <w:rFonts w:hint="eastAsia"/>
                <w:bCs/>
                <w:sz w:val="24"/>
              </w:rPr>
              <w:t>《排污许可证申请与核发技术规范 废弃资源加工工业》（HJ1034-2019）里无对应的源强系数，且</w:t>
            </w:r>
            <w:r>
              <w:rPr>
                <w:rFonts w:hint="eastAsia"/>
                <w:kern w:val="0"/>
                <w:sz w:val="24"/>
              </w:rPr>
              <w:t>无源强核算技术指南，因此</w:t>
            </w:r>
            <w:r>
              <w:rPr>
                <w:kern w:val="0"/>
                <w:sz w:val="24"/>
              </w:rPr>
              <w:t>参考《报废汽车回收拆解企业技术规范》（GB22128-2019），各废油的排空率不得低于90%，本次评价取最低值90%，</w:t>
            </w:r>
            <w:r>
              <w:rPr>
                <w:rFonts w:hint="eastAsia"/>
                <w:kern w:val="0"/>
                <w:sz w:val="24"/>
              </w:rPr>
              <w:t>根据表4</w:t>
            </w:r>
            <w:r>
              <w:rPr>
                <w:kern w:val="0"/>
                <w:sz w:val="24"/>
              </w:rPr>
              <w:t>.2.1</w:t>
            </w:r>
            <w:r>
              <w:rPr>
                <w:rFonts w:hint="eastAsia"/>
                <w:kern w:val="0"/>
                <w:sz w:val="24"/>
              </w:rPr>
              <w:t>-</w:t>
            </w:r>
            <w:r>
              <w:rPr>
                <w:kern w:val="0"/>
                <w:sz w:val="24"/>
              </w:rPr>
              <w:t>1</w:t>
            </w:r>
            <w:r>
              <w:rPr>
                <w:rFonts w:hint="eastAsia"/>
                <w:kern w:val="0"/>
                <w:sz w:val="24"/>
              </w:rPr>
              <w:t>，</w:t>
            </w:r>
            <w:r>
              <w:rPr>
                <w:kern w:val="0"/>
                <w:sz w:val="24"/>
              </w:rPr>
              <w:t>则油品残留量为</w:t>
            </w:r>
            <w:r>
              <w:rPr>
                <w:rFonts w:hint="eastAsia"/>
                <w:kern w:val="0"/>
                <w:sz w:val="24"/>
              </w:rPr>
              <w:t>60.62</w:t>
            </w:r>
            <w:r>
              <w:rPr>
                <w:kern w:val="0"/>
                <w:sz w:val="24"/>
              </w:rPr>
              <w:t>t/a。</w:t>
            </w:r>
          </w:p>
          <w:p>
            <w:pPr>
              <w:adjustRightInd w:val="0"/>
              <w:snapToGrid w:val="0"/>
              <w:spacing w:line="480" w:lineRule="exact"/>
              <w:ind w:firstLine="360" w:firstLineChars="200"/>
              <w:jc w:val="center"/>
              <w:rPr>
                <w:kern w:val="0"/>
                <w:sz w:val="18"/>
                <w:szCs w:val="18"/>
              </w:rPr>
            </w:pPr>
            <w:r>
              <w:rPr>
                <w:rFonts w:hint="eastAsia"/>
                <w:kern w:val="0"/>
                <w:sz w:val="18"/>
                <w:szCs w:val="18"/>
              </w:rPr>
              <w:t>表4</w:t>
            </w:r>
            <w:r>
              <w:rPr>
                <w:kern w:val="0"/>
                <w:sz w:val="18"/>
                <w:szCs w:val="18"/>
              </w:rPr>
              <w:t>.2.1</w:t>
            </w:r>
            <w:r>
              <w:rPr>
                <w:rFonts w:hint="eastAsia"/>
                <w:kern w:val="0"/>
                <w:sz w:val="18"/>
                <w:szCs w:val="18"/>
              </w:rPr>
              <w:t>-</w:t>
            </w:r>
            <w:r>
              <w:rPr>
                <w:kern w:val="0"/>
                <w:sz w:val="18"/>
                <w:szCs w:val="18"/>
              </w:rPr>
              <w:t xml:space="preserve">1  </w:t>
            </w:r>
            <w:r>
              <w:rPr>
                <w:rFonts w:hint="eastAsia"/>
                <w:kern w:val="0"/>
                <w:sz w:val="18"/>
                <w:szCs w:val="18"/>
              </w:rPr>
              <w:t>拟建项目拆除油类量（单位：t/a）</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2"/>
              <w:gridCol w:w="1372"/>
              <w:gridCol w:w="1371"/>
              <w:gridCol w:w="1371"/>
              <w:gridCol w:w="1371"/>
              <w:gridCol w:w="13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3" w:hRule="atLeast"/>
              </w:trPr>
              <w:tc>
                <w:tcPr>
                  <w:tcW w:w="1020" w:type="dxa"/>
                  <w:tcBorders>
                    <w:tl2br w:val="single" w:color="auto" w:sz="2" w:space="0"/>
                  </w:tcBorders>
                  <w:shd w:val="clear" w:color="auto" w:fill="auto"/>
                  <w:noWrap/>
                  <w:vAlign w:val="center"/>
                </w:tcPr>
                <w:p>
                  <w:pPr>
                    <w:widowControl/>
                    <w:jc w:val="right"/>
                    <w:rPr>
                      <w:kern w:val="0"/>
                      <w:sz w:val="18"/>
                      <w:szCs w:val="18"/>
                    </w:rPr>
                  </w:pPr>
                  <w:r>
                    <w:rPr>
                      <w:rFonts w:hint="eastAsia"/>
                      <w:kern w:val="0"/>
                      <w:sz w:val="18"/>
                      <w:szCs w:val="18"/>
                    </w:rPr>
                    <w:t>车辆种类</w:t>
                  </w:r>
                </w:p>
                <w:p>
                  <w:pPr>
                    <w:widowControl/>
                    <w:jc w:val="left"/>
                    <w:rPr>
                      <w:kern w:val="0"/>
                      <w:sz w:val="18"/>
                      <w:szCs w:val="18"/>
                    </w:rPr>
                  </w:pPr>
                  <w:r>
                    <w:rPr>
                      <w:rFonts w:hint="eastAsia"/>
                      <w:kern w:val="0"/>
                      <w:sz w:val="18"/>
                      <w:szCs w:val="18"/>
                    </w:rPr>
                    <w:t>油品种类</w:t>
                  </w:r>
                </w:p>
                <w:p>
                  <w:pPr>
                    <w:widowControl/>
                    <w:jc w:val="center"/>
                    <w:rPr>
                      <w:kern w:val="0"/>
                      <w:sz w:val="18"/>
                      <w:szCs w:val="18"/>
                    </w:rPr>
                  </w:pPr>
                </w:p>
              </w:tc>
              <w:tc>
                <w:tcPr>
                  <w:tcW w:w="1020" w:type="dxa"/>
                  <w:shd w:val="clear" w:color="auto" w:fill="auto"/>
                  <w:vAlign w:val="center"/>
                </w:tcPr>
                <w:p>
                  <w:pPr>
                    <w:widowControl/>
                    <w:jc w:val="center"/>
                    <w:rPr>
                      <w:kern w:val="0"/>
                      <w:sz w:val="18"/>
                      <w:szCs w:val="18"/>
                    </w:rPr>
                  </w:pPr>
                  <w:r>
                    <w:rPr>
                      <w:kern w:val="0"/>
                      <w:sz w:val="18"/>
                      <w:szCs w:val="18"/>
                    </w:rPr>
                    <w:t>电动汽车</w:t>
                  </w:r>
                </w:p>
              </w:tc>
              <w:tc>
                <w:tcPr>
                  <w:tcW w:w="1020" w:type="dxa"/>
                  <w:shd w:val="clear" w:color="auto" w:fill="auto"/>
                  <w:vAlign w:val="center"/>
                </w:tcPr>
                <w:p>
                  <w:pPr>
                    <w:widowControl/>
                    <w:jc w:val="center"/>
                    <w:rPr>
                      <w:kern w:val="0"/>
                      <w:sz w:val="18"/>
                      <w:szCs w:val="18"/>
                    </w:rPr>
                  </w:pPr>
                  <w:r>
                    <w:rPr>
                      <w:kern w:val="0"/>
                      <w:sz w:val="18"/>
                      <w:szCs w:val="18"/>
                    </w:rPr>
                    <w:t>小轿车</w:t>
                  </w:r>
                </w:p>
              </w:tc>
              <w:tc>
                <w:tcPr>
                  <w:tcW w:w="1020" w:type="dxa"/>
                  <w:shd w:val="clear" w:color="auto" w:fill="auto"/>
                  <w:vAlign w:val="center"/>
                </w:tcPr>
                <w:p>
                  <w:pPr>
                    <w:widowControl/>
                    <w:jc w:val="center"/>
                    <w:rPr>
                      <w:kern w:val="0"/>
                      <w:sz w:val="18"/>
                      <w:szCs w:val="18"/>
                    </w:rPr>
                  </w:pPr>
                  <w:r>
                    <w:rPr>
                      <w:kern w:val="0"/>
                      <w:sz w:val="18"/>
                      <w:szCs w:val="18"/>
                    </w:rPr>
                    <w:t>中型货车</w:t>
                  </w:r>
                </w:p>
              </w:tc>
              <w:tc>
                <w:tcPr>
                  <w:tcW w:w="1020" w:type="dxa"/>
                  <w:shd w:val="clear" w:color="auto" w:fill="auto"/>
                  <w:vAlign w:val="center"/>
                </w:tcPr>
                <w:p>
                  <w:pPr>
                    <w:widowControl/>
                    <w:jc w:val="center"/>
                    <w:rPr>
                      <w:kern w:val="0"/>
                      <w:sz w:val="18"/>
                      <w:szCs w:val="18"/>
                    </w:rPr>
                  </w:pPr>
                  <w:r>
                    <w:rPr>
                      <w:kern w:val="0"/>
                      <w:sz w:val="18"/>
                      <w:szCs w:val="18"/>
                    </w:rPr>
                    <w:t>大型货车</w:t>
                  </w:r>
                </w:p>
              </w:tc>
              <w:tc>
                <w:tcPr>
                  <w:tcW w:w="1020" w:type="dxa"/>
                  <w:shd w:val="clear" w:color="auto" w:fill="auto"/>
                  <w:vAlign w:val="center"/>
                </w:tcPr>
                <w:p>
                  <w:pPr>
                    <w:widowControl/>
                    <w:jc w:val="center"/>
                    <w:rPr>
                      <w:kern w:val="0"/>
                      <w:sz w:val="18"/>
                      <w:szCs w:val="18"/>
                    </w:rPr>
                  </w:pPr>
                  <w:r>
                    <w:rPr>
                      <w:rFonts w:hint="eastAsia"/>
                      <w:kern w:val="0"/>
                      <w:sz w:val="18"/>
                      <w:szCs w:val="18"/>
                    </w:rPr>
                    <w:t>小计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废汽油、柴油</w:t>
                  </w:r>
                </w:p>
              </w:tc>
              <w:tc>
                <w:tcPr>
                  <w:tcW w:w="1020" w:type="dxa"/>
                  <w:shd w:val="clear" w:color="auto" w:fill="auto"/>
                  <w:vAlign w:val="center"/>
                </w:tcPr>
                <w:p>
                  <w:pPr>
                    <w:widowControl/>
                    <w:jc w:val="center"/>
                    <w:rPr>
                      <w:kern w:val="0"/>
                      <w:sz w:val="18"/>
                      <w:szCs w:val="18"/>
                    </w:rPr>
                  </w:pPr>
                  <w:r>
                    <w:rPr>
                      <w:kern w:val="0"/>
                      <w:sz w:val="18"/>
                      <w:szCs w:val="18"/>
                    </w:rPr>
                    <w:t>0.75</w:t>
                  </w:r>
                </w:p>
              </w:tc>
              <w:tc>
                <w:tcPr>
                  <w:tcW w:w="1020" w:type="dxa"/>
                  <w:shd w:val="clear" w:color="auto" w:fill="auto"/>
                  <w:vAlign w:val="center"/>
                </w:tcPr>
                <w:p>
                  <w:pPr>
                    <w:widowControl/>
                    <w:jc w:val="center"/>
                    <w:rPr>
                      <w:kern w:val="0"/>
                      <w:sz w:val="18"/>
                      <w:szCs w:val="18"/>
                    </w:rPr>
                  </w:pPr>
                  <w:r>
                    <w:rPr>
                      <w:kern w:val="0"/>
                      <w:sz w:val="18"/>
                      <w:szCs w:val="18"/>
                    </w:rPr>
                    <w:t>4.2</w:t>
                  </w:r>
                </w:p>
              </w:tc>
              <w:tc>
                <w:tcPr>
                  <w:tcW w:w="1020" w:type="dxa"/>
                  <w:shd w:val="clear" w:color="auto" w:fill="auto"/>
                  <w:vAlign w:val="center"/>
                </w:tcPr>
                <w:p>
                  <w:pPr>
                    <w:widowControl/>
                    <w:jc w:val="center"/>
                    <w:rPr>
                      <w:kern w:val="0"/>
                      <w:sz w:val="18"/>
                      <w:szCs w:val="18"/>
                    </w:rPr>
                  </w:pPr>
                  <w:r>
                    <w:rPr>
                      <w:kern w:val="0"/>
                      <w:sz w:val="18"/>
                      <w:szCs w:val="18"/>
                    </w:rPr>
                    <w:t>3</w:t>
                  </w:r>
                </w:p>
              </w:tc>
              <w:tc>
                <w:tcPr>
                  <w:tcW w:w="1020" w:type="dxa"/>
                  <w:shd w:val="clear" w:color="auto" w:fill="auto"/>
                  <w:vAlign w:val="center"/>
                </w:tcPr>
                <w:p>
                  <w:pPr>
                    <w:widowControl/>
                    <w:jc w:val="center"/>
                    <w:rPr>
                      <w:kern w:val="0"/>
                      <w:sz w:val="18"/>
                      <w:szCs w:val="18"/>
                    </w:rPr>
                  </w:pPr>
                  <w:r>
                    <w:rPr>
                      <w:kern w:val="0"/>
                      <w:sz w:val="18"/>
                      <w:szCs w:val="18"/>
                    </w:rPr>
                    <w:t>1.8</w:t>
                  </w:r>
                </w:p>
              </w:tc>
              <w:tc>
                <w:tcPr>
                  <w:tcW w:w="1020" w:type="dxa"/>
                  <w:shd w:val="clear" w:color="auto" w:fill="auto"/>
                  <w:noWrap/>
                  <w:vAlign w:val="center"/>
                </w:tcPr>
                <w:p>
                  <w:pPr>
                    <w:widowControl/>
                    <w:jc w:val="center"/>
                    <w:rPr>
                      <w:kern w:val="0"/>
                      <w:sz w:val="18"/>
                      <w:szCs w:val="18"/>
                    </w:rPr>
                  </w:pPr>
                  <w:r>
                    <w:rPr>
                      <w:kern w:val="0"/>
                      <w:sz w:val="18"/>
                      <w:szCs w:val="18"/>
                    </w:rPr>
                    <w:t>9.75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废机油</w:t>
                  </w:r>
                </w:p>
              </w:tc>
              <w:tc>
                <w:tcPr>
                  <w:tcW w:w="1020" w:type="dxa"/>
                  <w:shd w:val="clear" w:color="auto" w:fill="auto"/>
                  <w:vAlign w:val="center"/>
                </w:tcPr>
                <w:p>
                  <w:pPr>
                    <w:widowControl/>
                    <w:jc w:val="center"/>
                    <w:rPr>
                      <w:kern w:val="0"/>
                      <w:sz w:val="18"/>
                      <w:szCs w:val="18"/>
                    </w:rPr>
                  </w:pPr>
                  <w:r>
                    <w:rPr>
                      <w:kern w:val="0"/>
                      <w:sz w:val="18"/>
                      <w:szCs w:val="18"/>
                    </w:rPr>
                    <w:t>7.5</w:t>
                  </w:r>
                </w:p>
              </w:tc>
              <w:tc>
                <w:tcPr>
                  <w:tcW w:w="1020" w:type="dxa"/>
                  <w:shd w:val="clear" w:color="auto" w:fill="auto"/>
                  <w:vAlign w:val="center"/>
                </w:tcPr>
                <w:p>
                  <w:pPr>
                    <w:widowControl/>
                    <w:jc w:val="center"/>
                    <w:rPr>
                      <w:kern w:val="0"/>
                      <w:sz w:val="18"/>
                      <w:szCs w:val="18"/>
                    </w:rPr>
                  </w:pPr>
                  <w:r>
                    <w:rPr>
                      <w:kern w:val="0"/>
                      <w:sz w:val="18"/>
                      <w:szCs w:val="18"/>
                    </w:rPr>
                    <w:t>39.9</w:t>
                  </w:r>
                </w:p>
              </w:tc>
              <w:tc>
                <w:tcPr>
                  <w:tcW w:w="1020" w:type="dxa"/>
                  <w:shd w:val="clear" w:color="auto" w:fill="auto"/>
                  <w:vAlign w:val="center"/>
                </w:tcPr>
                <w:p>
                  <w:pPr>
                    <w:widowControl/>
                    <w:jc w:val="center"/>
                    <w:rPr>
                      <w:kern w:val="0"/>
                      <w:sz w:val="18"/>
                      <w:szCs w:val="18"/>
                    </w:rPr>
                  </w:pPr>
                  <w:r>
                    <w:rPr>
                      <w:kern w:val="0"/>
                      <w:sz w:val="18"/>
                      <w:szCs w:val="18"/>
                    </w:rPr>
                    <w:t>40.5</w:t>
                  </w:r>
                </w:p>
              </w:tc>
              <w:tc>
                <w:tcPr>
                  <w:tcW w:w="1020" w:type="dxa"/>
                  <w:shd w:val="clear" w:color="auto" w:fill="auto"/>
                  <w:vAlign w:val="center"/>
                </w:tcPr>
                <w:p>
                  <w:pPr>
                    <w:widowControl/>
                    <w:jc w:val="center"/>
                    <w:rPr>
                      <w:kern w:val="0"/>
                      <w:sz w:val="18"/>
                      <w:szCs w:val="18"/>
                    </w:rPr>
                  </w:pPr>
                  <w:r>
                    <w:rPr>
                      <w:kern w:val="0"/>
                      <w:sz w:val="18"/>
                      <w:szCs w:val="18"/>
                    </w:rPr>
                    <w:t>34.2</w:t>
                  </w:r>
                </w:p>
              </w:tc>
              <w:tc>
                <w:tcPr>
                  <w:tcW w:w="1020" w:type="dxa"/>
                  <w:shd w:val="clear" w:color="auto" w:fill="auto"/>
                  <w:noWrap/>
                  <w:vAlign w:val="center"/>
                </w:tcPr>
                <w:p>
                  <w:pPr>
                    <w:widowControl/>
                    <w:jc w:val="center"/>
                    <w:rPr>
                      <w:kern w:val="0"/>
                      <w:sz w:val="18"/>
                      <w:szCs w:val="18"/>
                    </w:rPr>
                  </w:pPr>
                  <w:r>
                    <w:rPr>
                      <w:kern w:val="0"/>
                      <w:sz w:val="18"/>
                      <w:szCs w:val="18"/>
                    </w:rPr>
                    <w:t>122.1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润滑油</w:t>
                  </w:r>
                </w:p>
              </w:tc>
              <w:tc>
                <w:tcPr>
                  <w:tcW w:w="1020" w:type="dxa"/>
                  <w:shd w:val="clear" w:color="auto" w:fill="auto"/>
                  <w:vAlign w:val="center"/>
                </w:tcPr>
                <w:p>
                  <w:pPr>
                    <w:widowControl/>
                    <w:jc w:val="center"/>
                    <w:rPr>
                      <w:kern w:val="0"/>
                      <w:sz w:val="18"/>
                      <w:szCs w:val="18"/>
                    </w:rPr>
                  </w:pPr>
                  <w:r>
                    <w:rPr>
                      <w:kern w:val="0"/>
                      <w:sz w:val="18"/>
                      <w:szCs w:val="18"/>
                    </w:rPr>
                    <w:t>14.25</w:t>
                  </w:r>
                </w:p>
              </w:tc>
              <w:tc>
                <w:tcPr>
                  <w:tcW w:w="1020" w:type="dxa"/>
                  <w:shd w:val="clear" w:color="auto" w:fill="auto"/>
                  <w:vAlign w:val="center"/>
                </w:tcPr>
                <w:p>
                  <w:pPr>
                    <w:widowControl/>
                    <w:jc w:val="center"/>
                    <w:rPr>
                      <w:kern w:val="0"/>
                      <w:sz w:val="18"/>
                      <w:szCs w:val="18"/>
                    </w:rPr>
                  </w:pPr>
                  <w:r>
                    <w:rPr>
                      <w:kern w:val="0"/>
                      <w:sz w:val="18"/>
                      <w:szCs w:val="18"/>
                    </w:rPr>
                    <w:t>19.95</w:t>
                  </w:r>
                </w:p>
              </w:tc>
              <w:tc>
                <w:tcPr>
                  <w:tcW w:w="1020" w:type="dxa"/>
                  <w:shd w:val="clear" w:color="auto" w:fill="auto"/>
                  <w:vAlign w:val="center"/>
                </w:tcPr>
                <w:p>
                  <w:pPr>
                    <w:widowControl/>
                    <w:jc w:val="center"/>
                    <w:rPr>
                      <w:kern w:val="0"/>
                      <w:sz w:val="18"/>
                      <w:szCs w:val="18"/>
                    </w:rPr>
                  </w:pPr>
                  <w:r>
                    <w:rPr>
                      <w:kern w:val="0"/>
                      <w:sz w:val="18"/>
                      <w:szCs w:val="18"/>
                    </w:rPr>
                    <w:t>21</w:t>
                  </w:r>
                </w:p>
              </w:tc>
              <w:tc>
                <w:tcPr>
                  <w:tcW w:w="1020" w:type="dxa"/>
                  <w:shd w:val="clear" w:color="auto" w:fill="auto"/>
                  <w:vAlign w:val="center"/>
                </w:tcPr>
                <w:p>
                  <w:pPr>
                    <w:widowControl/>
                    <w:jc w:val="center"/>
                    <w:rPr>
                      <w:kern w:val="0"/>
                      <w:sz w:val="18"/>
                      <w:szCs w:val="18"/>
                    </w:rPr>
                  </w:pPr>
                  <w:r>
                    <w:rPr>
                      <w:kern w:val="0"/>
                      <w:sz w:val="18"/>
                      <w:szCs w:val="18"/>
                    </w:rPr>
                    <w:t>17.1</w:t>
                  </w:r>
                </w:p>
              </w:tc>
              <w:tc>
                <w:tcPr>
                  <w:tcW w:w="1020" w:type="dxa"/>
                  <w:shd w:val="clear" w:color="auto" w:fill="auto"/>
                  <w:noWrap/>
                  <w:vAlign w:val="center"/>
                </w:tcPr>
                <w:p>
                  <w:pPr>
                    <w:widowControl/>
                    <w:jc w:val="center"/>
                    <w:rPr>
                      <w:kern w:val="0"/>
                      <w:sz w:val="18"/>
                      <w:szCs w:val="18"/>
                    </w:rPr>
                  </w:pPr>
                  <w:r>
                    <w:rPr>
                      <w:kern w:val="0"/>
                      <w:sz w:val="18"/>
                      <w:szCs w:val="18"/>
                    </w:rPr>
                    <w:t>72.3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冷却液</w:t>
                  </w:r>
                </w:p>
              </w:tc>
              <w:tc>
                <w:tcPr>
                  <w:tcW w:w="1020" w:type="dxa"/>
                  <w:shd w:val="clear" w:color="auto" w:fill="auto"/>
                  <w:vAlign w:val="center"/>
                </w:tcPr>
                <w:p>
                  <w:pPr>
                    <w:widowControl/>
                    <w:jc w:val="center"/>
                    <w:rPr>
                      <w:kern w:val="0"/>
                      <w:sz w:val="18"/>
                      <w:szCs w:val="18"/>
                    </w:rPr>
                  </w:pPr>
                  <w:r>
                    <w:rPr>
                      <w:kern w:val="0"/>
                      <w:sz w:val="18"/>
                      <w:szCs w:val="18"/>
                    </w:rPr>
                    <w:t>45</w:t>
                  </w:r>
                </w:p>
              </w:tc>
              <w:tc>
                <w:tcPr>
                  <w:tcW w:w="1020" w:type="dxa"/>
                  <w:shd w:val="clear" w:color="auto" w:fill="auto"/>
                  <w:vAlign w:val="center"/>
                </w:tcPr>
                <w:p>
                  <w:pPr>
                    <w:widowControl/>
                    <w:jc w:val="center"/>
                    <w:rPr>
                      <w:kern w:val="0"/>
                      <w:sz w:val="18"/>
                      <w:szCs w:val="18"/>
                    </w:rPr>
                  </w:pPr>
                  <w:r>
                    <w:rPr>
                      <w:kern w:val="0"/>
                      <w:sz w:val="18"/>
                      <w:szCs w:val="18"/>
                    </w:rPr>
                    <w:t>63</w:t>
                  </w:r>
                </w:p>
              </w:tc>
              <w:tc>
                <w:tcPr>
                  <w:tcW w:w="1020" w:type="dxa"/>
                  <w:shd w:val="clear" w:color="auto" w:fill="auto"/>
                  <w:vAlign w:val="center"/>
                </w:tcPr>
                <w:p>
                  <w:pPr>
                    <w:widowControl/>
                    <w:jc w:val="center"/>
                    <w:rPr>
                      <w:kern w:val="0"/>
                      <w:sz w:val="18"/>
                      <w:szCs w:val="18"/>
                    </w:rPr>
                  </w:pPr>
                  <w:r>
                    <w:rPr>
                      <w:kern w:val="0"/>
                      <w:sz w:val="18"/>
                      <w:szCs w:val="18"/>
                    </w:rPr>
                    <w:t>67.5</w:t>
                  </w:r>
                </w:p>
              </w:tc>
              <w:tc>
                <w:tcPr>
                  <w:tcW w:w="1020" w:type="dxa"/>
                  <w:shd w:val="clear" w:color="auto" w:fill="auto"/>
                  <w:vAlign w:val="center"/>
                </w:tcPr>
                <w:p>
                  <w:pPr>
                    <w:widowControl/>
                    <w:jc w:val="center"/>
                    <w:rPr>
                      <w:kern w:val="0"/>
                      <w:sz w:val="18"/>
                      <w:szCs w:val="18"/>
                    </w:rPr>
                  </w:pPr>
                  <w:r>
                    <w:rPr>
                      <w:kern w:val="0"/>
                      <w:sz w:val="18"/>
                      <w:szCs w:val="18"/>
                    </w:rPr>
                    <w:t>54</w:t>
                  </w:r>
                </w:p>
              </w:tc>
              <w:tc>
                <w:tcPr>
                  <w:tcW w:w="1020" w:type="dxa"/>
                  <w:shd w:val="clear" w:color="auto" w:fill="auto"/>
                  <w:noWrap/>
                  <w:vAlign w:val="center"/>
                </w:tcPr>
                <w:p>
                  <w:pPr>
                    <w:widowControl/>
                    <w:jc w:val="center"/>
                    <w:rPr>
                      <w:kern w:val="0"/>
                      <w:sz w:val="18"/>
                      <w:szCs w:val="18"/>
                    </w:rPr>
                  </w:pPr>
                  <w:r>
                    <w:rPr>
                      <w:kern w:val="0"/>
                      <w:sz w:val="18"/>
                      <w:szCs w:val="18"/>
                    </w:rPr>
                    <w:t>229.5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防冻液</w:t>
                  </w:r>
                </w:p>
              </w:tc>
              <w:tc>
                <w:tcPr>
                  <w:tcW w:w="1020" w:type="dxa"/>
                  <w:shd w:val="clear" w:color="auto" w:fill="auto"/>
                  <w:vAlign w:val="center"/>
                </w:tcPr>
                <w:p>
                  <w:pPr>
                    <w:widowControl/>
                    <w:jc w:val="center"/>
                    <w:rPr>
                      <w:kern w:val="0"/>
                      <w:sz w:val="18"/>
                      <w:szCs w:val="18"/>
                    </w:rPr>
                  </w:pPr>
                  <w:r>
                    <w:rPr>
                      <w:kern w:val="0"/>
                      <w:sz w:val="18"/>
                      <w:szCs w:val="18"/>
                    </w:rPr>
                    <w:t>30</w:t>
                  </w:r>
                </w:p>
              </w:tc>
              <w:tc>
                <w:tcPr>
                  <w:tcW w:w="1020" w:type="dxa"/>
                  <w:shd w:val="clear" w:color="auto" w:fill="auto"/>
                  <w:vAlign w:val="center"/>
                </w:tcPr>
                <w:p>
                  <w:pPr>
                    <w:widowControl/>
                    <w:jc w:val="center"/>
                    <w:rPr>
                      <w:kern w:val="0"/>
                      <w:sz w:val="18"/>
                      <w:szCs w:val="18"/>
                    </w:rPr>
                  </w:pPr>
                  <w:r>
                    <w:rPr>
                      <w:kern w:val="0"/>
                      <w:sz w:val="18"/>
                      <w:szCs w:val="18"/>
                    </w:rPr>
                    <w:t>42</w:t>
                  </w:r>
                </w:p>
              </w:tc>
              <w:tc>
                <w:tcPr>
                  <w:tcW w:w="1020" w:type="dxa"/>
                  <w:shd w:val="clear" w:color="auto" w:fill="auto"/>
                  <w:vAlign w:val="center"/>
                </w:tcPr>
                <w:p>
                  <w:pPr>
                    <w:widowControl/>
                    <w:jc w:val="center"/>
                    <w:rPr>
                      <w:kern w:val="0"/>
                      <w:sz w:val="18"/>
                      <w:szCs w:val="18"/>
                    </w:rPr>
                  </w:pPr>
                  <w:r>
                    <w:rPr>
                      <w:kern w:val="0"/>
                      <w:sz w:val="18"/>
                      <w:szCs w:val="18"/>
                    </w:rPr>
                    <w:t>45</w:t>
                  </w:r>
                </w:p>
              </w:tc>
              <w:tc>
                <w:tcPr>
                  <w:tcW w:w="1020" w:type="dxa"/>
                  <w:shd w:val="clear" w:color="auto" w:fill="auto"/>
                  <w:vAlign w:val="center"/>
                </w:tcPr>
                <w:p>
                  <w:pPr>
                    <w:widowControl/>
                    <w:jc w:val="center"/>
                    <w:rPr>
                      <w:kern w:val="0"/>
                      <w:sz w:val="18"/>
                      <w:szCs w:val="18"/>
                    </w:rPr>
                  </w:pPr>
                  <w:r>
                    <w:rPr>
                      <w:kern w:val="0"/>
                      <w:sz w:val="18"/>
                      <w:szCs w:val="18"/>
                    </w:rPr>
                    <w:t>36</w:t>
                  </w:r>
                </w:p>
              </w:tc>
              <w:tc>
                <w:tcPr>
                  <w:tcW w:w="1020" w:type="dxa"/>
                  <w:shd w:val="clear" w:color="auto" w:fill="auto"/>
                  <w:noWrap/>
                  <w:vAlign w:val="center"/>
                </w:tcPr>
                <w:p>
                  <w:pPr>
                    <w:widowControl/>
                    <w:jc w:val="center"/>
                    <w:rPr>
                      <w:kern w:val="0"/>
                      <w:sz w:val="18"/>
                      <w:szCs w:val="18"/>
                    </w:rPr>
                  </w:pPr>
                  <w:r>
                    <w:rPr>
                      <w:kern w:val="0"/>
                      <w:sz w:val="18"/>
                      <w:szCs w:val="18"/>
                    </w:rPr>
                    <w:t>153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vAlign w:val="center"/>
                </w:tcPr>
                <w:p>
                  <w:pPr>
                    <w:widowControl/>
                    <w:jc w:val="center"/>
                    <w:rPr>
                      <w:kern w:val="0"/>
                      <w:sz w:val="18"/>
                      <w:szCs w:val="18"/>
                    </w:rPr>
                  </w:pPr>
                  <w:r>
                    <w:rPr>
                      <w:kern w:val="0"/>
                      <w:sz w:val="18"/>
                      <w:szCs w:val="18"/>
                    </w:rPr>
                    <w:t>制动液</w:t>
                  </w:r>
                </w:p>
              </w:tc>
              <w:tc>
                <w:tcPr>
                  <w:tcW w:w="1020" w:type="dxa"/>
                  <w:shd w:val="clear" w:color="auto" w:fill="auto"/>
                  <w:vAlign w:val="center"/>
                </w:tcPr>
                <w:p>
                  <w:pPr>
                    <w:widowControl/>
                    <w:jc w:val="center"/>
                    <w:rPr>
                      <w:kern w:val="0"/>
                      <w:sz w:val="18"/>
                      <w:szCs w:val="18"/>
                    </w:rPr>
                  </w:pPr>
                  <w:r>
                    <w:rPr>
                      <w:kern w:val="0"/>
                      <w:sz w:val="18"/>
                      <w:szCs w:val="18"/>
                    </w:rPr>
                    <w:t>3.75</w:t>
                  </w:r>
                </w:p>
              </w:tc>
              <w:tc>
                <w:tcPr>
                  <w:tcW w:w="1020" w:type="dxa"/>
                  <w:shd w:val="clear" w:color="auto" w:fill="auto"/>
                  <w:vAlign w:val="center"/>
                </w:tcPr>
                <w:p>
                  <w:pPr>
                    <w:widowControl/>
                    <w:jc w:val="center"/>
                    <w:rPr>
                      <w:kern w:val="0"/>
                      <w:sz w:val="18"/>
                      <w:szCs w:val="18"/>
                    </w:rPr>
                  </w:pPr>
                  <w:r>
                    <w:rPr>
                      <w:kern w:val="0"/>
                      <w:sz w:val="18"/>
                      <w:szCs w:val="18"/>
                    </w:rPr>
                    <w:t>5.25</w:t>
                  </w:r>
                </w:p>
              </w:tc>
              <w:tc>
                <w:tcPr>
                  <w:tcW w:w="1020" w:type="dxa"/>
                  <w:shd w:val="clear" w:color="auto" w:fill="auto"/>
                  <w:vAlign w:val="center"/>
                </w:tcPr>
                <w:p>
                  <w:pPr>
                    <w:widowControl/>
                    <w:jc w:val="center"/>
                    <w:rPr>
                      <w:kern w:val="0"/>
                      <w:sz w:val="18"/>
                      <w:szCs w:val="18"/>
                    </w:rPr>
                  </w:pPr>
                  <w:r>
                    <w:rPr>
                      <w:kern w:val="0"/>
                      <w:sz w:val="18"/>
                      <w:szCs w:val="18"/>
                    </w:rPr>
                    <w:t>6</w:t>
                  </w:r>
                </w:p>
              </w:tc>
              <w:tc>
                <w:tcPr>
                  <w:tcW w:w="1020" w:type="dxa"/>
                  <w:shd w:val="clear" w:color="auto" w:fill="auto"/>
                  <w:vAlign w:val="center"/>
                </w:tcPr>
                <w:p>
                  <w:pPr>
                    <w:widowControl/>
                    <w:jc w:val="center"/>
                    <w:rPr>
                      <w:kern w:val="0"/>
                      <w:sz w:val="18"/>
                      <w:szCs w:val="18"/>
                    </w:rPr>
                  </w:pPr>
                  <w:r>
                    <w:rPr>
                      <w:kern w:val="0"/>
                      <w:sz w:val="18"/>
                      <w:szCs w:val="18"/>
                    </w:rPr>
                    <w:t>4.5</w:t>
                  </w:r>
                </w:p>
              </w:tc>
              <w:tc>
                <w:tcPr>
                  <w:tcW w:w="1020" w:type="dxa"/>
                  <w:shd w:val="clear" w:color="auto" w:fill="auto"/>
                  <w:noWrap/>
                  <w:vAlign w:val="center"/>
                </w:tcPr>
                <w:p>
                  <w:pPr>
                    <w:widowControl/>
                    <w:jc w:val="center"/>
                    <w:rPr>
                      <w:kern w:val="0"/>
                      <w:sz w:val="18"/>
                      <w:szCs w:val="18"/>
                    </w:rPr>
                  </w:pPr>
                  <w:r>
                    <w:rPr>
                      <w:kern w:val="0"/>
                      <w:sz w:val="18"/>
                      <w:szCs w:val="18"/>
                    </w:rPr>
                    <w:t>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 w:hRule="atLeast"/>
              </w:trPr>
              <w:tc>
                <w:tcPr>
                  <w:tcW w:w="1020" w:type="dxa"/>
                  <w:shd w:val="clear" w:color="auto" w:fill="auto"/>
                  <w:noWrap/>
                  <w:vAlign w:val="center"/>
                </w:tcPr>
                <w:p>
                  <w:pPr>
                    <w:widowControl/>
                    <w:jc w:val="center"/>
                    <w:rPr>
                      <w:kern w:val="0"/>
                      <w:sz w:val="18"/>
                      <w:szCs w:val="18"/>
                    </w:rPr>
                  </w:pPr>
                  <w:r>
                    <w:rPr>
                      <w:rFonts w:hint="eastAsia"/>
                      <w:kern w:val="0"/>
                      <w:sz w:val="18"/>
                      <w:szCs w:val="18"/>
                    </w:rPr>
                    <w:t>汇总</w:t>
                  </w:r>
                </w:p>
              </w:tc>
              <w:tc>
                <w:tcPr>
                  <w:tcW w:w="1020" w:type="dxa"/>
                  <w:shd w:val="clear" w:color="auto" w:fill="auto"/>
                  <w:noWrap/>
                  <w:vAlign w:val="center"/>
                </w:tcPr>
                <w:p>
                  <w:pPr>
                    <w:widowControl/>
                    <w:jc w:val="center"/>
                    <w:rPr>
                      <w:kern w:val="0"/>
                      <w:sz w:val="18"/>
                      <w:szCs w:val="18"/>
                    </w:rPr>
                  </w:pPr>
                  <w:r>
                    <w:rPr>
                      <w:kern w:val="0"/>
                      <w:sz w:val="18"/>
                      <w:szCs w:val="18"/>
                    </w:rPr>
                    <w:t>101.25</w:t>
                  </w:r>
                </w:p>
              </w:tc>
              <w:tc>
                <w:tcPr>
                  <w:tcW w:w="1020" w:type="dxa"/>
                  <w:shd w:val="clear" w:color="auto" w:fill="auto"/>
                  <w:noWrap/>
                  <w:vAlign w:val="center"/>
                </w:tcPr>
                <w:p>
                  <w:pPr>
                    <w:widowControl/>
                    <w:jc w:val="center"/>
                    <w:rPr>
                      <w:kern w:val="0"/>
                      <w:sz w:val="18"/>
                      <w:szCs w:val="18"/>
                    </w:rPr>
                  </w:pPr>
                  <w:r>
                    <w:rPr>
                      <w:kern w:val="0"/>
                      <w:sz w:val="18"/>
                      <w:szCs w:val="18"/>
                    </w:rPr>
                    <w:t>174.3</w:t>
                  </w:r>
                </w:p>
              </w:tc>
              <w:tc>
                <w:tcPr>
                  <w:tcW w:w="1020" w:type="dxa"/>
                  <w:shd w:val="clear" w:color="auto" w:fill="auto"/>
                  <w:noWrap/>
                  <w:vAlign w:val="center"/>
                </w:tcPr>
                <w:p>
                  <w:pPr>
                    <w:widowControl/>
                    <w:jc w:val="center"/>
                    <w:rPr>
                      <w:kern w:val="0"/>
                      <w:sz w:val="18"/>
                      <w:szCs w:val="18"/>
                    </w:rPr>
                  </w:pPr>
                  <w:r>
                    <w:rPr>
                      <w:kern w:val="0"/>
                      <w:sz w:val="18"/>
                      <w:szCs w:val="18"/>
                    </w:rPr>
                    <w:t>183</w:t>
                  </w:r>
                </w:p>
              </w:tc>
              <w:tc>
                <w:tcPr>
                  <w:tcW w:w="1020" w:type="dxa"/>
                  <w:shd w:val="clear" w:color="auto" w:fill="auto"/>
                  <w:noWrap/>
                  <w:vAlign w:val="center"/>
                </w:tcPr>
                <w:p>
                  <w:pPr>
                    <w:widowControl/>
                    <w:jc w:val="center"/>
                    <w:rPr>
                      <w:kern w:val="0"/>
                      <w:sz w:val="18"/>
                      <w:szCs w:val="18"/>
                    </w:rPr>
                  </w:pPr>
                  <w:r>
                    <w:rPr>
                      <w:kern w:val="0"/>
                      <w:sz w:val="18"/>
                      <w:szCs w:val="18"/>
                    </w:rPr>
                    <w:t>147.6</w:t>
                  </w:r>
                </w:p>
              </w:tc>
              <w:tc>
                <w:tcPr>
                  <w:tcW w:w="1020" w:type="dxa"/>
                  <w:shd w:val="clear" w:color="auto" w:fill="auto"/>
                  <w:noWrap/>
                  <w:vAlign w:val="center"/>
                </w:tcPr>
                <w:p>
                  <w:pPr>
                    <w:widowControl/>
                    <w:jc w:val="center"/>
                    <w:rPr>
                      <w:kern w:val="0"/>
                      <w:sz w:val="18"/>
                      <w:szCs w:val="18"/>
                    </w:rPr>
                  </w:pPr>
                  <w:r>
                    <w:rPr>
                      <w:kern w:val="0"/>
                      <w:sz w:val="18"/>
                      <w:szCs w:val="18"/>
                    </w:rPr>
                    <w:t>606.15</w:t>
                  </w:r>
                </w:p>
              </w:tc>
            </w:tr>
          </w:tbl>
          <w:p>
            <w:pPr>
              <w:adjustRightInd w:val="0"/>
              <w:snapToGrid w:val="0"/>
              <w:spacing w:line="480" w:lineRule="exact"/>
              <w:ind w:firstLine="480" w:firstLineChars="200"/>
              <w:rPr>
                <w:kern w:val="0"/>
                <w:sz w:val="24"/>
              </w:rPr>
            </w:pPr>
            <w:r>
              <w:rPr>
                <w:kern w:val="0"/>
                <w:sz w:val="24"/>
              </w:rPr>
              <w:t>根据以上分析，项目非甲烷总烃废气主要来自废油（废汽油、柴油、机油、润滑油等）储存过程和抽取过程残留废油的挥发。根据《散装液态石油产品损耗》（GB11085-89），项目所在区域属于A类区，石油输转损耗率根据季节、容器类型而不同，本环评废油的损耗率按0.19%计，则报废汽车拆解回收过程中非甲烷总烃产生量约</w:t>
            </w:r>
            <w:r>
              <w:rPr>
                <w:rFonts w:hint="eastAsia"/>
                <w:kern w:val="0"/>
                <w:sz w:val="24"/>
              </w:rPr>
              <w:t>0.12</w:t>
            </w:r>
            <w:r>
              <w:rPr>
                <w:kern w:val="0"/>
                <w:sz w:val="24"/>
              </w:rPr>
              <w:t>t/a。</w:t>
            </w:r>
          </w:p>
          <w:p>
            <w:pPr>
              <w:pStyle w:val="128"/>
              <w:spacing w:line="480" w:lineRule="exact"/>
              <w:ind w:firstLine="480"/>
            </w:pPr>
            <w:r>
              <w:rPr>
                <w:rFonts w:hint="eastAsia"/>
              </w:rPr>
              <w:t xml:space="preserve">本项目对2个油液抽取设备有非甲烷总烃挥发的岗位进行固定操作，并在岗位上方分别设置集气罩，收集率按 </w:t>
            </w:r>
            <w:r>
              <w:t>8</w:t>
            </w:r>
            <w:r>
              <w:rPr>
                <w:rFonts w:hint="eastAsia"/>
              </w:rPr>
              <w:t xml:space="preserve">0%计，收集后的废气经二级活性炭吸附处理后，通过15m的1#排气筒（DA001）排放，设计风机风量为 </w:t>
            </w:r>
            <w:r>
              <w:t>85</w:t>
            </w:r>
            <w:r>
              <w:rPr>
                <w:rFonts w:hint="eastAsia"/>
              </w:rPr>
              <w:t>00m</w:t>
            </w:r>
            <w:r>
              <w:rPr>
                <w:rFonts w:hint="eastAsia"/>
                <w:vertAlign w:val="superscript"/>
              </w:rPr>
              <w:t>3</w:t>
            </w:r>
            <w:r>
              <w:rPr>
                <w:rFonts w:hint="eastAsia"/>
              </w:rPr>
              <w:t>/h，去除效率按</w:t>
            </w:r>
            <w:r>
              <w:t>55</w:t>
            </w:r>
            <w:r>
              <w:rPr>
                <w:rFonts w:hint="eastAsia"/>
              </w:rPr>
              <w:t>%计，该工序生产工作时间约</w:t>
            </w:r>
            <w:r>
              <w:t>990</w:t>
            </w:r>
            <w:r>
              <w:rPr>
                <w:rFonts w:hint="eastAsia"/>
              </w:rPr>
              <w:t>h/a。则有组织最终有机废气排放量为0.0</w:t>
            </w:r>
            <w:r>
              <w:t>2</w:t>
            </w:r>
            <w:r>
              <w:rPr>
                <w:rFonts w:hint="eastAsia"/>
              </w:rPr>
              <w:t>t/a，排放速率为 0.0</w:t>
            </w:r>
            <w:r>
              <w:t>2</w:t>
            </w:r>
            <w:r>
              <w:rPr>
                <w:rFonts w:hint="eastAsia"/>
              </w:rPr>
              <w:t>kg/h。无组织废气排放量为 0.0</w:t>
            </w:r>
            <w:r>
              <w:t>4</w:t>
            </w:r>
            <w:r>
              <w:rPr>
                <w:rFonts w:hint="eastAsia"/>
              </w:rPr>
              <w:t>t/a，排放速率为0</w:t>
            </w:r>
            <w:r>
              <w:t>.04</w:t>
            </w:r>
            <w:r>
              <w:rPr>
                <w:rFonts w:hint="eastAsia"/>
              </w:rPr>
              <w:t>kg/h。</w:t>
            </w:r>
          </w:p>
          <w:p>
            <w:pPr>
              <w:pStyle w:val="125"/>
              <w:spacing w:line="480" w:lineRule="exact"/>
              <w:ind w:firstLine="480"/>
              <w:rPr>
                <w:rFonts w:hAnsi="宋体"/>
                <w:bCs w:val="0"/>
              </w:rPr>
            </w:pPr>
            <w:r>
              <w:rPr>
                <w:rFonts w:hint="eastAsia" w:hAnsi="宋体"/>
                <w:bCs w:val="0"/>
              </w:rPr>
              <w:t>项目采用</w:t>
            </w:r>
            <w:r>
              <w:rPr>
                <w:kern w:val="0"/>
              </w:rPr>
              <w:t>油液抽取设备及工位上方设置集气罩</w:t>
            </w:r>
            <w:r>
              <w:rPr>
                <w:rFonts w:hint="eastAsia" w:hAnsi="宋体"/>
                <w:bCs w:val="0"/>
              </w:rPr>
              <w:t>的方式收集废气，项目设置</w:t>
            </w:r>
            <w:r>
              <w:rPr>
                <w:kern w:val="0"/>
              </w:rPr>
              <w:t>2台油液抽取设备及工位</w:t>
            </w:r>
            <w:r>
              <w:rPr>
                <w:rFonts w:hint="eastAsia" w:hAnsi="宋体"/>
                <w:bCs w:val="0"/>
              </w:rPr>
              <w:t>，需设置集气罩2个。根据《大气污染控制工程》中集气罩设计原则，拟建项目集气罩风量按照下式确定：</w:t>
            </w:r>
          </w:p>
          <w:p>
            <w:pPr>
              <w:autoSpaceDE w:val="0"/>
              <w:spacing w:line="440" w:lineRule="exact"/>
              <w:ind w:firstLine="480" w:firstLineChars="200"/>
              <w:jc w:val="center"/>
              <w:rPr>
                <w:rFonts w:hAnsi="宋体"/>
                <w:bCs/>
                <w:sz w:val="24"/>
              </w:rPr>
            </w:pPr>
            <w:r>
              <w:rPr>
                <w:rFonts w:hint="eastAsia" w:hAnsi="宋体"/>
                <w:bCs/>
                <w:sz w:val="24"/>
              </w:rPr>
              <w:t>Q=（10</w:t>
            </w:r>
            <w:r>
              <w:rPr>
                <w:rFonts w:hAnsi="宋体"/>
                <w:bCs/>
                <w:sz w:val="24"/>
              </w:rPr>
              <w:t>x</w:t>
            </w:r>
            <w:r>
              <w:rPr>
                <w:rFonts w:hint="eastAsia" w:hAnsi="宋体"/>
                <w:bCs/>
                <w:sz w:val="24"/>
                <w:vertAlign w:val="superscript"/>
              </w:rPr>
              <w:t>2</w:t>
            </w:r>
            <w:r>
              <w:rPr>
                <w:rFonts w:hint="eastAsia" w:hAnsi="宋体"/>
                <w:bCs/>
                <w:sz w:val="24"/>
              </w:rPr>
              <w:t>+F）×Vx</w:t>
            </w:r>
          </w:p>
          <w:p>
            <w:pPr>
              <w:autoSpaceDE w:val="0"/>
              <w:spacing w:line="440" w:lineRule="exact"/>
              <w:ind w:firstLine="480" w:firstLineChars="200"/>
              <w:rPr>
                <w:rFonts w:hAnsi="宋体"/>
                <w:sz w:val="24"/>
              </w:rPr>
            </w:pPr>
            <w:r>
              <w:rPr>
                <w:rFonts w:hint="eastAsia" w:hAnsi="宋体"/>
                <w:sz w:val="24"/>
              </w:rPr>
              <w:t>式中：Q—集气罩排风量，m</w:t>
            </w:r>
            <w:r>
              <w:rPr>
                <w:rFonts w:hint="eastAsia" w:hAnsi="宋体"/>
                <w:sz w:val="24"/>
                <w:vertAlign w:val="superscript"/>
              </w:rPr>
              <w:t>3</w:t>
            </w:r>
            <w:r>
              <w:rPr>
                <w:rFonts w:hint="eastAsia" w:hAnsi="宋体"/>
                <w:sz w:val="24"/>
              </w:rPr>
              <w:t>/s；</w:t>
            </w:r>
          </w:p>
          <w:p>
            <w:pPr>
              <w:autoSpaceDE w:val="0"/>
              <w:spacing w:line="440" w:lineRule="exact"/>
              <w:ind w:firstLine="480" w:firstLineChars="200"/>
              <w:rPr>
                <w:rFonts w:hAnsi="宋体"/>
                <w:sz w:val="24"/>
              </w:rPr>
            </w:pPr>
            <w:r>
              <w:rPr>
                <w:rFonts w:hint="eastAsia" w:hAnsi="宋体"/>
                <w:sz w:val="24"/>
              </w:rPr>
              <w:t>X—控制点到吸气口的距离，m；</w:t>
            </w:r>
          </w:p>
          <w:p>
            <w:pPr>
              <w:autoSpaceDE w:val="0"/>
              <w:spacing w:line="440" w:lineRule="exact"/>
              <w:ind w:firstLine="480" w:firstLineChars="200"/>
              <w:rPr>
                <w:rFonts w:hAnsi="宋体"/>
                <w:sz w:val="24"/>
              </w:rPr>
            </w:pPr>
            <w:r>
              <w:rPr>
                <w:rFonts w:hint="eastAsia" w:hAnsi="宋体"/>
                <w:sz w:val="24"/>
              </w:rPr>
              <w:t>F—集气罩面积，m</w:t>
            </w:r>
            <w:r>
              <w:rPr>
                <w:rFonts w:hint="eastAsia" w:hAnsi="宋体"/>
                <w:sz w:val="24"/>
                <w:vertAlign w:val="superscript"/>
              </w:rPr>
              <w:t>2</w:t>
            </w:r>
            <w:r>
              <w:rPr>
                <w:rFonts w:hint="eastAsia" w:hAnsi="宋体"/>
                <w:sz w:val="24"/>
              </w:rPr>
              <w:t>；</w:t>
            </w:r>
          </w:p>
          <w:p>
            <w:pPr>
              <w:pStyle w:val="2"/>
              <w:keepNext w:val="0"/>
              <w:widowControl/>
              <w:spacing w:before="0" w:after="0" w:line="460" w:lineRule="exact"/>
              <w:ind w:left="0" w:firstLine="480" w:firstLineChars="200"/>
              <w:rPr>
                <w:rFonts w:hAnsi="宋体" w:eastAsia="宋体"/>
                <w:b w:val="0"/>
                <w:bCs w:val="0"/>
                <w:color w:val="auto"/>
                <w:kern w:val="2"/>
                <w:sz w:val="24"/>
                <w:szCs w:val="24"/>
              </w:rPr>
            </w:pPr>
            <w:r>
              <w:rPr>
                <w:rFonts w:hint="eastAsia" w:hAnsi="宋体" w:eastAsia="宋体"/>
                <w:b w:val="0"/>
                <w:bCs w:val="0"/>
                <w:color w:val="auto"/>
                <w:kern w:val="2"/>
                <w:sz w:val="24"/>
                <w:szCs w:val="24"/>
              </w:rPr>
              <w:t>Vx—最小控制风速，m/s，以较低的初速度放散到尚属平静的空气中，一般取</w:t>
            </w:r>
            <w:r>
              <w:rPr>
                <w:rFonts w:hAnsi="宋体" w:eastAsia="宋体"/>
                <w:b w:val="0"/>
                <w:bCs w:val="0"/>
                <w:color w:val="auto"/>
                <w:kern w:val="2"/>
                <w:sz w:val="24"/>
                <w:szCs w:val="24"/>
              </w:rPr>
              <w:t>0.5</w:t>
            </w:r>
            <w:r>
              <w:rPr>
                <w:rFonts w:hint="eastAsia" w:hAnsi="宋体" w:eastAsia="宋体"/>
                <w:b w:val="0"/>
                <w:bCs w:val="0"/>
                <w:color w:val="auto"/>
                <w:kern w:val="2"/>
                <w:sz w:val="24"/>
                <w:szCs w:val="24"/>
              </w:rPr>
              <w:t>~</w:t>
            </w:r>
            <w:r>
              <w:rPr>
                <w:rFonts w:hAnsi="宋体" w:eastAsia="宋体"/>
                <w:b w:val="0"/>
                <w:bCs w:val="0"/>
                <w:color w:val="auto"/>
                <w:kern w:val="2"/>
                <w:sz w:val="24"/>
                <w:szCs w:val="24"/>
              </w:rPr>
              <w:t>1.0</w:t>
            </w:r>
            <w:r>
              <w:rPr>
                <w:rFonts w:hint="eastAsia" w:hAnsi="宋体" w:eastAsia="宋体"/>
                <w:b w:val="0"/>
                <w:bCs w:val="0"/>
                <w:color w:val="auto"/>
                <w:kern w:val="2"/>
                <w:sz w:val="24"/>
                <w:szCs w:val="24"/>
              </w:rPr>
              <w:t>m/s，本项目取</w:t>
            </w:r>
            <w:r>
              <w:rPr>
                <w:rFonts w:hAnsi="宋体" w:eastAsia="宋体"/>
                <w:b w:val="0"/>
                <w:bCs w:val="0"/>
                <w:color w:val="auto"/>
                <w:kern w:val="2"/>
                <w:sz w:val="24"/>
                <w:szCs w:val="24"/>
              </w:rPr>
              <w:t>0.8</w:t>
            </w:r>
            <w:r>
              <w:rPr>
                <w:rFonts w:hint="eastAsia" w:hAnsi="宋体" w:eastAsia="宋体"/>
                <w:b w:val="0"/>
                <w:bCs w:val="0"/>
                <w:color w:val="auto"/>
                <w:kern w:val="2"/>
                <w:sz w:val="24"/>
                <w:szCs w:val="24"/>
              </w:rPr>
              <w:t>m/s。</w:t>
            </w:r>
          </w:p>
          <w:p>
            <w:pPr>
              <w:pStyle w:val="2"/>
              <w:keepNext w:val="0"/>
              <w:widowControl/>
              <w:spacing w:before="0" w:after="0" w:line="460" w:lineRule="exact"/>
              <w:ind w:left="0" w:firstLine="480" w:firstLineChars="200"/>
              <w:rPr>
                <w:rFonts w:eastAsia="宋体"/>
                <w:b w:val="0"/>
                <w:bCs w:val="0"/>
                <w:color w:val="auto"/>
                <w:sz w:val="24"/>
                <w:szCs w:val="24"/>
              </w:rPr>
            </w:pPr>
            <w:r>
              <w:rPr>
                <w:rFonts w:hint="eastAsia" w:eastAsia="宋体"/>
                <w:b w:val="0"/>
                <w:bCs w:val="0"/>
                <w:color w:val="auto"/>
                <w:sz w:val="24"/>
              </w:rPr>
              <w:t>正常生产时集气罩距无组织废气散发点距离（x）可控制在0.2m；集气罩尺寸按</w:t>
            </w:r>
            <w:r>
              <w:rPr>
                <w:rFonts w:eastAsia="宋体"/>
                <w:b w:val="0"/>
                <w:bCs w:val="0"/>
                <w:color w:val="auto"/>
                <w:sz w:val="24"/>
              </w:rPr>
              <w:t>1</w:t>
            </w:r>
            <w:r>
              <w:rPr>
                <w:rFonts w:hint="eastAsia" w:eastAsia="宋体"/>
                <w:b w:val="0"/>
                <w:bCs w:val="0"/>
                <w:color w:val="auto"/>
                <w:sz w:val="24"/>
              </w:rPr>
              <w:t>*</w:t>
            </w:r>
            <w:r>
              <w:rPr>
                <w:rFonts w:eastAsia="宋体"/>
                <w:b w:val="0"/>
                <w:bCs w:val="0"/>
                <w:color w:val="auto"/>
                <w:sz w:val="24"/>
              </w:rPr>
              <w:t>1</w:t>
            </w:r>
            <w:r>
              <w:rPr>
                <w:rFonts w:hint="eastAsia" w:eastAsia="宋体"/>
                <w:b w:val="0"/>
                <w:bCs w:val="0"/>
                <w:color w:val="auto"/>
                <w:sz w:val="24"/>
              </w:rPr>
              <w:t>m，则面积（F）约</w:t>
            </w:r>
            <w:r>
              <w:rPr>
                <w:rFonts w:eastAsia="宋体"/>
                <w:b w:val="0"/>
                <w:bCs w:val="0"/>
                <w:color w:val="auto"/>
                <w:sz w:val="24"/>
              </w:rPr>
              <w:t>1</w:t>
            </w:r>
            <w:r>
              <w:rPr>
                <w:rFonts w:hAnsi="宋体" w:eastAsia="宋体"/>
                <w:b w:val="0"/>
                <w:bCs w:val="0"/>
                <w:color w:val="auto"/>
                <w:sz w:val="24"/>
              </w:rPr>
              <w:t>m</w:t>
            </w:r>
            <w:r>
              <w:rPr>
                <w:rFonts w:hAnsi="宋体" w:eastAsia="宋体"/>
                <w:b w:val="0"/>
                <w:bCs w:val="0"/>
                <w:color w:val="auto"/>
                <w:sz w:val="24"/>
                <w:vertAlign w:val="superscript"/>
              </w:rPr>
              <w:t>2</w:t>
            </w:r>
            <w:r>
              <w:rPr>
                <w:rFonts w:hint="eastAsia" w:hAnsi="宋体" w:eastAsia="宋体"/>
                <w:b w:val="0"/>
                <w:bCs w:val="0"/>
                <w:color w:val="auto"/>
                <w:sz w:val="24"/>
              </w:rPr>
              <w:t>；控制点吸入风速（Vx）取0.</w:t>
            </w:r>
            <w:r>
              <w:rPr>
                <w:rFonts w:hAnsi="宋体" w:eastAsia="宋体"/>
                <w:b w:val="0"/>
                <w:bCs w:val="0"/>
                <w:color w:val="auto"/>
                <w:sz w:val="24"/>
              </w:rPr>
              <w:t>8m/s；</w:t>
            </w:r>
            <w:r>
              <w:rPr>
                <w:rFonts w:hint="eastAsia" w:hAnsi="宋体" w:eastAsia="宋体"/>
                <w:b w:val="0"/>
                <w:bCs w:val="0"/>
                <w:color w:val="auto"/>
                <w:sz w:val="24"/>
              </w:rPr>
              <w:t>计算得单个集气罩要求的最小风量为</w:t>
            </w:r>
            <w:r>
              <w:rPr>
                <w:rFonts w:hAnsi="宋体" w:eastAsia="宋体"/>
                <w:b w:val="0"/>
                <w:bCs w:val="0"/>
                <w:color w:val="auto"/>
                <w:sz w:val="24"/>
              </w:rPr>
              <w:t>1.12m</w:t>
            </w:r>
            <w:r>
              <w:rPr>
                <w:rFonts w:hAnsi="宋体" w:eastAsia="宋体"/>
                <w:b w:val="0"/>
                <w:bCs w:val="0"/>
                <w:color w:val="auto"/>
                <w:sz w:val="24"/>
                <w:vertAlign w:val="superscript"/>
              </w:rPr>
              <w:t>3</w:t>
            </w:r>
            <w:r>
              <w:rPr>
                <w:rFonts w:hAnsi="宋体" w:eastAsia="宋体"/>
                <w:b w:val="0"/>
                <w:bCs w:val="0"/>
                <w:color w:val="auto"/>
                <w:sz w:val="24"/>
              </w:rPr>
              <w:t>/s</w:t>
            </w:r>
            <w:r>
              <w:rPr>
                <w:rFonts w:hint="eastAsia" w:hAnsi="宋体" w:eastAsia="宋体"/>
                <w:b w:val="0"/>
                <w:bCs w:val="0"/>
                <w:color w:val="auto"/>
                <w:sz w:val="24"/>
              </w:rPr>
              <w:t>，2个集气罩总风量需要</w:t>
            </w:r>
            <w:r>
              <w:rPr>
                <w:rFonts w:hAnsi="宋体" w:eastAsia="宋体"/>
                <w:b w:val="0"/>
                <w:bCs w:val="0"/>
                <w:color w:val="auto"/>
                <w:sz w:val="24"/>
              </w:rPr>
              <w:t>8064m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h，项目拟设置风机风量</w:t>
            </w:r>
            <w:r>
              <w:rPr>
                <w:rFonts w:hAnsi="宋体" w:eastAsia="宋体"/>
                <w:b w:val="0"/>
                <w:bCs w:val="0"/>
                <w:color w:val="auto"/>
                <w:sz w:val="24"/>
              </w:rPr>
              <w:t>8500m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w:t>
            </w:r>
          </w:p>
          <w:p>
            <w:pPr>
              <w:pStyle w:val="45"/>
              <w:spacing w:after="60"/>
              <w:rPr>
                <w:rFonts w:ascii="Times New Roman" w:hAnsi="Times New Roman"/>
                <w:sz w:val="18"/>
                <w:szCs w:val="18"/>
              </w:rPr>
            </w:pPr>
            <w:r>
              <w:rPr>
                <w:rFonts w:ascii="Times New Roman" w:hAnsi="Times New Roman"/>
                <w:sz w:val="18"/>
                <w:szCs w:val="18"/>
              </w:rPr>
              <w:t xml:space="preserve">表4.2.1-2  </w:t>
            </w:r>
            <w:r>
              <w:rPr>
                <w:rFonts w:ascii="Times New Roman" w:hAnsi="Times New Roman"/>
                <w:kern w:val="0"/>
                <w:sz w:val="18"/>
                <w:szCs w:val="18"/>
              </w:rPr>
              <w:t>油液挥发废气</w:t>
            </w:r>
            <w:r>
              <w:rPr>
                <w:rFonts w:ascii="Times New Roman" w:hAnsi="Times New Roman"/>
                <w:sz w:val="18"/>
                <w:szCs w:val="18"/>
              </w:rPr>
              <w:t>污染物产生和排放一览表</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5"/>
              <w:gridCol w:w="708"/>
              <w:gridCol w:w="426"/>
              <w:gridCol w:w="708"/>
              <w:gridCol w:w="709"/>
              <w:gridCol w:w="709"/>
              <w:gridCol w:w="1208"/>
              <w:gridCol w:w="776"/>
              <w:gridCol w:w="709"/>
              <w:gridCol w:w="567"/>
              <w:gridCol w:w="709"/>
              <w:gridCol w:w="5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restart"/>
                  <w:shd w:val="clear" w:color="auto" w:fill="auto"/>
                  <w:vAlign w:val="center"/>
                </w:tcPr>
                <w:p>
                  <w:pPr>
                    <w:widowControl/>
                    <w:jc w:val="center"/>
                    <w:rPr>
                      <w:kern w:val="0"/>
                      <w:sz w:val="18"/>
                      <w:szCs w:val="18"/>
                    </w:rPr>
                  </w:pPr>
                  <w:r>
                    <w:rPr>
                      <w:kern w:val="0"/>
                      <w:sz w:val="18"/>
                      <w:szCs w:val="18"/>
                    </w:rPr>
                    <w:t>污染源</w:t>
                  </w:r>
                </w:p>
              </w:tc>
              <w:tc>
                <w:tcPr>
                  <w:tcW w:w="708" w:type="dxa"/>
                  <w:vMerge w:val="restart"/>
                  <w:shd w:val="clear" w:color="auto" w:fill="auto"/>
                  <w:vAlign w:val="center"/>
                </w:tcPr>
                <w:p>
                  <w:pPr>
                    <w:widowControl/>
                    <w:jc w:val="center"/>
                    <w:rPr>
                      <w:kern w:val="0"/>
                      <w:sz w:val="18"/>
                      <w:szCs w:val="18"/>
                    </w:rPr>
                  </w:pPr>
                  <w:r>
                    <w:rPr>
                      <w:kern w:val="0"/>
                      <w:sz w:val="18"/>
                      <w:szCs w:val="18"/>
                    </w:rPr>
                    <w:t>废气量（m</w:t>
                  </w:r>
                  <w:r>
                    <w:rPr>
                      <w:kern w:val="0"/>
                      <w:sz w:val="18"/>
                      <w:szCs w:val="18"/>
                      <w:vertAlign w:val="superscript"/>
                    </w:rPr>
                    <w:t>3</w:t>
                  </w:r>
                  <w:r>
                    <w:rPr>
                      <w:kern w:val="0"/>
                      <w:sz w:val="18"/>
                      <w:szCs w:val="18"/>
                    </w:rPr>
                    <w:t>/h）</w:t>
                  </w:r>
                </w:p>
              </w:tc>
              <w:tc>
                <w:tcPr>
                  <w:tcW w:w="426" w:type="dxa"/>
                  <w:vMerge w:val="restart"/>
                  <w:shd w:val="clear" w:color="auto" w:fill="auto"/>
                  <w:vAlign w:val="center"/>
                </w:tcPr>
                <w:p>
                  <w:pPr>
                    <w:widowControl/>
                    <w:jc w:val="center"/>
                    <w:rPr>
                      <w:kern w:val="0"/>
                      <w:sz w:val="18"/>
                      <w:szCs w:val="18"/>
                    </w:rPr>
                  </w:pPr>
                  <w:r>
                    <w:rPr>
                      <w:kern w:val="0"/>
                      <w:sz w:val="18"/>
                      <w:szCs w:val="18"/>
                    </w:rPr>
                    <w:t>污染物</w:t>
                  </w:r>
                </w:p>
              </w:tc>
              <w:tc>
                <w:tcPr>
                  <w:tcW w:w="2126" w:type="dxa"/>
                  <w:gridSpan w:val="3"/>
                  <w:shd w:val="clear" w:color="auto" w:fill="auto"/>
                  <w:vAlign w:val="center"/>
                </w:tcPr>
                <w:p>
                  <w:pPr>
                    <w:widowControl/>
                    <w:jc w:val="center"/>
                    <w:rPr>
                      <w:kern w:val="0"/>
                      <w:sz w:val="18"/>
                      <w:szCs w:val="18"/>
                    </w:rPr>
                  </w:pPr>
                  <w:r>
                    <w:rPr>
                      <w:kern w:val="0"/>
                      <w:sz w:val="18"/>
                      <w:szCs w:val="18"/>
                    </w:rPr>
                    <w:t>产生情况</w:t>
                  </w:r>
                </w:p>
              </w:tc>
              <w:tc>
                <w:tcPr>
                  <w:tcW w:w="1208" w:type="dxa"/>
                  <w:vMerge w:val="restart"/>
                  <w:shd w:val="clear" w:color="auto" w:fill="auto"/>
                  <w:vAlign w:val="center"/>
                </w:tcPr>
                <w:p>
                  <w:pPr>
                    <w:widowControl/>
                    <w:jc w:val="center"/>
                    <w:rPr>
                      <w:kern w:val="0"/>
                      <w:sz w:val="18"/>
                      <w:szCs w:val="18"/>
                    </w:rPr>
                  </w:pPr>
                  <w:r>
                    <w:rPr>
                      <w:kern w:val="0"/>
                      <w:sz w:val="18"/>
                      <w:szCs w:val="18"/>
                    </w:rPr>
                    <w:t>处理措施</w:t>
                  </w:r>
                </w:p>
              </w:tc>
              <w:tc>
                <w:tcPr>
                  <w:tcW w:w="3295" w:type="dxa"/>
                  <w:gridSpan w:val="5"/>
                  <w:shd w:val="clear" w:color="auto" w:fill="auto"/>
                  <w:vAlign w:val="center"/>
                </w:tcPr>
                <w:p>
                  <w:pPr>
                    <w:widowControl/>
                    <w:jc w:val="center"/>
                    <w:rPr>
                      <w:kern w:val="0"/>
                      <w:sz w:val="18"/>
                      <w:szCs w:val="18"/>
                    </w:rPr>
                  </w:pPr>
                  <w:r>
                    <w:rPr>
                      <w:kern w:val="0"/>
                      <w:sz w:val="18"/>
                      <w:szCs w:val="18"/>
                    </w:rPr>
                    <w:t>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restart"/>
                  <w:shd w:val="clear" w:color="auto" w:fill="auto"/>
                  <w:vAlign w:val="center"/>
                </w:tcPr>
                <w:p>
                  <w:pPr>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vMerge w:val="restart"/>
                  <w:shd w:val="clear" w:color="auto" w:fill="auto"/>
                  <w:vAlign w:val="center"/>
                </w:tcPr>
                <w:p>
                  <w:pPr>
                    <w:jc w:val="center"/>
                    <w:rPr>
                      <w:kern w:val="0"/>
                      <w:sz w:val="18"/>
                      <w:szCs w:val="18"/>
                    </w:rPr>
                  </w:pPr>
                  <w:r>
                    <w:rPr>
                      <w:kern w:val="0"/>
                      <w:sz w:val="18"/>
                      <w:szCs w:val="18"/>
                    </w:rPr>
                    <w:t>速率(kg/h)</w:t>
                  </w:r>
                </w:p>
              </w:tc>
              <w:tc>
                <w:tcPr>
                  <w:tcW w:w="709" w:type="dxa"/>
                  <w:vMerge w:val="restart"/>
                  <w:shd w:val="clear" w:color="auto" w:fill="auto"/>
                  <w:vAlign w:val="center"/>
                </w:tcPr>
                <w:p>
                  <w:pPr>
                    <w:jc w:val="center"/>
                    <w:rPr>
                      <w:kern w:val="0"/>
                      <w:sz w:val="18"/>
                      <w:szCs w:val="18"/>
                    </w:rPr>
                  </w:pPr>
                  <w:r>
                    <w:rPr>
                      <w:kern w:val="0"/>
                      <w:sz w:val="18"/>
                      <w:szCs w:val="18"/>
                    </w:rPr>
                    <w:t>产生(t/a)</w:t>
                  </w:r>
                </w:p>
              </w:tc>
              <w:tc>
                <w:tcPr>
                  <w:tcW w:w="1208" w:type="dxa"/>
                  <w:vMerge w:val="continue"/>
                  <w:vAlign w:val="center"/>
                </w:tcPr>
                <w:p>
                  <w:pPr>
                    <w:widowControl/>
                    <w:jc w:val="left"/>
                    <w:rPr>
                      <w:kern w:val="0"/>
                      <w:sz w:val="18"/>
                      <w:szCs w:val="18"/>
                    </w:rPr>
                  </w:pPr>
                </w:p>
              </w:tc>
              <w:tc>
                <w:tcPr>
                  <w:tcW w:w="2052" w:type="dxa"/>
                  <w:gridSpan w:val="3"/>
                  <w:shd w:val="clear" w:color="auto" w:fill="auto"/>
                  <w:vAlign w:val="center"/>
                </w:tcPr>
                <w:p>
                  <w:pPr>
                    <w:widowControl/>
                    <w:jc w:val="center"/>
                    <w:rPr>
                      <w:kern w:val="0"/>
                      <w:sz w:val="18"/>
                      <w:szCs w:val="18"/>
                    </w:rPr>
                  </w:pPr>
                  <w:r>
                    <w:rPr>
                      <w:kern w:val="0"/>
                      <w:sz w:val="18"/>
                      <w:szCs w:val="18"/>
                    </w:rPr>
                    <w:t>有组织</w:t>
                  </w:r>
                </w:p>
              </w:tc>
              <w:tc>
                <w:tcPr>
                  <w:tcW w:w="1243" w:type="dxa"/>
                  <w:gridSpan w:val="2"/>
                  <w:shd w:val="clear" w:color="auto" w:fill="auto"/>
                  <w:vAlign w:val="center"/>
                </w:tcPr>
                <w:p>
                  <w:pPr>
                    <w:widowControl/>
                    <w:jc w:val="center"/>
                    <w:rPr>
                      <w:kern w:val="0"/>
                      <w:sz w:val="18"/>
                      <w:szCs w:val="18"/>
                    </w:rPr>
                  </w:pPr>
                  <w:r>
                    <w:rPr>
                      <w:kern w:val="0"/>
                      <w:sz w:val="18"/>
                      <w:szCs w:val="18"/>
                    </w:rPr>
                    <w:t>无组织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1208" w:type="dxa"/>
                  <w:vMerge w:val="continue"/>
                  <w:vAlign w:val="center"/>
                </w:tcPr>
                <w:p>
                  <w:pPr>
                    <w:widowControl/>
                    <w:jc w:val="left"/>
                    <w:rPr>
                      <w:kern w:val="0"/>
                      <w:sz w:val="18"/>
                      <w:szCs w:val="18"/>
                    </w:rPr>
                  </w:pPr>
                </w:p>
              </w:tc>
              <w:tc>
                <w:tcPr>
                  <w:tcW w:w="776" w:type="dxa"/>
                  <w:shd w:val="clear" w:color="auto" w:fill="auto"/>
                  <w:vAlign w:val="center"/>
                </w:tcPr>
                <w:p>
                  <w:pPr>
                    <w:widowControl/>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67" w:type="dxa"/>
                  <w:shd w:val="clear" w:color="auto" w:fill="auto"/>
                  <w:vAlign w:val="center"/>
                </w:tcPr>
                <w:p>
                  <w:pPr>
                    <w:widowControl/>
                    <w:jc w:val="center"/>
                    <w:rPr>
                      <w:kern w:val="0"/>
                      <w:sz w:val="18"/>
                      <w:szCs w:val="18"/>
                    </w:rPr>
                  </w:pPr>
                  <w:r>
                    <w:rPr>
                      <w:kern w:val="0"/>
                      <w:sz w:val="18"/>
                      <w:szCs w:val="18"/>
                    </w:rPr>
                    <w:t>排放(t/a)</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34" w:type="dxa"/>
                  <w:shd w:val="clear" w:color="auto" w:fill="auto"/>
                  <w:vAlign w:val="center"/>
                </w:tcPr>
                <w:p>
                  <w:pPr>
                    <w:widowControl/>
                    <w:jc w:val="center"/>
                    <w:rPr>
                      <w:kern w:val="0"/>
                      <w:sz w:val="18"/>
                      <w:szCs w:val="18"/>
                    </w:rPr>
                  </w:pPr>
                  <w:r>
                    <w:rPr>
                      <w:kern w:val="0"/>
                      <w:sz w:val="18"/>
                      <w:szCs w:val="18"/>
                    </w:rPr>
                    <w:t>排放(t/a)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8" w:hRule="atLeast"/>
              </w:trPr>
              <w:tc>
                <w:tcPr>
                  <w:tcW w:w="465" w:type="dxa"/>
                  <w:shd w:val="clear" w:color="auto" w:fill="auto"/>
                  <w:vAlign w:val="center"/>
                </w:tcPr>
                <w:p>
                  <w:pPr>
                    <w:widowControl/>
                    <w:jc w:val="center"/>
                    <w:rPr>
                      <w:kern w:val="0"/>
                      <w:sz w:val="18"/>
                      <w:szCs w:val="18"/>
                    </w:rPr>
                  </w:pPr>
                  <w:r>
                    <w:rPr>
                      <w:kern w:val="0"/>
                      <w:sz w:val="18"/>
                      <w:szCs w:val="18"/>
                    </w:rPr>
                    <w:t>油液挥发废气</w:t>
                  </w:r>
                </w:p>
              </w:tc>
              <w:tc>
                <w:tcPr>
                  <w:tcW w:w="708" w:type="dxa"/>
                  <w:shd w:val="clear" w:color="auto" w:fill="auto"/>
                  <w:vAlign w:val="center"/>
                </w:tcPr>
                <w:p>
                  <w:pPr>
                    <w:widowControl/>
                    <w:jc w:val="center"/>
                    <w:rPr>
                      <w:kern w:val="0"/>
                      <w:sz w:val="18"/>
                      <w:szCs w:val="18"/>
                    </w:rPr>
                  </w:pPr>
                  <w:r>
                    <w:rPr>
                      <w:kern w:val="0"/>
                      <w:sz w:val="18"/>
                      <w:szCs w:val="18"/>
                    </w:rPr>
                    <w:t>8500</w:t>
                  </w:r>
                </w:p>
              </w:tc>
              <w:tc>
                <w:tcPr>
                  <w:tcW w:w="426" w:type="dxa"/>
                  <w:shd w:val="clear" w:color="auto" w:fill="auto"/>
                  <w:vAlign w:val="center"/>
                </w:tcPr>
                <w:p>
                  <w:pPr>
                    <w:widowControl/>
                    <w:jc w:val="center"/>
                    <w:rPr>
                      <w:kern w:val="0"/>
                      <w:sz w:val="18"/>
                      <w:szCs w:val="18"/>
                    </w:rPr>
                  </w:pPr>
                  <w:r>
                    <w:rPr>
                      <w:kern w:val="0"/>
                      <w:sz w:val="18"/>
                      <w:szCs w:val="18"/>
                    </w:rPr>
                    <w:t>非甲烷总烃</w:t>
                  </w:r>
                </w:p>
              </w:tc>
              <w:tc>
                <w:tcPr>
                  <w:tcW w:w="708" w:type="dxa"/>
                  <w:shd w:val="clear" w:color="auto" w:fill="auto"/>
                  <w:vAlign w:val="center"/>
                </w:tcPr>
                <w:p>
                  <w:pPr>
                    <w:widowControl/>
                    <w:jc w:val="center"/>
                    <w:rPr>
                      <w:kern w:val="0"/>
                      <w:sz w:val="18"/>
                      <w:szCs w:val="18"/>
                    </w:rPr>
                  </w:pPr>
                  <w:r>
                    <w:rPr>
                      <w:kern w:val="0"/>
                      <w:sz w:val="18"/>
                      <w:szCs w:val="18"/>
                    </w:rPr>
                    <w:t>14.12</w:t>
                  </w:r>
                </w:p>
              </w:tc>
              <w:tc>
                <w:tcPr>
                  <w:tcW w:w="709" w:type="dxa"/>
                  <w:shd w:val="clear" w:color="auto" w:fill="auto"/>
                  <w:vAlign w:val="center"/>
                </w:tcPr>
                <w:p>
                  <w:pPr>
                    <w:widowControl/>
                    <w:jc w:val="center"/>
                    <w:rPr>
                      <w:kern w:val="0"/>
                      <w:sz w:val="18"/>
                      <w:szCs w:val="18"/>
                    </w:rPr>
                  </w:pPr>
                  <w:r>
                    <w:rPr>
                      <w:kern w:val="0"/>
                      <w:sz w:val="18"/>
                      <w:szCs w:val="18"/>
                    </w:rPr>
                    <w:t>0.12</w:t>
                  </w:r>
                </w:p>
              </w:tc>
              <w:tc>
                <w:tcPr>
                  <w:tcW w:w="709" w:type="dxa"/>
                  <w:shd w:val="clear" w:color="auto" w:fill="auto"/>
                  <w:vAlign w:val="center"/>
                </w:tcPr>
                <w:p>
                  <w:pPr>
                    <w:widowControl/>
                    <w:jc w:val="center"/>
                    <w:rPr>
                      <w:kern w:val="0"/>
                      <w:sz w:val="18"/>
                      <w:szCs w:val="18"/>
                    </w:rPr>
                  </w:pPr>
                  <w:r>
                    <w:rPr>
                      <w:kern w:val="0"/>
                      <w:sz w:val="18"/>
                      <w:szCs w:val="18"/>
                    </w:rPr>
                    <w:t xml:space="preserve">0.12 </w:t>
                  </w:r>
                </w:p>
              </w:tc>
              <w:tc>
                <w:tcPr>
                  <w:tcW w:w="1208" w:type="dxa"/>
                  <w:shd w:val="clear" w:color="auto" w:fill="auto"/>
                  <w:vAlign w:val="center"/>
                </w:tcPr>
                <w:p>
                  <w:pPr>
                    <w:widowControl/>
                    <w:jc w:val="center"/>
                    <w:rPr>
                      <w:kern w:val="0"/>
                      <w:sz w:val="18"/>
                      <w:szCs w:val="18"/>
                    </w:rPr>
                  </w:pPr>
                  <w:r>
                    <w:rPr>
                      <w:kern w:val="0"/>
                      <w:sz w:val="18"/>
                      <w:szCs w:val="18"/>
                    </w:rPr>
                    <w:t>集气罩收集（收集效率80%）后经二级活性炭吸附处理后（处理效率取55%）有组织排放</w:t>
                  </w:r>
                </w:p>
              </w:tc>
              <w:tc>
                <w:tcPr>
                  <w:tcW w:w="776" w:type="dxa"/>
                  <w:shd w:val="clear" w:color="auto" w:fill="auto"/>
                  <w:vAlign w:val="center"/>
                </w:tcPr>
                <w:p>
                  <w:pPr>
                    <w:widowControl/>
                    <w:jc w:val="center"/>
                    <w:rPr>
                      <w:kern w:val="0"/>
                      <w:sz w:val="18"/>
                      <w:szCs w:val="18"/>
                    </w:rPr>
                  </w:pPr>
                  <w:r>
                    <w:rPr>
                      <w:kern w:val="0"/>
                      <w:sz w:val="18"/>
                      <w:szCs w:val="18"/>
                    </w:rPr>
                    <w:t>4.71</w:t>
                  </w:r>
                </w:p>
              </w:tc>
              <w:tc>
                <w:tcPr>
                  <w:tcW w:w="709" w:type="dxa"/>
                  <w:shd w:val="clear" w:color="auto" w:fill="auto"/>
                  <w:vAlign w:val="center"/>
                </w:tcPr>
                <w:p>
                  <w:pPr>
                    <w:widowControl/>
                    <w:jc w:val="center"/>
                    <w:rPr>
                      <w:kern w:val="0"/>
                      <w:sz w:val="18"/>
                      <w:szCs w:val="18"/>
                    </w:rPr>
                  </w:pPr>
                  <w:r>
                    <w:rPr>
                      <w:kern w:val="0"/>
                      <w:sz w:val="18"/>
                      <w:szCs w:val="18"/>
                    </w:rPr>
                    <w:t>0.04</w:t>
                  </w:r>
                </w:p>
              </w:tc>
              <w:tc>
                <w:tcPr>
                  <w:tcW w:w="567" w:type="dxa"/>
                  <w:shd w:val="clear" w:color="auto" w:fill="auto"/>
                  <w:vAlign w:val="center"/>
                </w:tcPr>
                <w:p>
                  <w:pPr>
                    <w:widowControl/>
                    <w:jc w:val="center"/>
                    <w:rPr>
                      <w:kern w:val="0"/>
                      <w:sz w:val="18"/>
                      <w:szCs w:val="18"/>
                    </w:rPr>
                  </w:pPr>
                  <w:r>
                    <w:rPr>
                      <w:kern w:val="0"/>
                      <w:sz w:val="18"/>
                      <w:szCs w:val="18"/>
                    </w:rPr>
                    <w:t>0.04</w:t>
                  </w:r>
                </w:p>
              </w:tc>
              <w:tc>
                <w:tcPr>
                  <w:tcW w:w="709" w:type="dxa"/>
                  <w:shd w:val="clear" w:color="auto" w:fill="auto"/>
                  <w:vAlign w:val="center"/>
                </w:tcPr>
                <w:p>
                  <w:pPr>
                    <w:widowControl/>
                    <w:jc w:val="center"/>
                    <w:rPr>
                      <w:kern w:val="0"/>
                      <w:sz w:val="18"/>
                      <w:szCs w:val="18"/>
                    </w:rPr>
                  </w:pPr>
                  <w:r>
                    <w:rPr>
                      <w:kern w:val="0"/>
                      <w:sz w:val="18"/>
                      <w:szCs w:val="18"/>
                    </w:rPr>
                    <w:t>0.02</w:t>
                  </w:r>
                </w:p>
              </w:tc>
              <w:tc>
                <w:tcPr>
                  <w:tcW w:w="534" w:type="dxa"/>
                  <w:shd w:val="clear" w:color="auto" w:fill="auto"/>
                  <w:vAlign w:val="center"/>
                </w:tcPr>
                <w:p>
                  <w:pPr>
                    <w:widowControl/>
                    <w:jc w:val="center"/>
                    <w:rPr>
                      <w:kern w:val="0"/>
                      <w:sz w:val="18"/>
                      <w:szCs w:val="18"/>
                    </w:rPr>
                  </w:pPr>
                  <w:r>
                    <w:rPr>
                      <w:kern w:val="0"/>
                      <w:sz w:val="18"/>
                      <w:szCs w:val="18"/>
                    </w:rPr>
                    <w:t>0.02</w:t>
                  </w:r>
                </w:p>
              </w:tc>
            </w:tr>
          </w:tbl>
          <w:p>
            <w:pPr>
              <w:spacing w:line="360" w:lineRule="auto"/>
              <w:ind w:firstLine="480" w:firstLineChars="200"/>
              <w:rPr>
                <w:kern w:val="0"/>
                <w:sz w:val="24"/>
              </w:rPr>
            </w:pPr>
            <w:r>
              <w:rPr>
                <w:kern w:val="0"/>
                <w:sz w:val="24"/>
              </w:rPr>
              <w:t>（3）制冷剂废气（G3）</w:t>
            </w:r>
          </w:p>
          <w:p>
            <w:pPr>
              <w:pStyle w:val="129"/>
              <w:spacing w:line="360" w:lineRule="auto"/>
              <w:ind w:firstLine="480"/>
              <w:rPr>
                <w:kern w:val="0"/>
              </w:rPr>
            </w:pPr>
            <w:r>
              <w:rPr>
                <w:rFonts w:ascii="Times New Roman" w:hAnsi="Times New Roman"/>
                <w:kern w:val="0"/>
              </w:rPr>
              <w:t>现在汽车一般使用R134A制冷剂，但部分小轿车</w:t>
            </w:r>
            <w:r>
              <w:rPr>
                <w:rFonts w:hint="eastAsia" w:ascii="Times New Roman" w:hAnsi="Times New Roman"/>
                <w:kern w:val="0"/>
              </w:rPr>
              <w:t>、</w:t>
            </w:r>
            <w:r>
              <w:rPr>
                <w:rFonts w:ascii="Times New Roman" w:hAnsi="Times New Roman"/>
                <w:kern w:val="0"/>
              </w:rPr>
              <w:t>中型货车</w:t>
            </w:r>
            <w:r>
              <w:rPr>
                <w:rFonts w:hint="eastAsia" w:ascii="Times New Roman" w:hAnsi="Times New Roman"/>
                <w:kern w:val="0"/>
              </w:rPr>
              <w:t>、</w:t>
            </w:r>
            <w:r>
              <w:rPr>
                <w:rFonts w:ascii="Times New Roman" w:hAnsi="Times New Roman"/>
                <w:kern w:val="0"/>
              </w:rPr>
              <w:t>大型货车的制冷剂中有氟利昂（CF</w:t>
            </w:r>
            <w:r>
              <w:rPr>
                <w:rFonts w:ascii="Times New Roman" w:hAnsi="Times New Roman"/>
                <w:kern w:val="0"/>
                <w:vertAlign w:val="subscript"/>
              </w:rPr>
              <w:t>2</w:t>
            </w:r>
            <w:r>
              <w:rPr>
                <w:rFonts w:ascii="Times New Roman" w:hAnsi="Times New Roman"/>
                <w:kern w:val="0"/>
              </w:rPr>
              <w:t>Cl</w:t>
            </w:r>
            <w:r>
              <w:rPr>
                <w:rFonts w:ascii="Times New Roman" w:hAnsi="Times New Roman"/>
                <w:kern w:val="0"/>
                <w:vertAlign w:val="subscript"/>
              </w:rPr>
              <w:t>2</w:t>
            </w:r>
            <w:r>
              <w:rPr>
                <w:rFonts w:ascii="Times New Roman" w:hAnsi="Times New Roman"/>
                <w:kern w:val="0"/>
              </w:rPr>
              <w:t>），但这些车辆所占的比例小（约30%）。在正式拆解前，用专用的汽车制冷剂收集装置收集到密闭的容器中进行储存，抽取过程中有极少量的氟利昂逸散到大气中，呈无组织排放。氟利昂回收过程</w:t>
            </w:r>
            <w:r>
              <w:rPr>
                <w:rFonts w:ascii="Times New Roman" w:hAnsi="Times New Roman"/>
              </w:rPr>
              <w:t>泄漏量按制冷剂总量的5%计，根据表4.2.1-3，则氟利昂产生量为0.28t/a。</w:t>
            </w:r>
            <w:r>
              <w:rPr>
                <w:rFonts w:ascii="Times New Roman" w:hAnsi="Times New Roman"/>
                <w:kern w:val="0"/>
              </w:rPr>
              <w:t>根据《蒙特利尔议定书》规定，我国于2010年1月1日起全面禁用氟利昂物质，在汽车生产、制造、维护行业中，氟利昂将随着其更新换代而被淘汰，届时这种污染物将进一步减少。</w:t>
            </w:r>
          </w:p>
          <w:p>
            <w:pPr>
              <w:adjustRightInd w:val="0"/>
              <w:snapToGrid w:val="0"/>
              <w:spacing w:line="480" w:lineRule="exact"/>
              <w:ind w:firstLine="360" w:firstLineChars="200"/>
              <w:jc w:val="center"/>
              <w:rPr>
                <w:kern w:val="0"/>
                <w:sz w:val="18"/>
                <w:szCs w:val="18"/>
              </w:rPr>
            </w:pPr>
            <w:r>
              <w:rPr>
                <w:rFonts w:hint="eastAsia"/>
                <w:kern w:val="0"/>
                <w:sz w:val="18"/>
                <w:szCs w:val="18"/>
              </w:rPr>
              <w:t>表4</w:t>
            </w:r>
            <w:r>
              <w:rPr>
                <w:kern w:val="0"/>
                <w:sz w:val="18"/>
                <w:szCs w:val="18"/>
              </w:rPr>
              <w:t>.2.1</w:t>
            </w:r>
            <w:r>
              <w:rPr>
                <w:rFonts w:hint="eastAsia"/>
                <w:kern w:val="0"/>
                <w:sz w:val="18"/>
                <w:szCs w:val="18"/>
              </w:rPr>
              <w:t>-</w:t>
            </w:r>
            <w:r>
              <w:rPr>
                <w:kern w:val="0"/>
                <w:sz w:val="18"/>
                <w:szCs w:val="18"/>
              </w:rPr>
              <w:t xml:space="preserve">3  </w:t>
            </w:r>
            <w:r>
              <w:rPr>
                <w:rFonts w:hint="eastAsia"/>
                <w:kern w:val="0"/>
                <w:sz w:val="18"/>
                <w:szCs w:val="18"/>
              </w:rPr>
              <w:t>拟建项目拆除氟利昂量（单位：t/a）</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83"/>
              <w:gridCol w:w="1249"/>
              <w:gridCol w:w="1249"/>
              <w:gridCol w:w="1249"/>
              <w:gridCol w:w="1249"/>
              <w:gridCol w:w="12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p>
              </w:tc>
              <w:tc>
                <w:tcPr>
                  <w:tcW w:w="1020" w:type="dxa"/>
                  <w:shd w:val="clear" w:color="auto" w:fill="auto"/>
                  <w:vAlign w:val="center"/>
                </w:tcPr>
                <w:p>
                  <w:pPr>
                    <w:widowControl/>
                    <w:jc w:val="center"/>
                    <w:rPr>
                      <w:kern w:val="0"/>
                      <w:sz w:val="18"/>
                      <w:szCs w:val="18"/>
                    </w:rPr>
                  </w:pPr>
                  <w:r>
                    <w:rPr>
                      <w:kern w:val="0"/>
                      <w:sz w:val="18"/>
                      <w:szCs w:val="18"/>
                    </w:rPr>
                    <w:t>电动汽车</w:t>
                  </w:r>
                </w:p>
              </w:tc>
              <w:tc>
                <w:tcPr>
                  <w:tcW w:w="1020" w:type="dxa"/>
                  <w:shd w:val="clear" w:color="auto" w:fill="auto"/>
                  <w:vAlign w:val="center"/>
                </w:tcPr>
                <w:p>
                  <w:pPr>
                    <w:widowControl/>
                    <w:jc w:val="center"/>
                    <w:rPr>
                      <w:kern w:val="0"/>
                      <w:sz w:val="18"/>
                      <w:szCs w:val="18"/>
                    </w:rPr>
                  </w:pPr>
                  <w:r>
                    <w:rPr>
                      <w:kern w:val="0"/>
                      <w:sz w:val="18"/>
                      <w:szCs w:val="18"/>
                    </w:rPr>
                    <w:t>小轿车</w:t>
                  </w:r>
                </w:p>
              </w:tc>
              <w:tc>
                <w:tcPr>
                  <w:tcW w:w="1020" w:type="dxa"/>
                  <w:shd w:val="clear" w:color="auto" w:fill="auto"/>
                  <w:vAlign w:val="center"/>
                </w:tcPr>
                <w:p>
                  <w:pPr>
                    <w:widowControl/>
                    <w:jc w:val="center"/>
                    <w:rPr>
                      <w:kern w:val="0"/>
                      <w:sz w:val="18"/>
                      <w:szCs w:val="18"/>
                    </w:rPr>
                  </w:pPr>
                  <w:r>
                    <w:rPr>
                      <w:kern w:val="0"/>
                      <w:sz w:val="18"/>
                      <w:szCs w:val="18"/>
                    </w:rPr>
                    <w:t>中型货车</w:t>
                  </w:r>
                </w:p>
              </w:tc>
              <w:tc>
                <w:tcPr>
                  <w:tcW w:w="1020" w:type="dxa"/>
                  <w:shd w:val="clear" w:color="auto" w:fill="auto"/>
                  <w:vAlign w:val="center"/>
                </w:tcPr>
                <w:p>
                  <w:pPr>
                    <w:widowControl/>
                    <w:jc w:val="center"/>
                    <w:rPr>
                      <w:kern w:val="0"/>
                      <w:sz w:val="18"/>
                      <w:szCs w:val="18"/>
                    </w:rPr>
                  </w:pPr>
                  <w:r>
                    <w:rPr>
                      <w:kern w:val="0"/>
                      <w:sz w:val="18"/>
                      <w:szCs w:val="18"/>
                    </w:rPr>
                    <w:t>大型货车</w:t>
                  </w:r>
                </w:p>
              </w:tc>
              <w:tc>
                <w:tcPr>
                  <w:tcW w:w="1020" w:type="dxa"/>
                  <w:shd w:val="clear" w:color="auto" w:fill="auto"/>
                  <w:vAlign w:val="center"/>
                </w:tcPr>
                <w:p>
                  <w:pPr>
                    <w:widowControl/>
                    <w:jc w:val="center"/>
                    <w:rPr>
                      <w:kern w:val="0"/>
                      <w:sz w:val="18"/>
                      <w:szCs w:val="18"/>
                    </w:rPr>
                  </w:pPr>
                  <w:r>
                    <w:rPr>
                      <w:kern w:val="0"/>
                      <w:sz w:val="18"/>
                      <w:szCs w:val="18"/>
                    </w:rPr>
                    <w:t>汇总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r>
                    <w:rPr>
                      <w:kern w:val="0"/>
                      <w:sz w:val="18"/>
                      <w:szCs w:val="18"/>
                    </w:rPr>
                    <w:t>制冷剂总量</w:t>
                  </w:r>
                </w:p>
              </w:tc>
              <w:tc>
                <w:tcPr>
                  <w:tcW w:w="1020" w:type="dxa"/>
                  <w:shd w:val="clear" w:color="auto" w:fill="auto"/>
                  <w:noWrap/>
                  <w:vAlign w:val="center"/>
                </w:tcPr>
                <w:p>
                  <w:pPr>
                    <w:widowControl/>
                    <w:jc w:val="center"/>
                    <w:rPr>
                      <w:kern w:val="0"/>
                      <w:sz w:val="18"/>
                      <w:szCs w:val="18"/>
                    </w:rPr>
                  </w:pPr>
                  <w:r>
                    <w:rPr>
                      <w:kern w:val="0"/>
                      <w:sz w:val="18"/>
                      <w:szCs w:val="18"/>
                    </w:rPr>
                    <w:t>4.5</w:t>
                  </w:r>
                </w:p>
              </w:tc>
              <w:tc>
                <w:tcPr>
                  <w:tcW w:w="1020" w:type="dxa"/>
                  <w:shd w:val="clear" w:color="auto" w:fill="auto"/>
                  <w:noWrap/>
                  <w:vAlign w:val="center"/>
                </w:tcPr>
                <w:p>
                  <w:pPr>
                    <w:widowControl/>
                    <w:jc w:val="center"/>
                    <w:rPr>
                      <w:kern w:val="0"/>
                      <w:sz w:val="18"/>
                      <w:szCs w:val="18"/>
                    </w:rPr>
                  </w:pPr>
                  <w:r>
                    <w:rPr>
                      <w:kern w:val="0"/>
                      <w:sz w:val="18"/>
                      <w:szCs w:val="18"/>
                    </w:rPr>
                    <w:t>6.3</w:t>
                  </w:r>
                </w:p>
              </w:tc>
              <w:tc>
                <w:tcPr>
                  <w:tcW w:w="1020" w:type="dxa"/>
                  <w:shd w:val="clear" w:color="auto" w:fill="auto"/>
                  <w:noWrap/>
                  <w:vAlign w:val="center"/>
                </w:tcPr>
                <w:p>
                  <w:pPr>
                    <w:widowControl/>
                    <w:jc w:val="center"/>
                    <w:rPr>
                      <w:kern w:val="0"/>
                      <w:sz w:val="18"/>
                      <w:szCs w:val="18"/>
                    </w:rPr>
                  </w:pPr>
                  <w:r>
                    <w:rPr>
                      <w:kern w:val="0"/>
                      <w:sz w:val="18"/>
                      <w:szCs w:val="18"/>
                    </w:rPr>
                    <w:t>7.5</w:t>
                  </w:r>
                </w:p>
              </w:tc>
              <w:tc>
                <w:tcPr>
                  <w:tcW w:w="1020" w:type="dxa"/>
                  <w:shd w:val="clear" w:color="auto" w:fill="auto"/>
                  <w:noWrap/>
                  <w:vAlign w:val="center"/>
                </w:tcPr>
                <w:p>
                  <w:pPr>
                    <w:widowControl/>
                    <w:jc w:val="center"/>
                    <w:rPr>
                      <w:kern w:val="0"/>
                      <w:sz w:val="18"/>
                      <w:szCs w:val="18"/>
                    </w:rPr>
                  </w:pPr>
                  <w:r>
                    <w:rPr>
                      <w:kern w:val="0"/>
                      <w:sz w:val="18"/>
                      <w:szCs w:val="18"/>
                    </w:rPr>
                    <w:t>5.4</w:t>
                  </w:r>
                </w:p>
              </w:tc>
              <w:tc>
                <w:tcPr>
                  <w:tcW w:w="1020" w:type="dxa"/>
                  <w:shd w:val="clear" w:color="auto" w:fill="auto"/>
                  <w:noWrap/>
                  <w:vAlign w:val="center"/>
                </w:tcPr>
                <w:p>
                  <w:pPr>
                    <w:widowControl/>
                    <w:jc w:val="center"/>
                    <w:rPr>
                      <w:kern w:val="0"/>
                      <w:sz w:val="18"/>
                      <w:szCs w:val="18"/>
                    </w:rPr>
                  </w:pPr>
                  <w:r>
                    <w:rPr>
                      <w:kern w:val="0"/>
                      <w:sz w:val="18"/>
                      <w:szCs w:val="18"/>
                    </w:rPr>
                    <w:t>23.7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r>
                    <w:rPr>
                      <w:kern w:val="0"/>
                      <w:sz w:val="18"/>
                      <w:szCs w:val="18"/>
                    </w:rPr>
                    <w:t>氟利昂占比</w:t>
                  </w:r>
                </w:p>
              </w:tc>
              <w:tc>
                <w:tcPr>
                  <w:tcW w:w="1020" w:type="dxa"/>
                  <w:shd w:val="clear" w:color="auto" w:fill="auto"/>
                  <w:noWrap/>
                  <w:vAlign w:val="center"/>
                </w:tcPr>
                <w:p>
                  <w:pPr>
                    <w:widowControl/>
                    <w:jc w:val="center"/>
                    <w:rPr>
                      <w:kern w:val="0"/>
                      <w:sz w:val="18"/>
                      <w:szCs w:val="18"/>
                    </w:rPr>
                  </w:pPr>
                  <w:r>
                    <w:rPr>
                      <w:kern w:val="0"/>
                      <w:sz w:val="18"/>
                      <w:szCs w:val="18"/>
                    </w:rPr>
                    <w:t>0</w:t>
                  </w:r>
                </w:p>
              </w:tc>
              <w:tc>
                <w:tcPr>
                  <w:tcW w:w="1020" w:type="dxa"/>
                  <w:shd w:val="clear" w:color="auto" w:fill="auto"/>
                  <w:noWrap/>
                  <w:vAlign w:val="center"/>
                </w:tcPr>
                <w:p>
                  <w:pPr>
                    <w:widowControl/>
                    <w:jc w:val="center"/>
                    <w:rPr>
                      <w:kern w:val="0"/>
                      <w:sz w:val="18"/>
                      <w:szCs w:val="18"/>
                    </w:rPr>
                  </w:pPr>
                  <w:r>
                    <w:rPr>
                      <w:kern w:val="0"/>
                      <w:sz w:val="18"/>
                      <w:szCs w:val="18"/>
                    </w:rPr>
                    <w:t>30%</w:t>
                  </w:r>
                </w:p>
              </w:tc>
              <w:tc>
                <w:tcPr>
                  <w:tcW w:w="1020" w:type="dxa"/>
                  <w:shd w:val="clear" w:color="auto" w:fill="auto"/>
                  <w:noWrap/>
                  <w:vAlign w:val="center"/>
                </w:tcPr>
                <w:p>
                  <w:pPr>
                    <w:widowControl/>
                    <w:jc w:val="center"/>
                    <w:rPr>
                      <w:kern w:val="0"/>
                      <w:sz w:val="18"/>
                      <w:szCs w:val="18"/>
                    </w:rPr>
                  </w:pPr>
                  <w:r>
                    <w:rPr>
                      <w:kern w:val="0"/>
                      <w:sz w:val="18"/>
                      <w:szCs w:val="18"/>
                    </w:rPr>
                    <w:t>30%</w:t>
                  </w:r>
                </w:p>
              </w:tc>
              <w:tc>
                <w:tcPr>
                  <w:tcW w:w="1020" w:type="dxa"/>
                  <w:shd w:val="clear" w:color="auto" w:fill="auto"/>
                  <w:noWrap/>
                  <w:vAlign w:val="center"/>
                </w:tcPr>
                <w:p>
                  <w:pPr>
                    <w:widowControl/>
                    <w:jc w:val="center"/>
                    <w:rPr>
                      <w:kern w:val="0"/>
                      <w:sz w:val="18"/>
                      <w:szCs w:val="18"/>
                    </w:rPr>
                  </w:pPr>
                  <w:r>
                    <w:rPr>
                      <w:kern w:val="0"/>
                      <w:sz w:val="18"/>
                      <w:szCs w:val="18"/>
                    </w:rPr>
                    <w:t>30%</w:t>
                  </w:r>
                </w:p>
              </w:tc>
              <w:tc>
                <w:tcPr>
                  <w:tcW w:w="1020" w:type="dxa"/>
                  <w:shd w:val="clear" w:color="auto" w:fill="auto"/>
                  <w:noWrap/>
                  <w:vAlign w:val="center"/>
                </w:tcPr>
                <w:p>
                  <w:pPr>
                    <w:widowControl/>
                    <w:jc w:val="center"/>
                    <w:rPr>
                      <w:kern w:val="0"/>
                      <w:sz w:val="18"/>
                      <w:szCs w:val="18"/>
                    </w:rPr>
                  </w:pPr>
                  <w:r>
                    <w:rPr>
                      <w:rFonts w:hint="eastAsia"/>
                      <w:kern w:val="0"/>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r>
                    <w:rPr>
                      <w:kern w:val="0"/>
                      <w:sz w:val="18"/>
                      <w:szCs w:val="18"/>
                    </w:rPr>
                    <w:t>氟利昂总量</w:t>
                  </w:r>
                </w:p>
              </w:tc>
              <w:tc>
                <w:tcPr>
                  <w:tcW w:w="1020" w:type="dxa"/>
                  <w:shd w:val="clear" w:color="auto" w:fill="auto"/>
                  <w:noWrap/>
                  <w:vAlign w:val="center"/>
                </w:tcPr>
                <w:p>
                  <w:pPr>
                    <w:widowControl/>
                    <w:jc w:val="center"/>
                    <w:rPr>
                      <w:kern w:val="0"/>
                      <w:sz w:val="18"/>
                      <w:szCs w:val="18"/>
                    </w:rPr>
                  </w:pPr>
                  <w:r>
                    <w:rPr>
                      <w:kern w:val="0"/>
                      <w:sz w:val="18"/>
                      <w:szCs w:val="18"/>
                    </w:rPr>
                    <w:t>0</w:t>
                  </w:r>
                </w:p>
              </w:tc>
              <w:tc>
                <w:tcPr>
                  <w:tcW w:w="1020" w:type="dxa"/>
                  <w:shd w:val="clear" w:color="auto" w:fill="auto"/>
                  <w:noWrap/>
                  <w:vAlign w:val="center"/>
                </w:tcPr>
                <w:p>
                  <w:pPr>
                    <w:widowControl/>
                    <w:jc w:val="center"/>
                    <w:rPr>
                      <w:kern w:val="0"/>
                      <w:sz w:val="18"/>
                      <w:szCs w:val="18"/>
                    </w:rPr>
                  </w:pPr>
                  <w:r>
                    <w:rPr>
                      <w:kern w:val="0"/>
                      <w:sz w:val="18"/>
                      <w:szCs w:val="18"/>
                    </w:rPr>
                    <w:t>1.89</w:t>
                  </w:r>
                </w:p>
              </w:tc>
              <w:tc>
                <w:tcPr>
                  <w:tcW w:w="1020" w:type="dxa"/>
                  <w:shd w:val="clear" w:color="auto" w:fill="auto"/>
                  <w:noWrap/>
                  <w:vAlign w:val="center"/>
                </w:tcPr>
                <w:p>
                  <w:pPr>
                    <w:widowControl/>
                    <w:jc w:val="center"/>
                    <w:rPr>
                      <w:kern w:val="0"/>
                      <w:sz w:val="18"/>
                      <w:szCs w:val="18"/>
                    </w:rPr>
                  </w:pPr>
                  <w:r>
                    <w:rPr>
                      <w:kern w:val="0"/>
                      <w:sz w:val="18"/>
                      <w:szCs w:val="18"/>
                    </w:rPr>
                    <w:t>2.25</w:t>
                  </w:r>
                </w:p>
              </w:tc>
              <w:tc>
                <w:tcPr>
                  <w:tcW w:w="1020" w:type="dxa"/>
                  <w:shd w:val="clear" w:color="auto" w:fill="auto"/>
                  <w:noWrap/>
                  <w:vAlign w:val="center"/>
                </w:tcPr>
                <w:p>
                  <w:pPr>
                    <w:widowControl/>
                    <w:jc w:val="center"/>
                    <w:rPr>
                      <w:kern w:val="0"/>
                      <w:sz w:val="18"/>
                      <w:szCs w:val="18"/>
                    </w:rPr>
                  </w:pPr>
                  <w:r>
                    <w:rPr>
                      <w:kern w:val="0"/>
                      <w:sz w:val="18"/>
                      <w:szCs w:val="18"/>
                    </w:rPr>
                    <w:t>1.62</w:t>
                  </w:r>
                </w:p>
              </w:tc>
              <w:tc>
                <w:tcPr>
                  <w:tcW w:w="1020" w:type="dxa"/>
                  <w:shd w:val="clear" w:color="auto" w:fill="auto"/>
                  <w:noWrap/>
                  <w:vAlign w:val="center"/>
                </w:tcPr>
                <w:p>
                  <w:pPr>
                    <w:widowControl/>
                    <w:jc w:val="center"/>
                    <w:rPr>
                      <w:kern w:val="0"/>
                      <w:sz w:val="18"/>
                      <w:szCs w:val="18"/>
                    </w:rPr>
                  </w:pPr>
                  <w:r>
                    <w:rPr>
                      <w:kern w:val="0"/>
                      <w:sz w:val="18"/>
                      <w:szCs w:val="18"/>
                    </w:rPr>
                    <w:t>5.76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r>
                    <w:rPr>
                      <w:kern w:val="0"/>
                      <w:sz w:val="18"/>
                      <w:szCs w:val="18"/>
                    </w:rPr>
                    <w:t>氟利昂泄露比例</w:t>
                  </w:r>
                </w:p>
              </w:tc>
              <w:tc>
                <w:tcPr>
                  <w:tcW w:w="1020" w:type="dxa"/>
                  <w:shd w:val="clear" w:color="auto" w:fill="auto"/>
                  <w:noWrap/>
                  <w:vAlign w:val="center"/>
                </w:tcPr>
                <w:p>
                  <w:pPr>
                    <w:widowControl/>
                    <w:jc w:val="center"/>
                    <w:rPr>
                      <w:kern w:val="0"/>
                      <w:sz w:val="18"/>
                      <w:szCs w:val="18"/>
                    </w:rPr>
                  </w:pPr>
                  <w:r>
                    <w:rPr>
                      <w:kern w:val="0"/>
                      <w:sz w:val="18"/>
                      <w:szCs w:val="18"/>
                    </w:rPr>
                    <w:t>5%</w:t>
                  </w:r>
                </w:p>
              </w:tc>
              <w:tc>
                <w:tcPr>
                  <w:tcW w:w="1020" w:type="dxa"/>
                  <w:shd w:val="clear" w:color="auto" w:fill="auto"/>
                  <w:noWrap/>
                  <w:vAlign w:val="center"/>
                </w:tcPr>
                <w:p>
                  <w:pPr>
                    <w:widowControl/>
                    <w:jc w:val="center"/>
                    <w:rPr>
                      <w:kern w:val="0"/>
                      <w:sz w:val="18"/>
                      <w:szCs w:val="18"/>
                    </w:rPr>
                  </w:pPr>
                  <w:r>
                    <w:rPr>
                      <w:kern w:val="0"/>
                      <w:sz w:val="18"/>
                      <w:szCs w:val="18"/>
                    </w:rPr>
                    <w:t>5%</w:t>
                  </w:r>
                </w:p>
              </w:tc>
              <w:tc>
                <w:tcPr>
                  <w:tcW w:w="1020" w:type="dxa"/>
                  <w:shd w:val="clear" w:color="auto" w:fill="auto"/>
                  <w:noWrap/>
                  <w:vAlign w:val="center"/>
                </w:tcPr>
                <w:p>
                  <w:pPr>
                    <w:widowControl/>
                    <w:jc w:val="center"/>
                    <w:rPr>
                      <w:kern w:val="0"/>
                      <w:sz w:val="18"/>
                      <w:szCs w:val="18"/>
                    </w:rPr>
                  </w:pPr>
                  <w:r>
                    <w:rPr>
                      <w:kern w:val="0"/>
                      <w:sz w:val="18"/>
                      <w:szCs w:val="18"/>
                    </w:rPr>
                    <w:t>5%</w:t>
                  </w:r>
                </w:p>
              </w:tc>
              <w:tc>
                <w:tcPr>
                  <w:tcW w:w="1020" w:type="dxa"/>
                  <w:shd w:val="clear" w:color="auto" w:fill="auto"/>
                  <w:noWrap/>
                  <w:vAlign w:val="center"/>
                </w:tcPr>
                <w:p>
                  <w:pPr>
                    <w:widowControl/>
                    <w:jc w:val="center"/>
                    <w:rPr>
                      <w:kern w:val="0"/>
                      <w:sz w:val="18"/>
                      <w:szCs w:val="18"/>
                    </w:rPr>
                  </w:pPr>
                  <w:r>
                    <w:rPr>
                      <w:kern w:val="0"/>
                      <w:sz w:val="18"/>
                      <w:szCs w:val="18"/>
                    </w:rPr>
                    <w:t>5%</w:t>
                  </w:r>
                </w:p>
              </w:tc>
              <w:tc>
                <w:tcPr>
                  <w:tcW w:w="1020" w:type="dxa"/>
                  <w:shd w:val="clear" w:color="auto" w:fill="auto"/>
                  <w:noWrap/>
                  <w:vAlign w:val="center"/>
                </w:tcPr>
                <w:p>
                  <w:pPr>
                    <w:widowControl/>
                    <w:jc w:val="center"/>
                    <w:rPr>
                      <w:kern w:val="0"/>
                      <w:sz w:val="18"/>
                      <w:szCs w:val="18"/>
                    </w:rPr>
                  </w:pPr>
                  <w:r>
                    <w:rPr>
                      <w:rFonts w:hint="eastAsia"/>
                      <w:kern w:val="0"/>
                      <w:sz w:val="18"/>
                      <w:szCs w:val="1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1620" w:type="dxa"/>
                  <w:shd w:val="clear" w:color="auto" w:fill="auto"/>
                  <w:noWrap/>
                  <w:vAlign w:val="center"/>
                </w:tcPr>
                <w:p>
                  <w:pPr>
                    <w:widowControl/>
                    <w:jc w:val="center"/>
                    <w:rPr>
                      <w:kern w:val="0"/>
                      <w:sz w:val="18"/>
                      <w:szCs w:val="18"/>
                    </w:rPr>
                  </w:pPr>
                  <w:r>
                    <w:rPr>
                      <w:kern w:val="0"/>
                      <w:sz w:val="18"/>
                      <w:szCs w:val="18"/>
                    </w:rPr>
                    <w:t>氟利昂产生量</w:t>
                  </w:r>
                </w:p>
              </w:tc>
              <w:tc>
                <w:tcPr>
                  <w:tcW w:w="1020" w:type="dxa"/>
                  <w:shd w:val="clear" w:color="auto" w:fill="auto"/>
                  <w:noWrap/>
                  <w:vAlign w:val="center"/>
                </w:tcPr>
                <w:p>
                  <w:pPr>
                    <w:widowControl/>
                    <w:jc w:val="center"/>
                    <w:rPr>
                      <w:kern w:val="0"/>
                      <w:sz w:val="18"/>
                      <w:szCs w:val="18"/>
                    </w:rPr>
                  </w:pPr>
                  <w:r>
                    <w:rPr>
                      <w:kern w:val="0"/>
                      <w:sz w:val="18"/>
                      <w:szCs w:val="18"/>
                    </w:rPr>
                    <w:t>0</w:t>
                  </w:r>
                </w:p>
              </w:tc>
              <w:tc>
                <w:tcPr>
                  <w:tcW w:w="1020" w:type="dxa"/>
                  <w:shd w:val="clear" w:color="auto" w:fill="auto"/>
                  <w:noWrap/>
                  <w:vAlign w:val="center"/>
                </w:tcPr>
                <w:p>
                  <w:pPr>
                    <w:widowControl/>
                    <w:jc w:val="center"/>
                    <w:rPr>
                      <w:kern w:val="0"/>
                      <w:sz w:val="18"/>
                      <w:szCs w:val="18"/>
                    </w:rPr>
                  </w:pPr>
                  <w:r>
                    <w:rPr>
                      <w:kern w:val="0"/>
                      <w:sz w:val="18"/>
                      <w:szCs w:val="18"/>
                    </w:rPr>
                    <w:t>0.09</w:t>
                  </w:r>
                </w:p>
              </w:tc>
              <w:tc>
                <w:tcPr>
                  <w:tcW w:w="1020" w:type="dxa"/>
                  <w:shd w:val="clear" w:color="auto" w:fill="auto"/>
                  <w:noWrap/>
                  <w:vAlign w:val="center"/>
                </w:tcPr>
                <w:p>
                  <w:pPr>
                    <w:widowControl/>
                    <w:jc w:val="center"/>
                    <w:rPr>
                      <w:kern w:val="0"/>
                      <w:sz w:val="18"/>
                      <w:szCs w:val="18"/>
                    </w:rPr>
                  </w:pPr>
                  <w:r>
                    <w:rPr>
                      <w:kern w:val="0"/>
                      <w:sz w:val="18"/>
                      <w:szCs w:val="18"/>
                    </w:rPr>
                    <w:t>0.11</w:t>
                  </w:r>
                </w:p>
              </w:tc>
              <w:tc>
                <w:tcPr>
                  <w:tcW w:w="1020" w:type="dxa"/>
                  <w:shd w:val="clear" w:color="auto" w:fill="auto"/>
                  <w:noWrap/>
                  <w:vAlign w:val="center"/>
                </w:tcPr>
                <w:p>
                  <w:pPr>
                    <w:widowControl/>
                    <w:jc w:val="center"/>
                    <w:rPr>
                      <w:kern w:val="0"/>
                      <w:sz w:val="18"/>
                      <w:szCs w:val="18"/>
                    </w:rPr>
                  </w:pPr>
                  <w:r>
                    <w:rPr>
                      <w:kern w:val="0"/>
                      <w:sz w:val="18"/>
                      <w:szCs w:val="18"/>
                    </w:rPr>
                    <w:t>0.08</w:t>
                  </w:r>
                </w:p>
              </w:tc>
              <w:tc>
                <w:tcPr>
                  <w:tcW w:w="1020" w:type="dxa"/>
                  <w:shd w:val="clear" w:color="auto" w:fill="auto"/>
                  <w:noWrap/>
                  <w:vAlign w:val="center"/>
                </w:tcPr>
                <w:p>
                  <w:pPr>
                    <w:widowControl/>
                    <w:jc w:val="center"/>
                    <w:rPr>
                      <w:kern w:val="0"/>
                      <w:sz w:val="18"/>
                      <w:szCs w:val="18"/>
                    </w:rPr>
                  </w:pPr>
                  <w:r>
                    <w:rPr>
                      <w:kern w:val="0"/>
                      <w:sz w:val="18"/>
                      <w:szCs w:val="18"/>
                    </w:rPr>
                    <w:t>0.28</w:t>
                  </w:r>
                </w:p>
              </w:tc>
            </w:tr>
          </w:tbl>
          <w:p>
            <w:pPr>
              <w:pStyle w:val="130"/>
              <w:adjustRightInd w:val="0"/>
              <w:snapToGrid w:val="0"/>
              <w:spacing w:line="360" w:lineRule="auto"/>
              <w:ind w:left="480" w:firstLine="0" w:firstLineChars="0"/>
              <w:rPr>
                <w:sz w:val="24"/>
              </w:rPr>
            </w:pPr>
            <w:r>
              <w:rPr>
                <w:sz w:val="24"/>
              </w:rPr>
              <w:t>（4）切割粉尘（G4）</w:t>
            </w:r>
          </w:p>
          <w:p>
            <w:pPr>
              <w:autoSpaceDE w:val="0"/>
              <w:autoSpaceDN w:val="0"/>
              <w:adjustRightInd w:val="0"/>
              <w:spacing w:line="360" w:lineRule="auto"/>
              <w:ind w:firstLine="480" w:firstLineChars="200"/>
              <w:rPr>
                <w:sz w:val="24"/>
              </w:rPr>
            </w:pPr>
            <w:r>
              <w:rPr>
                <w:sz w:val="24"/>
              </w:rPr>
              <w:t>汽车在拆解后较大部件需用等离子切割机进行切割，切割量较小，切割过程中由于被切割位置受热使金属熔化，在局部高温作用下部分金属离子直接以气态形式进入空气中，故会产生少量的金属颗粒物。</w:t>
            </w:r>
          </w:p>
          <w:p>
            <w:pPr>
              <w:autoSpaceDE w:val="0"/>
              <w:autoSpaceDN w:val="0"/>
              <w:adjustRightInd w:val="0"/>
              <w:spacing w:line="360" w:lineRule="auto"/>
              <w:ind w:firstLine="480" w:firstLineChars="200"/>
              <w:rPr>
                <w:sz w:val="24"/>
              </w:rPr>
            </w:pPr>
            <w:r>
              <w:rPr>
                <w:rFonts w:hint="eastAsia"/>
                <w:sz w:val="24"/>
              </w:rPr>
              <w:t>参照</w:t>
            </w:r>
            <w:r>
              <w:rPr>
                <w:sz w:val="24"/>
              </w:rPr>
              <w:t>《排放源统计调查产排污核算方法和系数手册</w:t>
            </w:r>
            <w:r>
              <w:rPr>
                <w:rFonts w:hint="eastAsia"/>
                <w:sz w:val="24"/>
              </w:rPr>
              <w:t xml:space="preserve"> </w:t>
            </w:r>
            <w:r>
              <w:rPr>
                <w:sz w:val="24"/>
              </w:rPr>
              <w:t>33</w:t>
            </w:r>
            <w:r>
              <w:rPr>
                <w:rFonts w:hint="eastAsia"/>
                <w:sz w:val="24"/>
              </w:rPr>
              <w:t>-</w:t>
            </w:r>
            <w:r>
              <w:rPr>
                <w:sz w:val="24"/>
              </w:rPr>
              <w:t>37</w:t>
            </w:r>
            <w:r>
              <w:rPr>
                <w:rFonts w:hint="eastAsia"/>
                <w:sz w:val="24"/>
              </w:rPr>
              <w:t>，</w:t>
            </w:r>
            <w:r>
              <w:rPr>
                <w:sz w:val="24"/>
              </w:rPr>
              <w:t>431</w:t>
            </w:r>
            <w:r>
              <w:rPr>
                <w:rFonts w:hint="eastAsia"/>
                <w:sz w:val="24"/>
              </w:rPr>
              <w:t>-</w:t>
            </w:r>
            <w:r>
              <w:rPr>
                <w:sz w:val="24"/>
              </w:rPr>
              <w:t>434</w:t>
            </w:r>
            <w:r>
              <w:rPr>
                <w:rFonts w:hint="eastAsia"/>
                <w:sz w:val="24"/>
              </w:rPr>
              <w:t>机械行业系数手册</w:t>
            </w:r>
            <w:r>
              <w:rPr>
                <w:sz w:val="24"/>
              </w:rPr>
              <w:t>》</w:t>
            </w:r>
            <w:r>
              <w:rPr>
                <w:rFonts w:hint="eastAsia"/>
                <w:sz w:val="24"/>
              </w:rPr>
              <w:t>，钢板等其他金属材料等离子切割过程中颗粒物产污系数为</w:t>
            </w:r>
            <w:r>
              <w:rPr>
                <w:sz w:val="24"/>
              </w:rPr>
              <w:t>1.1</w:t>
            </w:r>
            <w:r>
              <w:rPr>
                <w:rFonts w:hint="eastAsia"/>
                <w:sz w:val="24"/>
              </w:rPr>
              <w:t>千克/吨-原料，本项目切割废钢总量为51277.5t</w:t>
            </w:r>
            <w:r>
              <w:rPr>
                <w:sz w:val="24"/>
              </w:rPr>
              <w:t>/</w:t>
            </w:r>
            <w:r>
              <w:rPr>
                <w:rFonts w:hint="eastAsia"/>
                <w:sz w:val="24"/>
              </w:rPr>
              <w:t>a，需等离子切割的钢铁约为总量的10%，即5127.75t/a，则废钢切割粉尘产生量合计约为5.64t/a。</w:t>
            </w:r>
          </w:p>
          <w:p>
            <w:pPr>
              <w:pStyle w:val="128"/>
              <w:spacing w:line="480" w:lineRule="exact"/>
              <w:ind w:firstLine="480"/>
            </w:pPr>
            <w:r>
              <w:rPr>
                <w:rFonts w:hint="eastAsia"/>
              </w:rPr>
              <w:t>本项目对2个</w:t>
            </w:r>
            <w:r>
              <w:rPr>
                <w:rFonts w:hint="eastAsia"/>
                <w:kern w:val="0"/>
              </w:rPr>
              <w:t>等离子切割设备</w:t>
            </w:r>
            <w:r>
              <w:rPr>
                <w:rFonts w:hint="eastAsia"/>
              </w:rPr>
              <w:t xml:space="preserve">有颗粒物产生的岗位进行固定操作，并在岗位上方分别设置集气罩，收集率按 </w:t>
            </w:r>
            <w:r>
              <w:t>8</w:t>
            </w:r>
            <w:r>
              <w:rPr>
                <w:rFonts w:hint="eastAsia"/>
              </w:rPr>
              <w:t>0%计，收集后的废气经布袋除尘器处理后，通过15m的</w:t>
            </w:r>
            <w:r>
              <w:t>2</w:t>
            </w:r>
            <w:r>
              <w:rPr>
                <w:rFonts w:hint="eastAsia"/>
              </w:rPr>
              <w:t>#排气筒（DA00</w:t>
            </w:r>
            <w:r>
              <w:t>2</w:t>
            </w:r>
            <w:r>
              <w:rPr>
                <w:rFonts w:hint="eastAsia"/>
              </w:rPr>
              <w:t>）排放，设计风机风量为</w:t>
            </w:r>
            <w:r>
              <w:t>12</w:t>
            </w:r>
            <w:r>
              <w:rPr>
                <w:rFonts w:hint="eastAsia"/>
              </w:rPr>
              <w:t>000m</w:t>
            </w:r>
            <w:r>
              <w:rPr>
                <w:rFonts w:hint="eastAsia"/>
                <w:vertAlign w:val="superscript"/>
              </w:rPr>
              <w:t>3</w:t>
            </w:r>
            <w:r>
              <w:rPr>
                <w:rFonts w:hint="eastAsia"/>
              </w:rPr>
              <w:t>/h，去除效率按</w:t>
            </w:r>
            <w:r>
              <w:t>95</w:t>
            </w:r>
            <w:r>
              <w:rPr>
                <w:rFonts w:hint="eastAsia"/>
              </w:rPr>
              <w:t>%计，该工序生产工作时间约</w:t>
            </w:r>
            <w:r>
              <w:t>990</w:t>
            </w:r>
            <w:r>
              <w:rPr>
                <w:rFonts w:hint="eastAsia"/>
              </w:rPr>
              <w:t>h/a。则有组织最终有机废气排放量为0.</w:t>
            </w:r>
            <w:r>
              <w:t>23</w:t>
            </w:r>
            <w:r>
              <w:rPr>
                <w:rFonts w:hint="eastAsia"/>
              </w:rPr>
              <w:t>t/a，排放速率为0.</w:t>
            </w:r>
            <w:r>
              <w:t>23</w:t>
            </w:r>
            <w:r>
              <w:rPr>
                <w:rFonts w:hint="eastAsia"/>
              </w:rPr>
              <w:t>kg/h。无组织废气排放量为</w:t>
            </w:r>
            <w:r>
              <w:t>1.13</w:t>
            </w:r>
            <w:r>
              <w:rPr>
                <w:rFonts w:hint="eastAsia"/>
              </w:rPr>
              <w:t>t/a，排放速率为</w:t>
            </w:r>
            <w:r>
              <w:t>1.14</w:t>
            </w:r>
            <w:r>
              <w:rPr>
                <w:rFonts w:hint="eastAsia"/>
              </w:rPr>
              <w:t>kg/h。</w:t>
            </w:r>
          </w:p>
          <w:p>
            <w:pPr>
              <w:pStyle w:val="125"/>
              <w:spacing w:line="480" w:lineRule="exact"/>
              <w:ind w:firstLine="480"/>
              <w:rPr>
                <w:rFonts w:hAnsi="宋体"/>
                <w:bCs w:val="0"/>
              </w:rPr>
            </w:pPr>
            <w:r>
              <w:rPr>
                <w:rFonts w:hint="eastAsia" w:hAnsi="宋体"/>
                <w:bCs w:val="0"/>
              </w:rPr>
              <w:t>项目采用</w:t>
            </w:r>
            <w:r>
              <w:rPr>
                <w:rFonts w:hint="eastAsia"/>
                <w:kern w:val="0"/>
              </w:rPr>
              <w:t>等离子切割设备及工位</w:t>
            </w:r>
            <w:r>
              <w:rPr>
                <w:kern w:val="0"/>
              </w:rPr>
              <w:t>上方设置集气罩</w:t>
            </w:r>
            <w:r>
              <w:rPr>
                <w:rFonts w:hint="eastAsia" w:hAnsi="宋体"/>
                <w:bCs w:val="0"/>
              </w:rPr>
              <w:t>的方式收集</w:t>
            </w:r>
            <w:r>
              <w:rPr>
                <w:rFonts w:hint="eastAsia" w:hAnsi="宋体"/>
                <w:bCs w:val="0"/>
                <w:lang w:eastAsia="zh-CN"/>
              </w:rPr>
              <w:t>废气</w:t>
            </w:r>
            <w:r>
              <w:rPr>
                <w:rFonts w:hint="eastAsia" w:hAnsi="宋体"/>
                <w:bCs w:val="0"/>
              </w:rPr>
              <w:t>，项目设置</w:t>
            </w:r>
            <w:r>
              <w:rPr>
                <w:kern w:val="0"/>
              </w:rPr>
              <w:t>2台</w:t>
            </w:r>
            <w:r>
              <w:rPr>
                <w:rFonts w:hint="eastAsia"/>
                <w:kern w:val="0"/>
              </w:rPr>
              <w:t>等离子切割设备及工位</w:t>
            </w:r>
            <w:r>
              <w:rPr>
                <w:rFonts w:hint="eastAsia" w:hAnsi="宋体"/>
                <w:bCs w:val="0"/>
              </w:rPr>
              <w:t>，需设置集气罩2个。根据《大气污染控制工程》中集气罩设计原则，拟建项目集气罩风量按照下式确定：</w:t>
            </w:r>
          </w:p>
          <w:p>
            <w:pPr>
              <w:autoSpaceDE w:val="0"/>
              <w:spacing w:line="440" w:lineRule="exact"/>
              <w:ind w:firstLine="480" w:firstLineChars="200"/>
              <w:jc w:val="center"/>
              <w:rPr>
                <w:rFonts w:hAnsi="宋体"/>
                <w:bCs/>
                <w:sz w:val="24"/>
              </w:rPr>
            </w:pPr>
            <w:r>
              <w:rPr>
                <w:rFonts w:hint="eastAsia" w:hAnsi="宋体"/>
                <w:bCs/>
                <w:sz w:val="24"/>
              </w:rPr>
              <w:t>Q=（10</w:t>
            </w:r>
            <w:r>
              <w:rPr>
                <w:rFonts w:hAnsi="宋体"/>
                <w:bCs/>
                <w:sz w:val="24"/>
              </w:rPr>
              <w:t>x</w:t>
            </w:r>
            <w:r>
              <w:rPr>
                <w:rFonts w:hint="eastAsia" w:hAnsi="宋体"/>
                <w:bCs/>
                <w:sz w:val="24"/>
                <w:vertAlign w:val="superscript"/>
              </w:rPr>
              <w:t>2</w:t>
            </w:r>
            <w:r>
              <w:rPr>
                <w:rFonts w:hint="eastAsia" w:hAnsi="宋体"/>
                <w:bCs/>
                <w:sz w:val="24"/>
              </w:rPr>
              <w:t>+F）×Vx</w:t>
            </w:r>
          </w:p>
          <w:p>
            <w:pPr>
              <w:autoSpaceDE w:val="0"/>
              <w:spacing w:line="440" w:lineRule="exact"/>
              <w:ind w:firstLine="480" w:firstLineChars="200"/>
              <w:rPr>
                <w:rFonts w:hAnsi="宋体"/>
                <w:sz w:val="24"/>
              </w:rPr>
            </w:pPr>
            <w:r>
              <w:rPr>
                <w:rFonts w:hint="eastAsia" w:hAnsi="宋体"/>
                <w:sz w:val="24"/>
              </w:rPr>
              <w:t>式中：Q—集气罩排风量，m</w:t>
            </w:r>
            <w:r>
              <w:rPr>
                <w:rFonts w:hint="eastAsia" w:hAnsi="宋体"/>
                <w:sz w:val="24"/>
                <w:vertAlign w:val="superscript"/>
              </w:rPr>
              <w:t>3</w:t>
            </w:r>
            <w:r>
              <w:rPr>
                <w:rFonts w:hint="eastAsia" w:hAnsi="宋体"/>
                <w:sz w:val="24"/>
              </w:rPr>
              <w:t>/s；</w:t>
            </w:r>
          </w:p>
          <w:p>
            <w:pPr>
              <w:autoSpaceDE w:val="0"/>
              <w:spacing w:line="440" w:lineRule="exact"/>
              <w:ind w:firstLine="480" w:firstLineChars="200"/>
              <w:rPr>
                <w:rFonts w:hAnsi="宋体"/>
                <w:sz w:val="24"/>
              </w:rPr>
            </w:pPr>
            <w:r>
              <w:rPr>
                <w:rFonts w:hint="eastAsia" w:hAnsi="宋体"/>
                <w:sz w:val="24"/>
              </w:rPr>
              <w:t>X—控制点到吸气口的距离，m；</w:t>
            </w:r>
          </w:p>
          <w:p>
            <w:pPr>
              <w:autoSpaceDE w:val="0"/>
              <w:spacing w:line="440" w:lineRule="exact"/>
              <w:ind w:firstLine="480" w:firstLineChars="200"/>
              <w:rPr>
                <w:rFonts w:hAnsi="宋体"/>
                <w:sz w:val="24"/>
              </w:rPr>
            </w:pPr>
            <w:r>
              <w:rPr>
                <w:rFonts w:hint="eastAsia" w:hAnsi="宋体"/>
                <w:sz w:val="24"/>
              </w:rPr>
              <w:t>F—集气罩面积，m</w:t>
            </w:r>
            <w:r>
              <w:rPr>
                <w:rFonts w:hint="eastAsia" w:hAnsi="宋体"/>
                <w:sz w:val="24"/>
                <w:vertAlign w:val="superscript"/>
              </w:rPr>
              <w:t>2</w:t>
            </w:r>
            <w:r>
              <w:rPr>
                <w:rFonts w:hint="eastAsia" w:hAnsi="宋体"/>
                <w:sz w:val="24"/>
              </w:rPr>
              <w:t>；</w:t>
            </w:r>
          </w:p>
          <w:p>
            <w:pPr>
              <w:pStyle w:val="2"/>
              <w:keepNext w:val="0"/>
              <w:widowControl/>
              <w:spacing w:before="0" w:after="0" w:line="460" w:lineRule="exact"/>
              <w:ind w:left="0" w:firstLine="480" w:firstLineChars="200"/>
              <w:rPr>
                <w:rFonts w:hAnsi="宋体" w:eastAsia="宋体"/>
                <w:b w:val="0"/>
                <w:bCs w:val="0"/>
                <w:color w:val="auto"/>
                <w:kern w:val="2"/>
                <w:sz w:val="24"/>
                <w:szCs w:val="24"/>
              </w:rPr>
            </w:pPr>
            <w:r>
              <w:rPr>
                <w:rFonts w:hint="eastAsia" w:hAnsi="宋体" w:eastAsia="宋体"/>
                <w:b w:val="0"/>
                <w:bCs w:val="0"/>
                <w:color w:val="auto"/>
                <w:kern w:val="2"/>
                <w:sz w:val="24"/>
                <w:szCs w:val="24"/>
              </w:rPr>
              <w:t>Vx—最小控制风速，m/s，以较低的初速度放散到尚属平静的空气中，一般取</w:t>
            </w:r>
            <w:r>
              <w:rPr>
                <w:rFonts w:hAnsi="宋体" w:eastAsia="宋体"/>
                <w:b w:val="0"/>
                <w:bCs w:val="0"/>
                <w:color w:val="auto"/>
                <w:kern w:val="2"/>
                <w:sz w:val="24"/>
                <w:szCs w:val="24"/>
              </w:rPr>
              <w:t>0.5</w:t>
            </w:r>
            <w:r>
              <w:rPr>
                <w:rFonts w:hint="eastAsia" w:hAnsi="宋体" w:eastAsia="宋体"/>
                <w:b w:val="0"/>
                <w:bCs w:val="0"/>
                <w:color w:val="auto"/>
                <w:kern w:val="2"/>
                <w:sz w:val="24"/>
                <w:szCs w:val="24"/>
              </w:rPr>
              <w:t>~</w:t>
            </w:r>
            <w:r>
              <w:rPr>
                <w:rFonts w:hAnsi="宋体" w:eastAsia="宋体"/>
                <w:b w:val="0"/>
                <w:bCs w:val="0"/>
                <w:color w:val="auto"/>
                <w:kern w:val="2"/>
                <w:sz w:val="24"/>
                <w:szCs w:val="24"/>
              </w:rPr>
              <w:t>1.0</w:t>
            </w:r>
            <w:r>
              <w:rPr>
                <w:rFonts w:hint="eastAsia" w:hAnsi="宋体" w:eastAsia="宋体"/>
                <w:b w:val="0"/>
                <w:bCs w:val="0"/>
                <w:color w:val="auto"/>
                <w:kern w:val="2"/>
                <w:sz w:val="24"/>
                <w:szCs w:val="24"/>
              </w:rPr>
              <w:t>m/s，本项目取</w:t>
            </w:r>
            <w:r>
              <w:rPr>
                <w:rFonts w:hAnsi="宋体" w:eastAsia="宋体"/>
                <w:b w:val="0"/>
                <w:bCs w:val="0"/>
                <w:color w:val="auto"/>
                <w:kern w:val="2"/>
                <w:sz w:val="24"/>
                <w:szCs w:val="24"/>
              </w:rPr>
              <w:t>0.8</w:t>
            </w:r>
            <w:r>
              <w:rPr>
                <w:rFonts w:hint="eastAsia" w:hAnsi="宋体" w:eastAsia="宋体"/>
                <w:b w:val="0"/>
                <w:bCs w:val="0"/>
                <w:color w:val="auto"/>
                <w:kern w:val="2"/>
                <w:sz w:val="24"/>
                <w:szCs w:val="24"/>
              </w:rPr>
              <w:t>m/s。</w:t>
            </w:r>
          </w:p>
          <w:p>
            <w:pPr>
              <w:pStyle w:val="2"/>
              <w:keepNext w:val="0"/>
              <w:widowControl/>
              <w:spacing w:before="0" w:after="0" w:line="460" w:lineRule="exact"/>
              <w:ind w:left="0" w:firstLine="480" w:firstLineChars="200"/>
              <w:rPr>
                <w:rFonts w:eastAsia="宋体"/>
                <w:b w:val="0"/>
                <w:bCs w:val="0"/>
                <w:color w:val="auto"/>
                <w:sz w:val="24"/>
                <w:szCs w:val="24"/>
              </w:rPr>
            </w:pPr>
            <w:r>
              <w:rPr>
                <w:rFonts w:hint="eastAsia" w:eastAsia="宋体"/>
                <w:b w:val="0"/>
                <w:bCs w:val="0"/>
                <w:color w:val="auto"/>
                <w:sz w:val="24"/>
              </w:rPr>
              <w:t>正常生产时集气罩距无组织废气散发点距离（x）可控制在0.2m；集气罩尺寸按</w:t>
            </w:r>
            <w:r>
              <w:rPr>
                <w:rFonts w:eastAsia="宋体"/>
                <w:b w:val="0"/>
                <w:bCs w:val="0"/>
                <w:color w:val="auto"/>
                <w:sz w:val="24"/>
              </w:rPr>
              <w:t>1.2</w:t>
            </w:r>
            <w:r>
              <w:rPr>
                <w:rFonts w:hint="eastAsia" w:eastAsia="宋体"/>
                <w:b w:val="0"/>
                <w:bCs w:val="0"/>
                <w:color w:val="auto"/>
                <w:sz w:val="24"/>
              </w:rPr>
              <w:t>*</w:t>
            </w:r>
            <w:r>
              <w:rPr>
                <w:rFonts w:eastAsia="宋体"/>
                <w:b w:val="0"/>
                <w:bCs w:val="0"/>
                <w:color w:val="auto"/>
                <w:sz w:val="24"/>
              </w:rPr>
              <w:t>1.2</w:t>
            </w:r>
            <w:r>
              <w:rPr>
                <w:rFonts w:hint="eastAsia" w:eastAsia="宋体"/>
                <w:b w:val="0"/>
                <w:bCs w:val="0"/>
                <w:color w:val="auto"/>
                <w:sz w:val="24"/>
              </w:rPr>
              <w:t>m，则面积（F）约</w:t>
            </w:r>
            <w:r>
              <w:rPr>
                <w:rFonts w:eastAsia="宋体"/>
                <w:b w:val="0"/>
                <w:bCs w:val="0"/>
                <w:color w:val="auto"/>
                <w:sz w:val="24"/>
              </w:rPr>
              <w:t>1.44</w:t>
            </w:r>
            <w:r>
              <w:rPr>
                <w:rFonts w:hAnsi="宋体" w:eastAsia="宋体"/>
                <w:b w:val="0"/>
                <w:bCs w:val="0"/>
                <w:color w:val="auto"/>
                <w:sz w:val="24"/>
              </w:rPr>
              <w:t>m</w:t>
            </w:r>
            <w:r>
              <w:rPr>
                <w:rFonts w:hAnsi="宋体" w:eastAsia="宋体"/>
                <w:b w:val="0"/>
                <w:bCs w:val="0"/>
                <w:color w:val="auto"/>
                <w:sz w:val="24"/>
                <w:vertAlign w:val="superscript"/>
              </w:rPr>
              <w:t>2</w:t>
            </w:r>
            <w:r>
              <w:rPr>
                <w:rFonts w:hint="eastAsia" w:hAnsi="宋体" w:eastAsia="宋体"/>
                <w:b w:val="0"/>
                <w:bCs w:val="0"/>
                <w:color w:val="auto"/>
                <w:sz w:val="24"/>
              </w:rPr>
              <w:t>；控制点吸入风速（Vx）取0.</w:t>
            </w:r>
            <w:r>
              <w:rPr>
                <w:rFonts w:hAnsi="宋体" w:eastAsia="宋体"/>
                <w:b w:val="0"/>
                <w:bCs w:val="0"/>
                <w:color w:val="auto"/>
                <w:sz w:val="24"/>
              </w:rPr>
              <w:t>8m/s；</w:t>
            </w:r>
            <w:r>
              <w:rPr>
                <w:rFonts w:hint="eastAsia" w:hAnsi="宋体" w:eastAsia="宋体"/>
                <w:b w:val="0"/>
                <w:bCs w:val="0"/>
                <w:color w:val="auto"/>
                <w:sz w:val="24"/>
              </w:rPr>
              <w:t>计算得单个集气罩要求的最小风量为1</w:t>
            </w:r>
            <w:r>
              <w:rPr>
                <w:rFonts w:hAnsi="宋体" w:eastAsia="宋体"/>
                <w:b w:val="0"/>
                <w:bCs w:val="0"/>
                <w:color w:val="auto"/>
                <w:sz w:val="24"/>
              </w:rPr>
              <w:t>.47m</w:t>
            </w:r>
            <w:r>
              <w:rPr>
                <w:rFonts w:hAnsi="宋体" w:eastAsia="宋体"/>
                <w:b w:val="0"/>
                <w:bCs w:val="0"/>
                <w:color w:val="auto"/>
                <w:sz w:val="24"/>
                <w:vertAlign w:val="superscript"/>
              </w:rPr>
              <w:t>3</w:t>
            </w:r>
            <w:r>
              <w:rPr>
                <w:rFonts w:hAnsi="宋体" w:eastAsia="宋体"/>
                <w:b w:val="0"/>
                <w:bCs w:val="0"/>
                <w:color w:val="auto"/>
                <w:sz w:val="24"/>
              </w:rPr>
              <w:t>/s</w:t>
            </w:r>
            <w:r>
              <w:rPr>
                <w:rFonts w:hint="eastAsia" w:hAnsi="宋体" w:eastAsia="宋体"/>
                <w:b w:val="0"/>
                <w:bCs w:val="0"/>
                <w:color w:val="auto"/>
                <w:sz w:val="24"/>
              </w:rPr>
              <w:t>，2个集气罩总风量需要</w:t>
            </w:r>
            <w:r>
              <w:rPr>
                <w:rFonts w:hAnsi="宋体" w:eastAsia="宋体"/>
                <w:b w:val="0"/>
                <w:bCs w:val="0"/>
                <w:color w:val="auto"/>
                <w:sz w:val="24"/>
              </w:rPr>
              <w:t>10598.4m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h，项目拟设置风机风量</w:t>
            </w:r>
            <w:r>
              <w:rPr>
                <w:rFonts w:hAnsi="宋体" w:eastAsia="宋体"/>
                <w:b w:val="0"/>
                <w:bCs w:val="0"/>
                <w:color w:val="auto"/>
                <w:sz w:val="24"/>
              </w:rPr>
              <w:t>12000m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w:t>
            </w:r>
          </w:p>
          <w:p>
            <w:pPr>
              <w:pStyle w:val="45"/>
              <w:spacing w:after="60"/>
              <w:rPr>
                <w:rFonts w:ascii="Times New Roman" w:hAnsi="Times New Roman"/>
                <w:sz w:val="18"/>
                <w:szCs w:val="18"/>
              </w:rPr>
            </w:pPr>
            <w:r>
              <w:rPr>
                <w:rFonts w:ascii="Times New Roman" w:hAnsi="Times New Roman"/>
                <w:sz w:val="18"/>
                <w:szCs w:val="18"/>
              </w:rPr>
              <w:t xml:space="preserve">表4.2.1-4  </w:t>
            </w:r>
            <w:r>
              <w:rPr>
                <w:rFonts w:hint="eastAsia" w:ascii="Times New Roman" w:hAnsi="Times New Roman"/>
                <w:kern w:val="0"/>
                <w:sz w:val="18"/>
                <w:szCs w:val="18"/>
              </w:rPr>
              <w:t>切割粉尘</w:t>
            </w:r>
            <w:r>
              <w:rPr>
                <w:rFonts w:ascii="Times New Roman" w:hAnsi="Times New Roman"/>
                <w:sz w:val="18"/>
                <w:szCs w:val="18"/>
              </w:rPr>
              <w:t>产生和排放一览表</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5"/>
              <w:gridCol w:w="708"/>
              <w:gridCol w:w="426"/>
              <w:gridCol w:w="708"/>
              <w:gridCol w:w="709"/>
              <w:gridCol w:w="709"/>
              <w:gridCol w:w="1208"/>
              <w:gridCol w:w="776"/>
              <w:gridCol w:w="709"/>
              <w:gridCol w:w="567"/>
              <w:gridCol w:w="709"/>
              <w:gridCol w:w="5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restart"/>
                  <w:shd w:val="clear" w:color="auto" w:fill="auto"/>
                  <w:vAlign w:val="center"/>
                </w:tcPr>
                <w:p>
                  <w:pPr>
                    <w:widowControl/>
                    <w:jc w:val="center"/>
                    <w:rPr>
                      <w:kern w:val="0"/>
                      <w:sz w:val="18"/>
                      <w:szCs w:val="18"/>
                    </w:rPr>
                  </w:pPr>
                  <w:r>
                    <w:rPr>
                      <w:kern w:val="0"/>
                      <w:sz w:val="18"/>
                      <w:szCs w:val="18"/>
                    </w:rPr>
                    <w:t>污染源</w:t>
                  </w:r>
                </w:p>
              </w:tc>
              <w:tc>
                <w:tcPr>
                  <w:tcW w:w="708" w:type="dxa"/>
                  <w:vMerge w:val="restart"/>
                  <w:shd w:val="clear" w:color="auto" w:fill="auto"/>
                  <w:vAlign w:val="center"/>
                </w:tcPr>
                <w:p>
                  <w:pPr>
                    <w:widowControl/>
                    <w:jc w:val="center"/>
                    <w:rPr>
                      <w:kern w:val="0"/>
                      <w:sz w:val="18"/>
                      <w:szCs w:val="18"/>
                    </w:rPr>
                  </w:pPr>
                  <w:r>
                    <w:rPr>
                      <w:kern w:val="0"/>
                      <w:sz w:val="18"/>
                      <w:szCs w:val="18"/>
                    </w:rPr>
                    <w:t>废气量（m</w:t>
                  </w:r>
                  <w:r>
                    <w:rPr>
                      <w:kern w:val="0"/>
                      <w:sz w:val="18"/>
                      <w:szCs w:val="18"/>
                      <w:vertAlign w:val="superscript"/>
                    </w:rPr>
                    <w:t>3</w:t>
                  </w:r>
                  <w:r>
                    <w:rPr>
                      <w:kern w:val="0"/>
                      <w:sz w:val="18"/>
                      <w:szCs w:val="18"/>
                    </w:rPr>
                    <w:t>/h）</w:t>
                  </w:r>
                </w:p>
              </w:tc>
              <w:tc>
                <w:tcPr>
                  <w:tcW w:w="426" w:type="dxa"/>
                  <w:vMerge w:val="restart"/>
                  <w:shd w:val="clear" w:color="auto" w:fill="auto"/>
                  <w:vAlign w:val="center"/>
                </w:tcPr>
                <w:p>
                  <w:pPr>
                    <w:widowControl/>
                    <w:jc w:val="center"/>
                    <w:rPr>
                      <w:kern w:val="0"/>
                      <w:sz w:val="18"/>
                      <w:szCs w:val="18"/>
                    </w:rPr>
                  </w:pPr>
                  <w:r>
                    <w:rPr>
                      <w:kern w:val="0"/>
                      <w:sz w:val="18"/>
                      <w:szCs w:val="18"/>
                    </w:rPr>
                    <w:t>污染物</w:t>
                  </w:r>
                </w:p>
              </w:tc>
              <w:tc>
                <w:tcPr>
                  <w:tcW w:w="2126" w:type="dxa"/>
                  <w:gridSpan w:val="3"/>
                  <w:shd w:val="clear" w:color="auto" w:fill="auto"/>
                  <w:vAlign w:val="center"/>
                </w:tcPr>
                <w:p>
                  <w:pPr>
                    <w:widowControl/>
                    <w:jc w:val="center"/>
                    <w:rPr>
                      <w:kern w:val="0"/>
                      <w:sz w:val="18"/>
                      <w:szCs w:val="18"/>
                    </w:rPr>
                  </w:pPr>
                  <w:r>
                    <w:rPr>
                      <w:kern w:val="0"/>
                      <w:sz w:val="18"/>
                      <w:szCs w:val="18"/>
                    </w:rPr>
                    <w:t>产生情况</w:t>
                  </w:r>
                </w:p>
              </w:tc>
              <w:tc>
                <w:tcPr>
                  <w:tcW w:w="1208" w:type="dxa"/>
                  <w:vMerge w:val="restart"/>
                  <w:shd w:val="clear" w:color="auto" w:fill="auto"/>
                  <w:vAlign w:val="center"/>
                </w:tcPr>
                <w:p>
                  <w:pPr>
                    <w:widowControl/>
                    <w:jc w:val="center"/>
                    <w:rPr>
                      <w:kern w:val="0"/>
                      <w:sz w:val="18"/>
                      <w:szCs w:val="18"/>
                    </w:rPr>
                  </w:pPr>
                  <w:r>
                    <w:rPr>
                      <w:kern w:val="0"/>
                      <w:sz w:val="18"/>
                      <w:szCs w:val="18"/>
                    </w:rPr>
                    <w:t>处理措施</w:t>
                  </w:r>
                </w:p>
              </w:tc>
              <w:tc>
                <w:tcPr>
                  <w:tcW w:w="3295" w:type="dxa"/>
                  <w:gridSpan w:val="5"/>
                  <w:shd w:val="clear" w:color="auto" w:fill="auto"/>
                  <w:vAlign w:val="center"/>
                </w:tcPr>
                <w:p>
                  <w:pPr>
                    <w:widowControl/>
                    <w:jc w:val="center"/>
                    <w:rPr>
                      <w:kern w:val="0"/>
                      <w:sz w:val="18"/>
                      <w:szCs w:val="18"/>
                    </w:rPr>
                  </w:pPr>
                  <w:r>
                    <w:rPr>
                      <w:kern w:val="0"/>
                      <w:sz w:val="18"/>
                      <w:szCs w:val="18"/>
                    </w:rPr>
                    <w:t>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restart"/>
                  <w:shd w:val="clear" w:color="auto" w:fill="auto"/>
                  <w:vAlign w:val="center"/>
                </w:tcPr>
                <w:p>
                  <w:pPr>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vMerge w:val="restart"/>
                  <w:shd w:val="clear" w:color="auto" w:fill="auto"/>
                  <w:vAlign w:val="center"/>
                </w:tcPr>
                <w:p>
                  <w:pPr>
                    <w:jc w:val="center"/>
                    <w:rPr>
                      <w:kern w:val="0"/>
                      <w:sz w:val="18"/>
                      <w:szCs w:val="18"/>
                    </w:rPr>
                  </w:pPr>
                  <w:r>
                    <w:rPr>
                      <w:kern w:val="0"/>
                      <w:sz w:val="18"/>
                      <w:szCs w:val="18"/>
                    </w:rPr>
                    <w:t>速率(kg/h)</w:t>
                  </w:r>
                </w:p>
              </w:tc>
              <w:tc>
                <w:tcPr>
                  <w:tcW w:w="709" w:type="dxa"/>
                  <w:vMerge w:val="restart"/>
                  <w:shd w:val="clear" w:color="auto" w:fill="auto"/>
                  <w:vAlign w:val="center"/>
                </w:tcPr>
                <w:p>
                  <w:pPr>
                    <w:jc w:val="center"/>
                    <w:rPr>
                      <w:kern w:val="0"/>
                      <w:sz w:val="18"/>
                      <w:szCs w:val="18"/>
                    </w:rPr>
                  </w:pPr>
                  <w:r>
                    <w:rPr>
                      <w:kern w:val="0"/>
                      <w:sz w:val="18"/>
                      <w:szCs w:val="18"/>
                    </w:rPr>
                    <w:t>产生(t/a)</w:t>
                  </w:r>
                </w:p>
              </w:tc>
              <w:tc>
                <w:tcPr>
                  <w:tcW w:w="1208" w:type="dxa"/>
                  <w:vMerge w:val="continue"/>
                  <w:vAlign w:val="center"/>
                </w:tcPr>
                <w:p>
                  <w:pPr>
                    <w:widowControl/>
                    <w:jc w:val="left"/>
                    <w:rPr>
                      <w:kern w:val="0"/>
                      <w:sz w:val="18"/>
                      <w:szCs w:val="18"/>
                    </w:rPr>
                  </w:pPr>
                </w:p>
              </w:tc>
              <w:tc>
                <w:tcPr>
                  <w:tcW w:w="2052" w:type="dxa"/>
                  <w:gridSpan w:val="3"/>
                  <w:shd w:val="clear" w:color="auto" w:fill="auto"/>
                  <w:vAlign w:val="center"/>
                </w:tcPr>
                <w:p>
                  <w:pPr>
                    <w:widowControl/>
                    <w:jc w:val="center"/>
                    <w:rPr>
                      <w:kern w:val="0"/>
                      <w:sz w:val="18"/>
                      <w:szCs w:val="18"/>
                    </w:rPr>
                  </w:pPr>
                  <w:r>
                    <w:rPr>
                      <w:kern w:val="0"/>
                      <w:sz w:val="18"/>
                      <w:szCs w:val="18"/>
                    </w:rPr>
                    <w:t>有组织</w:t>
                  </w:r>
                </w:p>
              </w:tc>
              <w:tc>
                <w:tcPr>
                  <w:tcW w:w="1243" w:type="dxa"/>
                  <w:gridSpan w:val="2"/>
                  <w:shd w:val="clear" w:color="auto" w:fill="auto"/>
                  <w:vAlign w:val="center"/>
                </w:tcPr>
                <w:p>
                  <w:pPr>
                    <w:widowControl/>
                    <w:jc w:val="center"/>
                    <w:rPr>
                      <w:kern w:val="0"/>
                      <w:sz w:val="18"/>
                      <w:szCs w:val="18"/>
                    </w:rPr>
                  </w:pPr>
                  <w:r>
                    <w:rPr>
                      <w:kern w:val="0"/>
                      <w:sz w:val="18"/>
                      <w:szCs w:val="18"/>
                    </w:rPr>
                    <w:t>无组织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1208" w:type="dxa"/>
                  <w:vMerge w:val="continue"/>
                  <w:vAlign w:val="center"/>
                </w:tcPr>
                <w:p>
                  <w:pPr>
                    <w:widowControl/>
                    <w:jc w:val="left"/>
                    <w:rPr>
                      <w:kern w:val="0"/>
                      <w:sz w:val="18"/>
                      <w:szCs w:val="18"/>
                    </w:rPr>
                  </w:pPr>
                </w:p>
              </w:tc>
              <w:tc>
                <w:tcPr>
                  <w:tcW w:w="776" w:type="dxa"/>
                  <w:shd w:val="clear" w:color="auto" w:fill="auto"/>
                  <w:vAlign w:val="center"/>
                </w:tcPr>
                <w:p>
                  <w:pPr>
                    <w:widowControl/>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67" w:type="dxa"/>
                  <w:shd w:val="clear" w:color="auto" w:fill="auto"/>
                  <w:vAlign w:val="center"/>
                </w:tcPr>
                <w:p>
                  <w:pPr>
                    <w:widowControl/>
                    <w:jc w:val="center"/>
                    <w:rPr>
                      <w:kern w:val="0"/>
                      <w:sz w:val="18"/>
                      <w:szCs w:val="18"/>
                    </w:rPr>
                  </w:pPr>
                  <w:r>
                    <w:rPr>
                      <w:kern w:val="0"/>
                      <w:sz w:val="18"/>
                      <w:szCs w:val="18"/>
                    </w:rPr>
                    <w:t>排放(t/a)</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34" w:type="dxa"/>
                  <w:shd w:val="clear" w:color="auto" w:fill="auto"/>
                  <w:vAlign w:val="center"/>
                </w:tcPr>
                <w:p>
                  <w:pPr>
                    <w:widowControl/>
                    <w:jc w:val="center"/>
                    <w:rPr>
                      <w:kern w:val="0"/>
                      <w:sz w:val="18"/>
                      <w:szCs w:val="18"/>
                    </w:rPr>
                  </w:pPr>
                  <w:r>
                    <w:rPr>
                      <w:kern w:val="0"/>
                      <w:sz w:val="18"/>
                      <w:szCs w:val="18"/>
                    </w:rPr>
                    <w:t>排放(t/a)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08" w:hRule="atLeast"/>
              </w:trPr>
              <w:tc>
                <w:tcPr>
                  <w:tcW w:w="465" w:type="dxa"/>
                  <w:shd w:val="clear" w:color="auto" w:fill="auto"/>
                  <w:vAlign w:val="center"/>
                </w:tcPr>
                <w:p>
                  <w:pPr>
                    <w:widowControl/>
                    <w:jc w:val="center"/>
                    <w:rPr>
                      <w:kern w:val="0"/>
                      <w:sz w:val="18"/>
                      <w:szCs w:val="18"/>
                    </w:rPr>
                  </w:pPr>
                  <w:r>
                    <w:rPr>
                      <w:rFonts w:hint="eastAsia"/>
                      <w:kern w:val="0"/>
                      <w:sz w:val="18"/>
                      <w:szCs w:val="18"/>
                    </w:rPr>
                    <w:t>切割粉尘</w:t>
                  </w:r>
                </w:p>
              </w:tc>
              <w:tc>
                <w:tcPr>
                  <w:tcW w:w="708" w:type="dxa"/>
                  <w:shd w:val="clear" w:color="auto" w:fill="auto"/>
                  <w:vAlign w:val="center"/>
                </w:tcPr>
                <w:p>
                  <w:pPr>
                    <w:widowControl/>
                    <w:jc w:val="center"/>
                    <w:rPr>
                      <w:kern w:val="0"/>
                      <w:sz w:val="18"/>
                      <w:szCs w:val="18"/>
                    </w:rPr>
                  </w:pPr>
                  <w:r>
                    <w:rPr>
                      <w:kern w:val="0"/>
                      <w:sz w:val="18"/>
                      <w:szCs w:val="18"/>
                    </w:rPr>
                    <w:t>12000</w:t>
                  </w:r>
                </w:p>
              </w:tc>
              <w:tc>
                <w:tcPr>
                  <w:tcW w:w="426" w:type="dxa"/>
                  <w:shd w:val="clear" w:color="auto" w:fill="auto"/>
                  <w:vAlign w:val="center"/>
                </w:tcPr>
                <w:p>
                  <w:pPr>
                    <w:widowControl/>
                    <w:jc w:val="center"/>
                    <w:rPr>
                      <w:kern w:val="0"/>
                      <w:sz w:val="18"/>
                      <w:szCs w:val="18"/>
                    </w:rPr>
                  </w:pPr>
                  <w:r>
                    <w:rPr>
                      <w:rFonts w:hint="eastAsia"/>
                      <w:kern w:val="0"/>
                      <w:sz w:val="18"/>
                      <w:szCs w:val="18"/>
                    </w:rPr>
                    <w:t>颗粒物</w:t>
                  </w:r>
                </w:p>
              </w:tc>
              <w:tc>
                <w:tcPr>
                  <w:tcW w:w="708" w:type="dxa"/>
                  <w:shd w:val="clear" w:color="auto" w:fill="auto"/>
                  <w:vAlign w:val="center"/>
                </w:tcPr>
                <w:p>
                  <w:pPr>
                    <w:widowControl/>
                    <w:jc w:val="center"/>
                    <w:rPr>
                      <w:kern w:val="0"/>
                      <w:sz w:val="18"/>
                      <w:szCs w:val="18"/>
                    </w:rPr>
                  </w:pPr>
                  <w:r>
                    <w:rPr>
                      <w:sz w:val="18"/>
                      <w:szCs w:val="18"/>
                    </w:rPr>
                    <w:t>475</w:t>
                  </w:r>
                </w:p>
              </w:tc>
              <w:tc>
                <w:tcPr>
                  <w:tcW w:w="709" w:type="dxa"/>
                  <w:shd w:val="clear" w:color="auto" w:fill="auto"/>
                  <w:vAlign w:val="center"/>
                </w:tcPr>
                <w:p>
                  <w:pPr>
                    <w:widowControl/>
                    <w:jc w:val="center"/>
                    <w:rPr>
                      <w:kern w:val="0"/>
                      <w:sz w:val="18"/>
                      <w:szCs w:val="18"/>
                    </w:rPr>
                  </w:pPr>
                  <w:r>
                    <w:rPr>
                      <w:sz w:val="18"/>
                      <w:szCs w:val="18"/>
                    </w:rPr>
                    <w:t>5.7</w:t>
                  </w:r>
                </w:p>
              </w:tc>
              <w:tc>
                <w:tcPr>
                  <w:tcW w:w="709" w:type="dxa"/>
                  <w:shd w:val="clear" w:color="auto" w:fill="auto"/>
                  <w:vAlign w:val="center"/>
                </w:tcPr>
                <w:p>
                  <w:pPr>
                    <w:widowControl/>
                    <w:jc w:val="center"/>
                    <w:rPr>
                      <w:kern w:val="0"/>
                      <w:sz w:val="18"/>
                      <w:szCs w:val="18"/>
                    </w:rPr>
                  </w:pPr>
                  <w:r>
                    <w:rPr>
                      <w:sz w:val="18"/>
                      <w:szCs w:val="18"/>
                    </w:rPr>
                    <w:t xml:space="preserve">5.64 </w:t>
                  </w:r>
                </w:p>
              </w:tc>
              <w:tc>
                <w:tcPr>
                  <w:tcW w:w="1208" w:type="dxa"/>
                  <w:shd w:val="clear" w:color="auto" w:fill="auto"/>
                  <w:vAlign w:val="center"/>
                </w:tcPr>
                <w:p>
                  <w:pPr>
                    <w:widowControl/>
                    <w:jc w:val="center"/>
                    <w:rPr>
                      <w:kern w:val="0"/>
                      <w:sz w:val="18"/>
                      <w:szCs w:val="18"/>
                    </w:rPr>
                  </w:pPr>
                  <w:r>
                    <w:rPr>
                      <w:kern w:val="0"/>
                      <w:sz w:val="18"/>
                      <w:szCs w:val="18"/>
                    </w:rPr>
                    <w:t>集气罩收集（收集效率80%）后经布袋除尘器处理后（处理效率取95%）有组织排放</w:t>
                  </w:r>
                </w:p>
              </w:tc>
              <w:tc>
                <w:tcPr>
                  <w:tcW w:w="776" w:type="dxa"/>
                  <w:shd w:val="clear" w:color="auto" w:fill="auto"/>
                  <w:vAlign w:val="center"/>
                </w:tcPr>
                <w:p>
                  <w:pPr>
                    <w:widowControl/>
                    <w:jc w:val="center"/>
                    <w:rPr>
                      <w:kern w:val="0"/>
                      <w:sz w:val="18"/>
                      <w:szCs w:val="18"/>
                    </w:rPr>
                  </w:pPr>
                  <w:r>
                    <w:rPr>
                      <w:sz w:val="18"/>
                      <w:szCs w:val="18"/>
                    </w:rPr>
                    <w:t>19.17</w:t>
                  </w:r>
                </w:p>
              </w:tc>
              <w:tc>
                <w:tcPr>
                  <w:tcW w:w="709" w:type="dxa"/>
                  <w:shd w:val="clear" w:color="auto" w:fill="auto"/>
                  <w:vAlign w:val="center"/>
                </w:tcPr>
                <w:p>
                  <w:pPr>
                    <w:widowControl/>
                    <w:jc w:val="center"/>
                    <w:rPr>
                      <w:kern w:val="0"/>
                      <w:sz w:val="18"/>
                      <w:szCs w:val="18"/>
                    </w:rPr>
                  </w:pPr>
                  <w:r>
                    <w:rPr>
                      <w:sz w:val="18"/>
                      <w:szCs w:val="18"/>
                    </w:rPr>
                    <w:t>0.23</w:t>
                  </w:r>
                </w:p>
              </w:tc>
              <w:tc>
                <w:tcPr>
                  <w:tcW w:w="567" w:type="dxa"/>
                  <w:shd w:val="clear" w:color="auto" w:fill="auto"/>
                  <w:vAlign w:val="center"/>
                </w:tcPr>
                <w:p>
                  <w:pPr>
                    <w:widowControl/>
                    <w:jc w:val="center"/>
                    <w:rPr>
                      <w:kern w:val="0"/>
                      <w:sz w:val="18"/>
                      <w:szCs w:val="18"/>
                    </w:rPr>
                  </w:pPr>
                  <w:r>
                    <w:rPr>
                      <w:sz w:val="18"/>
                      <w:szCs w:val="18"/>
                    </w:rPr>
                    <w:t>0.23</w:t>
                  </w:r>
                </w:p>
              </w:tc>
              <w:tc>
                <w:tcPr>
                  <w:tcW w:w="709" w:type="dxa"/>
                  <w:shd w:val="clear" w:color="auto" w:fill="auto"/>
                  <w:vAlign w:val="center"/>
                </w:tcPr>
                <w:p>
                  <w:pPr>
                    <w:widowControl/>
                    <w:jc w:val="center"/>
                    <w:rPr>
                      <w:kern w:val="0"/>
                      <w:sz w:val="18"/>
                      <w:szCs w:val="18"/>
                    </w:rPr>
                  </w:pPr>
                  <w:r>
                    <w:rPr>
                      <w:sz w:val="18"/>
                      <w:szCs w:val="18"/>
                    </w:rPr>
                    <w:t>1.14</w:t>
                  </w:r>
                </w:p>
              </w:tc>
              <w:tc>
                <w:tcPr>
                  <w:tcW w:w="534" w:type="dxa"/>
                  <w:shd w:val="clear" w:color="auto" w:fill="auto"/>
                  <w:vAlign w:val="center"/>
                </w:tcPr>
                <w:p>
                  <w:pPr>
                    <w:widowControl/>
                    <w:jc w:val="center"/>
                    <w:rPr>
                      <w:kern w:val="0"/>
                      <w:sz w:val="18"/>
                      <w:szCs w:val="18"/>
                    </w:rPr>
                  </w:pPr>
                  <w:r>
                    <w:rPr>
                      <w:sz w:val="18"/>
                      <w:szCs w:val="18"/>
                    </w:rPr>
                    <w:t>1.13</w:t>
                  </w:r>
                </w:p>
              </w:tc>
            </w:tr>
          </w:tbl>
          <w:p>
            <w:pPr>
              <w:pStyle w:val="128"/>
              <w:ind w:firstLine="480"/>
              <w:rPr>
                <w:rFonts w:cs="Times New Roman"/>
                <w:bCs/>
                <w:szCs w:val="24"/>
              </w:rPr>
            </w:pPr>
            <w:r>
              <w:rPr>
                <w:rFonts w:hint="eastAsia" w:cs="Times New Roman"/>
                <w:bCs/>
                <w:szCs w:val="24"/>
              </w:rPr>
              <w:t>（5）破碎粉尘</w:t>
            </w:r>
          </w:p>
          <w:p>
            <w:pPr>
              <w:pStyle w:val="128"/>
              <w:ind w:firstLine="480"/>
              <w:rPr>
                <w:rFonts w:cs="Times New Roman"/>
                <w:bCs/>
                <w:szCs w:val="24"/>
              </w:rPr>
            </w:pPr>
            <w:r>
              <w:rPr>
                <w:rFonts w:hint="eastAsia" w:cs="Times New Roman"/>
                <w:bCs/>
                <w:szCs w:val="24"/>
              </w:rPr>
              <w:t>项目设置有一条破碎生产线，对拆解下来的废金属进行集中破碎，在破碎过程中会产生一定量的粉尘。</w:t>
            </w:r>
          </w:p>
          <w:p>
            <w:pPr>
              <w:autoSpaceDE w:val="0"/>
              <w:autoSpaceDN w:val="0"/>
              <w:adjustRightInd w:val="0"/>
              <w:spacing w:line="360" w:lineRule="auto"/>
              <w:ind w:firstLine="480" w:firstLineChars="200"/>
              <w:rPr>
                <w:bCs/>
                <w:sz w:val="24"/>
              </w:rPr>
            </w:pPr>
            <w:r>
              <w:rPr>
                <w:rFonts w:hint="eastAsia"/>
                <w:bCs/>
                <w:sz w:val="24"/>
              </w:rPr>
              <w:t>本项目破碎的废金属总量为51277.5t/a，根据</w:t>
            </w:r>
            <w:r>
              <w:rPr>
                <w:bCs/>
                <w:sz w:val="24"/>
              </w:rPr>
              <w:t>《排放源统计调查产排污核算方法和系数手册</w:t>
            </w:r>
            <w:r>
              <w:rPr>
                <w:rFonts w:hint="eastAsia"/>
                <w:bCs/>
                <w:sz w:val="24"/>
              </w:rPr>
              <w:t xml:space="preserve"> </w:t>
            </w:r>
            <w:r>
              <w:rPr>
                <w:bCs/>
                <w:sz w:val="24"/>
              </w:rPr>
              <w:t>42</w:t>
            </w:r>
            <w:r>
              <w:rPr>
                <w:rFonts w:hint="eastAsia"/>
                <w:bCs/>
                <w:sz w:val="24"/>
              </w:rPr>
              <w:t>废弃资源综合利用行业系数手册</w:t>
            </w:r>
            <w:r>
              <w:rPr>
                <w:bCs/>
                <w:sz w:val="24"/>
              </w:rPr>
              <w:t>》</w:t>
            </w:r>
            <w:r>
              <w:rPr>
                <w:rFonts w:hint="eastAsia"/>
                <w:bCs/>
                <w:sz w:val="24"/>
              </w:rPr>
              <w:t>，钢铁废碎料切割过程中颗粒物产污系数为</w:t>
            </w:r>
            <w:r>
              <w:rPr>
                <w:bCs/>
                <w:sz w:val="24"/>
              </w:rPr>
              <w:t>360</w:t>
            </w:r>
            <w:r>
              <w:rPr>
                <w:rFonts w:hint="eastAsia"/>
                <w:bCs/>
                <w:sz w:val="24"/>
              </w:rPr>
              <w:t>克/吨-原料，参照此系数，则破碎粉尘产生量为</w:t>
            </w:r>
            <w:r>
              <w:rPr>
                <w:bCs/>
                <w:sz w:val="24"/>
              </w:rPr>
              <w:t>18.46</w:t>
            </w:r>
            <w:r>
              <w:rPr>
                <w:rFonts w:hint="eastAsia"/>
                <w:bCs/>
                <w:sz w:val="24"/>
              </w:rPr>
              <w:t>t/a。</w:t>
            </w:r>
          </w:p>
          <w:p>
            <w:pPr>
              <w:pStyle w:val="128"/>
              <w:spacing w:line="480" w:lineRule="exact"/>
              <w:ind w:firstLine="480"/>
            </w:pPr>
            <w:r>
              <w:rPr>
                <w:rFonts w:hint="eastAsia"/>
              </w:rPr>
              <w:t xml:space="preserve">本项目对废钢破碎生产机有颗粒物产生的岗位进行固定操作，并在岗位上方分别设置集气罩，收集率按 </w:t>
            </w:r>
            <w:r>
              <w:t>8</w:t>
            </w:r>
            <w:r>
              <w:rPr>
                <w:rFonts w:hint="eastAsia"/>
              </w:rPr>
              <w:t>0%计，收集后的废气经布袋除尘器处理后，通过15m的</w:t>
            </w:r>
            <w:r>
              <w:t>3</w:t>
            </w:r>
            <w:r>
              <w:rPr>
                <w:rFonts w:hint="eastAsia"/>
              </w:rPr>
              <w:t>#排气筒（DA00</w:t>
            </w:r>
            <w:r>
              <w:t>3</w:t>
            </w:r>
            <w:r>
              <w:rPr>
                <w:rFonts w:hint="eastAsia"/>
              </w:rPr>
              <w:t>）排放，设计风机风量为</w:t>
            </w:r>
            <w:r>
              <w:t>8</w:t>
            </w:r>
            <w:r>
              <w:rPr>
                <w:rFonts w:hint="eastAsia"/>
              </w:rPr>
              <w:t>000m</w:t>
            </w:r>
            <w:r>
              <w:rPr>
                <w:rFonts w:hint="eastAsia"/>
                <w:vertAlign w:val="superscript"/>
              </w:rPr>
              <w:t>3</w:t>
            </w:r>
            <w:r>
              <w:rPr>
                <w:rFonts w:hint="eastAsia"/>
              </w:rPr>
              <w:t>/h，去除效率按</w:t>
            </w:r>
            <w:r>
              <w:t>95</w:t>
            </w:r>
            <w:r>
              <w:rPr>
                <w:rFonts w:hint="eastAsia"/>
              </w:rPr>
              <w:t>%计，该工序生产工作时间约</w:t>
            </w:r>
            <w:r>
              <w:t>1980</w:t>
            </w:r>
            <w:r>
              <w:rPr>
                <w:rFonts w:hint="eastAsia"/>
              </w:rPr>
              <w:t>h/a。则有组织最终有机废气排放量为</w:t>
            </w:r>
            <w:r>
              <w:t>0.74</w:t>
            </w:r>
            <w:r>
              <w:rPr>
                <w:rFonts w:hint="eastAsia"/>
              </w:rPr>
              <w:t>t/a，排放速率为0.</w:t>
            </w:r>
            <w:r>
              <w:t>37</w:t>
            </w:r>
            <w:r>
              <w:rPr>
                <w:rFonts w:hint="eastAsia"/>
              </w:rPr>
              <w:t>kg/h。无组织废气排放量为</w:t>
            </w:r>
            <w:r>
              <w:t>3.69</w:t>
            </w:r>
            <w:r>
              <w:rPr>
                <w:rFonts w:hint="eastAsia"/>
              </w:rPr>
              <w:t>t/a，排放速率为</w:t>
            </w:r>
            <w:r>
              <w:t>1.86</w:t>
            </w:r>
            <w:r>
              <w:rPr>
                <w:rFonts w:hint="eastAsia"/>
              </w:rPr>
              <w:t>kg/h。</w:t>
            </w:r>
          </w:p>
          <w:p>
            <w:pPr>
              <w:pStyle w:val="125"/>
              <w:spacing w:line="480" w:lineRule="exact"/>
              <w:ind w:firstLine="480"/>
              <w:rPr>
                <w:rFonts w:hAnsi="宋体"/>
                <w:bCs w:val="0"/>
              </w:rPr>
            </w:pPr>
            <w:r>
              <w:rPr>
                <w:rFonts w:hint="eastAsia" w:hAnsi="宋体"/>
                <w:bCs w:val="0"/>
              </w:rPr>
              <w:t>项目采用</w:t>
            </w:r>
            <w:r>
              <w:rPr>
                <w:rFonts w:hint="eastAsia"/>
              </w:rPr>
              <w:t>废钢破碎生产机</w:t>
            </w:r>
            <w:r>
              <w:rPr>
                <w:rFonts w:hint="eastAsia"/>
                <w:kern w:val="0"/>
              </w:rPr>
              <w:t>设备及工位</w:t>
            </w:r>
            <w:r>
              <w:rPr>
                <w:kern w:val="0"/>
              </w:rPr>
              <w:t>上方设置集气罩</w:t>
            </w:r>
            <w:r>
              <w:rPr>
                <w:rFonts w:hint="eastAsia" w:hAnsi="宋体"/>
                <w:bCs w:val="0"/>
              </w:rPr>
              <w:t>的方式收集</w:t>
            </w:r>
            <w:r>
              <w:rPr>
                <w:rFonts w:hint="eastAsia" w:hAnsi="宋体"/>
                <w:bCs w:val="0"/>
                <w:lang w:eastAsia="zh-CN"/>
              </w:rPr>
              <w:t>废气</w:t>
            </w:r>
            <w:r>
              <w:rPr>
                <w:rFonts w:hint="eastAsia" w:hAnsi="宋体"/>
                <w:bCs w:val="0"/>
              </w:rPr>
              <w:t>，项目设置</w:t>
            </w:r>
            <w:r>
              <w:rPr>
                <w:kern w:val="0"/>
              </w:rPr>
              <w:t>1台</w:t>
            </w:r>
            <w:r>
              <w:rPr>
                <w:rFonts w:hint="eastAsia"/>
              </w:rPr>
              <w:t>废钢破碎生产机</w:t>
            </w:r>
            <w:r>
              <w:rPr>
                <w:rFonts w:hint="eastAsia"/>
                <w:kern w:val="0"/>
              </w:rPr>
              <w:t>及工位</w:t>
            </w:r>
            <w:r>
              <w:rPr>
                <w:rFonts w:hint="eastAsia" w:hAnsi="宋体"/>
                <w:bCs w:val="0"/>
              </w:rPr>
              <w:t>，需设置集气罩</w:t>
            </w:r>
            <w:r>
              <w:rPr>
                <w:rFonts w:hAnsi="宋体"/>
                <w:bCs w:val="0"/>
              </w:rPr>
              <w:t>1</w:t>
            </w:r>
            <w:r>
              <w:rPr>
                <w:rFonts w:hint="eastAsia" w:hAnsi="宋体"/>
                <w:bCs w:val="0"/>
              </w:rPr>
              <w:t>个。根据《大气污染控制工程》中集气罩设计原则，拟建项目集气罩风量按照下式确定：</w:t>
            </w:r>
          </w:p>
          <w:p>
            <w:pPr>
              <w:autoSpaceDE w:val="0"/>
              <w:spacing w:line="440" w:lineRule="exact"/>
              <w:ind w:firstLine="480" w:firstLineChars="200"/>
              <w:jc w:val="center"/>
              <w:rPr>
                <w:rFonts w:hAnsi="宋体"/>
                <w:bCs/>
                <w:sz w:val="24"/>
              </w:rPr>
            </w:pPr>
            <w:r>
              <w:rPr>
                <w:rFonts w:hint="eastAsia" w:hAnsi="宋体"/>
                <w:bCs/>
                <w:sz w:val="24"/>
              </w:rPr>
              <w:t>Q=（10</w:t>
            </w:r>
            <w:r>
              <w:rPr>
                <w:rFonts w:hAnsi="宋体"/>
                <w:bCs/>
                <w:sz w:val="24"/>
              </w:rPr>
              <w:t>x</w:t>
            </w:r>
            <w:r>
              <w:rPr>
                <w:rFonts w:hint="eastAsia" w:hAnsi="宋体"/>
                <w:bCs/>
                <w:sz w:val="24"/>
                <w:vertAlign w:val="superscript"/>
              </w:rPr>
              <w:t>2</w:t>
            </w:r>
            <w:r>
              <w:rPr>
                <w:rFonts w:hint="eastAsia" w:hAnsi="宋体"/>
                <w:bCs/>
                <w:sz w:val="24"/>
              </w:rPr>
              <w:t>+F）×Vx</w:t>
            </w:r>
          </w:p>
          <w:p>
            <w:pPr>
              <w:autoSpaceDE w:val="0"/>
              <w:spacing w:line="440" w:lineRule="exact"/>
              <w:ind w:firstLine="480" w:firstLineChars="200"/>
              <w:rPr>
                <w:rFonts w:hAnsi="宋体"/>
                <w:sz w:val="24"/>
              </w:rPr>
            </w:pPr>
            <w:r>
              <w:rPr>
                <w:rFonts w:hint="eastAsia" w:hAnsi="宋体"/>
                <w:sz w:val="24"/>
              </w:rPr>
              <w:t>式中：Q—集气罩排风量，m</w:t>
            </w:r>
            <w:r>
              <w:rPr>
                <w:rFonts w:hint="eastAsia" w:hAnsi="宋体"/>
                <w:sz w:val="24"/>
                <w:vertAlign w:val="superscript"/>
              </w:rPr>
              <w:t>3</w:t>
            </w:r>
            <w:r>
              <w:rPr>
                <w:rFonts w:hint="eastAsia" w:hAnsi="宋体"/>
                <w:sz w:val="24"/>
              </w:rPr>
              <w:t>/s；</w:t>
            </w:r>
          </w:p>
          <w:p>
            <w:pPr>
              <w:autoSpaceDE w:val="0"/>
              <w:spacing w:line="440" w:lineRule="exact"/>
              <w:ind w:firstLine="480" w:firstLineChars="200"/>
              <w:rPr>
                <w:rFonts w:hAnsi="宋体"/>
                <w:sz w:val="24"/>
              </w:rPr>
            </w:pPr>
            <w:r>
              <w:rPr>
                <w:rFonts w:hint="eastAsia" w:hAnsi="宋体"/>
                <w:sz w:val="24"/>
              </w:rPr>
              <w:t>X—控制点到吸气口的距离，m；</w:t>
            </w:r>
          </w:p>
          <w:p>
            <w:pPr>
              <w:autoSpaceDE w:val="0"/>
              <w:spacing w:line="440" w:lineRule="exact"/>
              <w:ind w:firstLine="480" w:firstLineChars="200"/>
              <w:rPr>
                <w:rFonts w:hAnsi="宋体"/>
                <w:sz w:val="24"/>
              </w:rPr>
            </w:pPr>
            <w:r>
              <w:rPr>
                <w:rFonts w:hint="eastAsia" w:hAnsi="宋体"/>
                <w:sz w:val="24"/>
              </w:rPr>
              <w:t>F—集气罩面积，m</w:t>
            </w:r>
            <w:r>
              <w:rPr>
                <w:rFonts w:hint="eastAsia" w:hAnsi="宋体"/>
                <w:sz w:val="24"/>
                <w:vertAlign w:val="superscript"/>
              </w:rPr>
              <w:t>2</w:t>
            </w:r>
            <w:r>
              <w:rPr>
                <w:rFonts w:hint="eastAsia" w:hAnsi="宋体"/>
                <w:sz w:val="24"/>
              </w:rPr>
              <w:t>；</w:t>
            </w:r>
          </w:p>
          <w:p>
            <w:pPr>
              <w:pStyle w:val="2"/>
              <w:keepNext w:val="0"/>
              <w:widowControl/>
              <w:spacing w:before="0" w:after="0" w:line="460" w:lineRule="exact"/>
              <w:ind w:left="0" w:firstLine="480" w:firstLineChars="200"/>
              <w:rPr>
                <w:rFonts w:hAnsi="宋体" w:eastAsia="宋体"/>
                <w:b w:val="0"/>
                <w:bCs w:val="0"/>
                <w:color w:val="auto"/>
                <w:kern w:val="2"/>
                <w:sz w:val="24"/>
                <w:szCs w:val="24"/>
              </w:rPr>
            </w:pPr>
            <w:r>
              <w:rPr>
                <w:rFonts w:hint="eastAsia" w:hAnsi="宋体" w:eastAsia="宋体"/>
                <w:b w:val="0"/>
                <w:bCs w:val="0"/>
                <w:color w:val="auto"/>
                <w:kern w:val="2"/>
                <w:sz w:val="24"/>
                <w:szCs w:val="24"/>
              </w:rPr>
              <w:t>Vx—最小控制风速，m/s，以较低的初速度放散到尚属平静的空气中，一般取</w:t>
            </w:r>
            <w:r>
              <w:rPr>
                <w:rFonts w:hAnsi="宋体" w:eastAsia="宋体"/>
                <w:b w:val="0"/>
                <w:bCs w:val="0"/>
                <w:color w:val="auto"/>
                <w:kern w:val="2"/>
                <w:sz w:val="24"/>
                <w:szCs w:val="24"/>
              </w:rPr>
              <w:t>0.5</w:t>
            </w:r>
            <w:r>
              <w:rPr>
                <w:rFonts w:hint="eastAsia" w:hAnsi="宋体" w:eastAsia="宋体"/>
                <w:b w:val="0"/>
                <w:bCs w:val="0"/>
                <w:color w:val="auto"/>
                <w:kern w:val="2"/>
                <w:sz w:val="24"/>
                <w:szCs w:val="24"/>
              </w:rPr>
              <w:t>~</w:t>
            </w:r>
            <w:r>
              <w:rPr>
                <w:rFonts w:hAnsi="宋体" w:eastAsia="宋体"/>
                <w:b w:val="0"/>
                <w:bCs w:val="0"/>
                <w:color w:val="auto"/>
                <w:kern w:val="2"/>
                <w:sz w:val="24"/>
                <w:szCs w:val="24"/>
              </w:rPr>
              <w:t>1.0</w:t>
            </w:r>
            <w:r>
              <w:rPr>
                <w:rFonts w:hint="eastAsia" w:hAnsi="宋体" w:eastAsia="宋体"/>
                <w:b w:val="0"/>
                <w:bCs w:val="0"/>
                <w:color w:val="auto"/>
                <w:kern w:val="2"/>
                <w:sz w:val="24"/>
                <w:szCs w:val="24"/>
              </w:rPr>
              <w:t>m/s，本项目取</w:t>
            </w:r>
            <w:r>
              <w:rPr>
                <w:rFonts w:hAnsi="宋体" w:eastAsia="宋体"/>
                <w:b w:val="0"/>
                <w:bCs w:val="0"/>
                <w:color w:val="auto"/>
                <w:kern w:val="2"/>
                <w:sz w:val="24"/>
                <w:szCs w:val="24"/>
              </w:rPr>
              <w:t>0.8</w:t>
            </w:r>
            <w:r>
              <w:rPr>
                <w:rFonts w:hint="eastAsia" w:hAnsi="宋体" w:eastAsia="宋体"/>
                <w:b w:val="0"/>
                <w:bCs w:val="0"/>
                <w:color w:val="auto"/>
                <w:kern w:val="2"/>
                <w:sz w:val="24"/>
                <w:szCs w:val="24"/>
              </w:rPr>
              <w:t>m/s。</w:t>
            </w:r>
          </w:p>
          <w:p>
            <w:pPr>
              <w:pStyle w:val="2"/>
              <w:keepNext w:val="0"/>
              <w:widowControl/>
              <w:spacing w:before="0" w:after="0" w:line="460" w:lineRule="exact"/>
              <w:ind w:left="0" w:firstLine="480" w:firstLineChars="200"/>
              <w:rPr>
                <w:rFonts w:eastAsia="宋体"/>
                <w:b w:val="0"/>
                <w:bCs w:val="0"/>
                <w:color w:val="auto"/>
                <w:sz w:val="24"/>
                <w:szCs w:val="24"/>
              </w:rPr>
            </w:pPr>
            <w:r>
              <w:rPr>
                <w:rFonts w:hint="eastAsia" w:eastAsia="宋体"/>
                <w:b w:val="0"/>
                <w:bCs w:val="0"/>
                <w:color w:val="auto"/>
                <w:sz w:val="24"/>
              </w:rPr>
              <w:t>正常生产时集气罩距无组织废气散发点距离（x）可控制在0.2m；集气罩尺寸按</w:t>
            </w:r>
            <w:r>
              <w:rPr>
                <w:rFonts w:eastAsia="宋体"/>
                <w:b w:val="0"/>
                <w:bCs w:val="0"/>
                <w:color w:val="auto"/>
                <w:sz w:val="24"/>
              </w:rPr>
              <w:t>1.5</w:t>
            </w:r>
            <w:r>
              <w:rPr>
                <w:rFonts w:hint="eastAsia" w:eastAsia="宋体"/>
                <w:b w:val="0"/>
                <w:bCs w:val="0"/>
                <w:color w:val="auto"/>
                <w:sz w:val="24"/>
              </w:rPr>
              <w:t>*</w:t>
            </w:r>
            <w:r>
              <w:rPr>
                <w:rFonts w:eastAsia="宋体"/>
                <w:b w:val="0"/>
                <w:bCs w:val="0"/>
                <w:color w:val="auto"/>
                <w:sz w:val="24"/>
              </w:rPr>
              <w:t>1.5</w:t>
            </w:r>
            <w:r>
              <w:rPr>
                <w:rFonts w:hint="eastAsia" w:eastAsia="宋体"/>
                <w:b w:val="0"/>
                <w:bCs w:val="0"/>
                <w:color w:val="auto"/>
                <w:sz w:val="24"/>
              </w:rPr>
              <w:t>m，则面积（F）约</w:t>
            </w:r>
            <w:r>
              <w:rPr>
                <w:rFonts w:eastAsia="宋体"/>
                <w:b w:val="0"/>
                <w:bCs w:val="0"/>
                <w:color w:val="auto"/>
                <w:sz w:val="24"/>
              </w:rPr>
              <w:t>2.25</w:t>
            </w:r>
            <w:r>
              <w:rPr>
                <w:rFonts w:hAnsi="宋体" w:eastAsia="宋体"/>
                <w:b w:val="0"/>
                <w:bCs w:val="0"/>
                <w:color w:val="auto"/>
                <w:sz w:val="24"/>
              </w:rPr>
              <w:t>m</w:t>
            </w:r>
            <w:r>
              <w:rPr>
                <w:rFonts w:hAnsi="宋体" w:eastAsia="宋体"/>
                <w:b w:val="0"/>
                <w:bCs w:val="0"/>
                <w:color w:val="auto"/>
                <w:sz w:val="24"/>
                <w:vertAlign w:val="superscript"/>
              </w:rPr>
              <w:t>2</w:t>
            </w:r>
            <w:r>
              <w:rPr>
                <w:rFonts w:hint="eastAsia" w:hAnsi="宋体" w:eastAsia="宋体"/>
                <w:b w:val="0"/>
                <w:bCs w:val="0"/>
                <w:color w:val="auto"/>
                <w:sz w:val="24"/>
              </w:rPr>
              <w:t>；控制点吸入风速（Vx）取0.</w:t>
            </w:r>
            <w:r>
              <w:rPr>
                <w:rFonts w:hAnsi="宋体" w:eastAsia="宋体"/>
                <w:b w:val="0"/>
                <w:bCs w:val="0"/>
                <w:color w:val="auto"/>
                <w:sz w:val="24"/>
              </w:rPr>
              <w:t>8m/s；</w:t>
            </w:r>
            <w:r>
              <w:rPr>
                <w:rFonts w:hint="eastAsia" w:hAnsi="宋体" w:eastAsia="宋体"/>
                <w:b w:val="0"/>
                <w:bCs w:val="0"/>
                <w:color w:val="auto"/>
                <w:sz w:val="24"/>
              </w:rPr>
              <w:t>计算得单个集气罩要求的最小风量为</w:t>
            </w:r>
            <w:r>
              <w:rPr>
                <w:rFonts w:hAnsi="宋体" w:eastAsia="宋体"/>
                <w:b w:val="0"/>
                <w:bCs w:val="0"/>
                <w:color w:val="auto"/>
                <w:sz w:val="24"/>
              </w:rPr>
              <w:t>2.12m</w:t>
            </w:r>
            <w:r>
              <w:rPr>
                <w:rFonts w:hAnsi="宋体" w:eastAsia="宋体"/>
                <w:b w:val="0"/>
                <w:bCs w:val="0"/>
                <w:color w:val="auto"/>
                <w:sz w:val="24"/>
                <w:vertAlign w:val="superscript"/>
              </w:rPr>
              <w:t>3</w:t>
            </w:r>
            <w:r>
              <w:rPr>
                <w:rFonts w:hAnsi="宋体" w:eastAsia="宋体"/>
                <w:b w:val="0"/>
                <w:bCs w:val="0"/>
                <w:color w:val="auto"/>
                <w:sz w:val="24"/>
              </w:rPr>
              <w:t>/s</w:t>
            </w:r>
            <w:r>
              <w:rPr>
                <w:rFonts w:hint="eastAsia" w:hAnsi="宋体" w:eastAsia="宋体"/>
                <w:b w:val="0"/>
                <w:bCs w:val="0"/>
                <w:color w:val="auto"/>
                <w:sz w:val="24"/>
              </w:rPr>
              <w:t>，2个集气罩总风量需要</w:t>
            </w:r>
            <w:r>
              <w:rPr>
                <w:rFonts w:hAnsi="宋体" w:eastAsia="宋体"/>
                <w:b w:val="0"/>
                <w:bCs w:val="0"/>
                <w:color w:val="auto"/>
                <w:sz w:val="24"/>
              </w:rPr>
              <w:t>7632m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h，项目拟设置风机风量</w:t>
            </w:r>
            <w:r>
              <w:rPr>
                <w:rFonts w:hAnsi="宋体" w:eastAsia="宋体"/>
                <w:b w:val="0"/>
                <w:bCs w:val="0"/>
                <w:color w:val="auto"/>
                <w:sz w:val="24"/>
              </w:rPr>
              <w:t>8000m</w:t>
            </w:r>
            <w:r>
              <w:rPr>
                <w:rFonts w:hAnsi="宋体" w:eastAsia="宋体"/>
                <w:b w:val="0"/>
                <w:bCs w:val="0"/>
                <w:color w:val="auto"/>
                <w:sz w:val="24"/>
                <w:vertAlign w:val="superscript"/>
              </w:rPr>
              <w:t>3</w:t>
            </w:r>
            <w:r>
              <w:rPr>
                <w:rFonts w:hAnsi="宋体" w:eastAsia="宋体"/>
                <w:b w:val="0"/>
                <w:bCs w:val="0"/>
                <w:color w:val="auto"/>
                <w:sz w:val="24"/>
              </w:rPr>
              <w:t>/</w:t>
            </w:r>
            <w:r>
              <w:rPr>
                <w:rFonts w:hint="eastAsia" w:hAnsi="宋体" w:eastAsia="宋体"/>
                <w:b w:val="0"/>
                <w:bCs w:val="0"/>
                <w:color w:val="auto"/>
                <w:sz w:val="24"/>
              </w:rPr>
              <w:t>h。</w:t>
            </w:r>
          </w:p>
          <w:p>
            <w:pPr>
              <w:pStyle w:val="45"/>
              <w:spacing w:after="60"/>
              <w:rPr>
                <w:rFonts w:ascii="Times New Roman" w:hAnsi="Times New Roman"/>
                <w:sz w:val="18"/>
                <w:szCs w:val="18"/>
              </w:rPr>
            </w:pPr>
            <w:r>
              <w:rPr>
                <w:rFonts w:ascii="Times New Roman" w:hAnsi="Times New Roman"/>
                <w:sz w:val="18"/>
                <w:szCs w:val="18"/>
              </w:rPr>
              <w:t xml:space="preserve">表4.2.1-4  </w:t>
            </w:r>
            <w:r>
              <w:rPr>
                <w:rFonts w:hint="eastAsia" w:ascii="Times New Roman" w:hAnsi="Times New Roman"/>
                <w:kern w:val="0"/>
                <w:sz w:val="18"/>
                <w:szCs w:val="18"/>
              </w:rPr>
              <w:t>切割粉尘</w:t>
            </w:r>
            <w:r>
              <w:rPr>
                <w:rFonts w:ascii="Times New Roman" w:hAnsi="Times New Roman"/>
                <w:sz w:val="18"/>
                <w:szCs w:val="18"/>
              </w:rPr>
              <w:t>产生和排放一览表</w:t>
            </w:r>
          </w:p>
          <w:tbl>
            <w:tblPr>
              <w:tblStyle w:val="2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5"/>
              <w:gridCol w:w="708"/>
              <w:gridCol w:w="426"/>
              <w:gridCol w:w="708"/>
              <w:gridCol w:w="709"/>
              <w:gridCol w:w="709"/>
              <w:gridCol w:w="1208"/>
              <w:gridCol w:w="776"/>
              <w:gridCol w:w="709"/>
              <w:gridCol w:w="567"/>
              <w:gridCol w:w="709"/>
              <w:gridCol w:w="5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restart"/>
                  <w:shd w:val="clear" w:color="auto" w:fill="auto"/>
                  <w:vAlign w:val="center"/>
                </w:tcPr>
                <w:p>
                  <w:pPr>
                    <w:widowControl/>
                    <w:jc w:val="center"/>
                    <w:rPr>
                      <w:kern w:val="0"/>
                      <w:sz w:val="18"/>
                      <w:szCs w:val="18"/>
                    </w:rPr>
                  </w:pPr>
                  <w:r>
                    <w:rPr>
                      <w:kern w:val="0"/>
                      <w:sz w:val="18"/>
                      <w:szCs w:val="18"/>
                    </w:rPr>
                    <w:t>污染源</w:t>
                  </w:r>
                </w:p>
              </w:tc>
              <w:tc>
                <w:tcPr>
                  <w:tcW w:w="708" w:type="dxa"/>
                  <w:vMerge w:val="restart"/>
                  <w:shd w:val="clear" w:color="auto" w:fill="auto"/>
                  <w:vAlign w:val="center"/>
                </w:tcPr>
                <w:p>
                  <w:pPr>
                    <w:widowControl/>
                    <w:jc w:val="center"/>
                    <w:rPr>
                      <w:kern w:val="0"/>
                      <w:sz w:val="18"/>
                      <w:szCs w:val="18"/>
                    </w:rPr>
                  </w:pPr>
                  <w:r>
                    <w:rPr>
                      <w:kern w:val="0"/>
                      <w:sz w:val="18"/>
                      <w:szCs w:val="18"/>
                    </w:rPr>
                    <w:t>废气量（m</w:t>
                  </w:r>
                  <w:r>
                    <w:rPr>
                      <w:kern w:val="0"/>
                      <w:sz w:val="18"/>
                      <w:szCs w:val="18"/>
                      <w:vertAlign w:val="superscript"/>
                    </w:rPr>
                    <w:t>3</w:t>
                  </w:r>
                  <w:r>
                    <w:rPr>
                      <w:kern w:val="0"/>
                      <w:sz w:val="18"/>
                      <w:szCs w:val="18"/>
                    </w:rPr>
                    <w:t>/h）</w:t>
                  </w:r>
                </w:p>
              </w:tc>
              <w:tc>
                <w:tcPr>
                  <w:tcW w:w="426" w:type="dxa"/>
                  <w:vMerge w:val="restart"/>
                  <w:shd w:val="clear" w:color="auto" w:fill="auto"/>
                  <w:vAlign w:val="center"/>
                </w:tcPr>
                <w:p>
                  <w:pPr>
                    <w:widowControl/>
                    <w:jc w:val="center"/>
                    <w:rPr>
                      <w:kern w:val="0"/>
                      <w:sz w:val="18"/>
                      <w:szCs w:val="18"/>
                    </w:rPr>
                  </w:pPr>
                  <w:r>
                    <w:rPr>
                      <w:kern w:val="0"/>
                      <w:sz w:val="18"/>
                      <w:szCs w:val="18"/>
                    </w:rPr>
                    <w:t>污染物</w:t>
                  </w:r>
                </w:p>
              </w:tc>
              <w:tc>
                <w:tcPr>
                  <w:tcW w:w="2126" w:type="dxa"/>
                  <w:gridSpan w:val="3"/>
                  <w:shd w:val="clear" w:color="auto" w:fill="auto"/>
                  <w:vAlign w:val="center"/>
                </w:tcPr>
                <w:p>
                  <w:pPr>
                    <w:widowControl/>
                    <w:jc w:val="center"/>
                    <w:rPr>
                      <w:kern w:val="0"/>
                      <w:sz w:val="18"/>
                      <w:szCs w:val="18"/>
                    </w:rPr>
                  </w:pPr>
                  <w:r>
                    <w:rPr>
                      <w:kern w:val="0"/>
                      <w:sz w:val="18"/>
                      <w:szCs w:val="18"/>
                    </w:rPr>
                    <w:t>产生情况</w:t>
                  </w:r>
                </w:p>
              </w:tc>
              <w:tc>
                <w:tcPr>
                  <w:tcW w:w="1208" w:type="dxa"/>
                  <w:vMerge w:val="restart"/>
                  <w:shd w:val="clear" w:color="auto" w:fill="auto"/>
                  <w:vAlign w:val="center"/>
                </w:tcPr>
                <w:p>
                  <w:pPr>
                    <w:widowControl/>
                    <w:jc w:val="center"/>
                    <w:rPr>
                      <w:kern w:val="0"/>
                      <w:sz w:val="18"/>
                      <w:szCs w:val="18"/>
                    </w:rPr>
                  </w:pPr>
                  <w:r>
                    <w:rPr>
                      <w:kern w:val="0"/>
                      <w:sz w:val="18"/>
                      <w:szCs w:val="18"/>
                    </w:rPr>
                    <w:t>处理措施</w:t>
                  </w:r>
                </w:p>
              </w:tc>
              <w:tc>
                <w:tcPr>
                  <w:tcW w:w="3295" w:type="dxa"/>
                  <w:gridSpan w:val="5"/>
                  <w:shd w:val="clear" w:color="auto" w:fill="auto"/>
                  <w:vAlign w:val="center"/>
                </w:tcPr>
                <w:p>
                  <w:pPr>
                    <w:widowControl/>
                    <w:jc w:val="center"/>
                    <w:rPr>
                      <w:kern w:val="0"/>
                      <w:sz w:val="18"/>
                      <w:szCs w:val="18"/>
                    </w:rPr>
                  </w:pPr>
                  <w:r>
                    <w:rPr>
                      <w:kern w:val="0"/>
                      <w:sz w:val="18"/>
                      <w:szCs w:val="18"/>
                    </w:rPr>
                    <w:t>排放情况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0"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restart"/>
                  <w:shd w:val="clear" w:color="auto" w:fill="auto"/>
                  <w:vAlign w:val="center"/>
                </w:tcPr>
                <w:p>
                  <w:pPr>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vMerge w:val="restart"/>
                  <w:shd w:val="clear" w:color="auto" w:fill="auto"/>
                  <w:vAlign w:val="center"/>
                </w:tcPr>
                <w:p>
                  <w:pPr>
                    <w:jc w:val="center"/>
                    <w:rPr>
                      <w:kern w:val="0"/>
                      <w:sz w:val="18"/>
                      <w:szCs w:val="18"/>
                    </w:rPr>
                  </w:pPr>
                  <w:r>
                    <w:rPr>
                      <w:kern w:val="0"/>
                      <w:sz w:val="18"/>
                      <w:szCs w:val="18"/>
                    </w:rPr>
                    <w:t>速率(kg/h)</w:t>
                  </w:r>
                </w:p>
              </w:tc>
              <w:tc>
                <w:tcPr>
                  <w:tcW w:w="709" w:type="dxa"/>
                  <w:vMerge w:val="restart"/>
                  <w:shd w:val="clear" w:color="auto" w:fill="auto"/>
                  <w:vAlign w:val="center"/>
                </w:tcPr>
                <w:p>
                  <w:pPr>
                    <w:jc w:val="center"/>
                    <w:rPr>
                      <w:kern w:val="0"/>
                      <w:sz w:val="18"/>
                      <w:szCs w:val="18"/>
                    </w:rPr>
                  </w:pPr>
                  <w:r>
                    <w:rPr>
                      <w:kern w:val="0"/>
                      <w:sz w:val="18"/>
                      <w:szCs w:val="18"/>
                    </w:rPr>
                    <w:t>产生(t/a)</w:t>
                  </w:r>
                </w:p>
              </w:tc>
              <w:tc>
                <w:tcPr>
                  <w:tcW w:w="1208" w:type="dxa"/>
                  <w:vMerge w:val="continue"/>
                  <w:vAlign w:val="center"/>
                </w:tcPr>
                <w:p>
                  <w:pPr>
                    <w:widowControl/>
                    <w:jc w:val="left"/>
                    <w:rPr>
                      <w:kern w:val="0"/>
                      <w:sz w:val="18"/>
                      <w:szCs w:val="18"/>
                    </w:rPr>
                  </w:pPr>
                </w:p>
              </w:tc>
              <w:tc>
                <w:tcPr>
                  <w:tcW w:w="2052" w:type="dxa"/>
                  <w:gridSpan w:val="3"/>
                  <w:shd w:val="clear" w:color="auto" w:fill="auto"/>
                  <w:vAlign w:val="center"/>
                </w:tcPr>
                <w:p>
                  <w:pPr>
                    <w:widowControl/>
                    <w:jc w:val="center"/>
                    <w:rPr>
                      <w:kern w:val="0"/>
                      <w:sz w:val="18"/>
                      <w:szCs w:val="18"/>
                    </w:rPr>
                  </w:pPr>
                  <w:r>
                    <w:rPr>
                      <w:kern w:val="0"/>
                      <w:sz w:val="18"/>
                      <w:szCs w:val="18"/>
                    </w:rPr>
                    <w:t>有组织</w:t>
                  </w:r>
                </w:p>
              </w:tc>
              <w:tc>
                <w:tcPr>
                  <w:tcW w:w="1243" w:type="dxa"/>
                  <w:gridSpan w:val="2"/>
                  <w:shd w:val="clear" w:color="auto" w:fill="auto"/>
                  <w:vAlign w:val="center"/>
                </w:tcPr>
                <w:p>
                  <w:pPr>
                    <w:widowControl/>
                    <w:jc w:val="center"/>
                    <w:rPr>
                      <w:kern w:val="0"/>
                      <w:sz w:val="18"/>
                      <w:szCs w:val="18"/>
                    </w:rPr>
                  </w:pPr>
                  <w:r>
                    <w:rPr>
                      <w:kern w:val="0"/>
                      <w:sz w:val="18"/>
                      <w:szCs w:val="18"/>
                    </w:rPr>
                    <w:t>无组织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465" w:type="dxa"/>
                  <w:vMerge w:val="continue"/>
                  <w:vAlign w:val="center"/>
                </w:tcPr>
                <w:p>
                  <w:pPr>
                    <w:widowControl/>
                    <w:jc w:val="left"/>
                    <w:rPr>
                      <w:kern w:val="0"/>
                      <w:sz w:val="18"/>
                      <w:szCs w:val="18"/>
                    </w:rPr>
                  </w:pPr>
                </w:p>
              </w:tc>
              <w:tc>
                <w:tcPr>
                  <w:tcW w:w="708" w:type="dxa"/>
                  <w:vMerge w:val="continue"/>
                  <w:vAlign w:val="center"/>
                </w:tcPr>
                <w:p>
                  <w:pPr>
                    <w:widowControl/>
                    <w:jc w:val="left"/>
                    <w:rPr>
                      <w:kern w:val="0"/>
                      <w:sz w:val="18"/>
                      <w:szCs w:val="18"/>
                    </w:rPr>
                  </w:pPr>
                </w:p>
              </w:tc>
              <w:tc>
                <w:tcPr>
                  <w:tcW w:w="426" w:type="dxa"/>
                  <w:vMerge w:val="continue"/>
                  <w:vAlign w:val="center"/>
                </w:tcPr>
                <w:p>
                  <w:pPr>
                    <w:widowControl/>
                    <w:jc w:val="left"/>
                    <w:rPr>
                      <w:kern w:val="0"/>
                      <w:sz w:val="18"/>
                      <w:szCs w:val="18"/>
                    </w:rPr>
                  </w:pPr>
                </w:p>
              </w:tc>
              <w:tc>
                <w:tcPr>
                  <w:tcW w:w="708"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709" w:type="dxa"/>
                  <w:vMerge w:val="continue"/>
                  <w:shd w:val="clear" w:color="auto" w:fill="auto"/>
                  <w:vAlign w:val="center"/>
                </w:tcPr>
                <w:p>
                  <w:pPr>
                    <w:widowControl/>
                    <w:jc w:val="center"/>
                    <w:rPr>
                      <w:kern w:val="0"/>
                      <w:sz w:val="18"/>
                      <w:szCs w:val="18"/>
                    </w:rPr>
                  </w:pPr>
                </w:p>
              </w:tc>
              <w:tc>
                <w:tcPr>
                  <w:tcW w:w="1208" w:type="dxa"/>
                  <w:vMerge w:val="continue"/>
                  <w:vAlign w:val="center"/>
                </w:tcPr>
                <w:p>
                  <w:pPr>
                    <w:widowControl/>
                    <w:jc w:val="left"/>
                    <w:rPr>
                      <w:kern w:val="0"/>
                      <w:sz w:val="18"/>
                      <w:szCs w:val="18"/>
                    </w:rPr>
                  </w:pPr>
                </w:p>
              </w:tc>
              <w:tc>
                <w:tcPr>
                  <w:tcW w:w="776" w:type="dxa"/>
                  <w:shd w:val="clear" w:color="auto" w:fill="auto"/>
                  <w:vAlign w:val="center"/>
                </w:tcPr>
                <w:p>
                  <w:pPr>
                    <w:widowControl/>
                    <w:jc w:val="center"/>
                    <w:rPr>
                      <w:kern w:val="0"/>
                      <w:sz w:val="18"/>
                      <w:szCs w:val="18"/>
                    </w:rPr>
                  </w:pPr>
                  <w:r>
                    <w:rPr>
                      <w:kern w:val="0"/>
                      <w:sz w:val="18"/>
                      <w:szCs w:val="18"/>
                    </w:rPr>
                    <w:t>浓度(mg/m</w:t>
                  </w:r>
                  <w:r>
                    <w:rPr>
                      <w:kern w:val="0"/>
                      <w:sz w:val="18"/>
                      <w:szCs w:val="18"/>
                      <w:vertAlign w:val="superscript"/>
                    </w:rPr>
                    <w:t>3</w:t>
                  </w:r>
                  <w:r>
                    <w:rPr>
                      <w:kern w:val="0"/>
                      <w:sz w:val="18"/>
                      <w:szCs w:val="18"/>
                    </w:rPr>
                    <w:t>)</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67" w:type="dxa"/>
                  <w:shd w:val="clear" w:color="auto" w:fill="auto"/>
                  <w:vAlign w:val="center"/>
                </w:tcPr>
                <w:p>
                  <w:pPr>
                    <w:widowControl/>
                    <w:jc w:val="center"/>
                    <w:rPr>
                      <w:kern w:val="0"/>
                      <w:sz w:val="18"/>
                      <w:szCs w:val="18"/>
                    </w:rPr>
                  </w:pPr>
                  <w:r>
                    <w:rPr>
                      <w:kern w:val="0"/>
                      <w:sz w:val="18"/>
                      <w:szCs w:val="18"/>
                    </w:rPr>
                    <w:t>排放(t/a)</w:t>
                  </w:r>
                </w:p>
              </w:tc>
              <w:tc>
                <w:tcPr>
                  <w:tcW w:w="709" w:type="dxa"/>
                  <w:shd w:val="clear" w:color="auto" w:fill="auto"/>
                  <w:vAlign w:val="center"/>
                </w:tcPr>
                <w:p>
                  <w:pPr>
                    <w:widowControl/>
                    <w:jc w:val="center"/>
                    <w:rPr>
                      <w:kern w:val="0"/>
                      <w:sz w:val="18"/>
                      <w:szCs w:val="18"/>
                    </w:rPr>
                  </w:pPr>
                  <w:r>
                    <w:rPr>
                      <w:kern w:val="0"/>
                      <w:sz w:val="18"/>
                      <w:szCs w:val="18"/>
                    </w:rPr>
                    <w:t>速率(kg/h)</w:t>
                  </w:r>
                </w:p>
              </w:tc>
              <w:tc>
                <w:tcPr>
                  <w:tcW w:w="534" w:type="dxa"/>
                  <w:shd w:val="clear" w:color="auto" w:fill="auto"/>
                  <w:vAlign w:val="center"/>
                </w:tcPr>
                <w:p>
                  <w:pPr>
                    <w:widowControl/>
                    <w:jc w:val="center"/>
                    <w:rPr>
                      <w:kern w:val="0"/>
                      <w:sz w:val="18"/>
                      <w:szCs w:val="18"/>
                    </w:rPr>
                  </w:pPr>
                  <w:r>
                    <w:rPr>
                      <w:kern w:val="0"/>
                      <w:sz w:val="18"/>
                      <w:szCs w:val="18"/>
                    </w:rPr>
                    <w:t>排放(t/a)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808" w:hRule="atLeast"/>
              </w:trPr>
              <w:tc>
                <w:tcPr>
                  <w:tcW w:w="465" w:type="dxa"/>
                  <w:shd w:val="clear" w:color="auto" w:fill="auto"/>
                  <w:vAlign w:val="center"/>
                </w:tcPr>
                <w:p>
                  <w:pPr>
                    <w:widowControl/>
                    <w:jc w:val="center"/>
                    <w:rPr>
                      <w:kern w:val="0"/>
                      <w:sz w:val="18"/>
                      <w:szCs w:val="18"/>
                    </w:rPr>
                  </w:pPr>
                  <w:r>
                    <w:rPr>
                      <w:rFonts w:hint="eastAsia"/>
                      <w:kern w:val="0"/>
                      <w:sz w:val="18"/>
                      <w:szCs w:val="18"/>
                    </w:rPr>
                    <w:t>破碎粉尘</w:t>
                  </w:r>
                </w:p>
              </w:tc>
              <w:tc>
                <w:tcPr>
                  <w:tcW w:w="708" w:type="dxa"/>
                  <w:shd w:val="clear" w:color="auto" w:fill="auto"/>
                  <w:vAlign w:val="center"/>
                </w:tcPr>
                <w:p>
                  <w:pPr>
                    <w:widowControl/>
                    <w:jc w:val="center"/>
                    <w:rPr>
                      <w:kern w:val="0"/>
                      <w:sz w:val="18"/>
                      <w:szCs w:val="18"/>
                    </w:rPr>
                  </w:pPr>
                  <w:r>
                    <w:rPr>
                      <w:kern w:val="0"/>
                      <w:sz w:val="18"/>
                      <w:szCs w:val="18"/>
                    </w:rPr>
                    <w:t>8000</w:t>
                  </w:r>
                </w:p>
              </w:tc>
              <w:tc>
                <w:tcPr>
                  <w:tcW w:w="426" w:type="dxa"/>
                  <w:shd w:val="clear" w:color="auto" w:fill="auto"/>
                  <w:vAlign w:val="center"/>
                </w:tcPr>
                <w:p>
                  <w:pPr>
                    <w:widowControl/>
                    <w:jc w:val="center"/>
                    <w:rPr>
                      <w:kern w:val="0"/>
                      <w:sz w:val="18"/>
                      <w:szCs w:val="18"/>
                    </w:rPr>
                  </w:pPr>
                  <w:r>
                    <w:rPr>
                      <w:rFonts w:hint="eastAsia"/>
                      <w:kern w:val="0"/>
                      <w:sz w:val="18"/>
                      <w:szCs w:val="18"/>
                    </w:rPr>
                    <w:t>颗粒物</w:t>
                  </w:r>
                </w:p>
              </w:tc>
              <w:tc>
                <w:tcPr>
                  <w:tcW w:w="708" w:type="dxa"/>
                  <w:shd w:val="clear" w:color="auto" w:fill="auto"/>
                  <w:vAlign w:val="center"/>
                </w:tcPr>
                <w:p>
                  <w:pPr>
                    <w:widowControl/>
                    <w:jc w:val="center"/>
                    <w:rPr>
                      <w:kern w:val="0"/>
                      <w:sz w:val="18"/>
                      <w:szCs w:val="18"/>
                    </w:rPr>
                  </w:pPr>
                  <w:r>
                    <w:rPr>
                      <w:sz w:val="18"/>
                      <w:szCs w:val="18"/>
                    </w:rPr>
                    <w:t>1165</w:t>
                  </w:r>
                </w:p>
              </w:tc>
              <w:tc>
                <w:tcPr>
                  <w:tcW w:w="709" w:type="dxa"/>
                  <w:shd w:val="clear" w:color="auto" w:fill="auto"/>
                  <w:vAlign w:val="center"/>
                </w:tcPr>
                <w:p>
                  <w:pPr>
                    <w:widowControl/>
                    <w:jc w:val="center"/>
                    <w:rPr>
                      <w:kern w:val="0"/>
                      <w:sz w:val="18"/>
                      <w:szCs w:val="18"/>
                    </w:rPr>
                  </w:pPr>
                  <w:r>
                    <w:rPr>
                      <w:sz w:val="18"/>
                      <w:szCs w:val="18"/>
                    </w:rPr>
                    <w:t>9.32</w:t>
                  </w:r>
                </w:p>
              </w:tc>
              <w:tc>
                <w:tcPr>
                  <w:tcW w:w="709" w:type="dxa"/>
                  <w:shd w:val="clear" w:color="auto" w:fill="auto"/>
                  <w:vAlign w:val="center"/>
                </w:tcPr>
                <w:p>
                  <w:pPr>
                    <w:widowControl/>
                    <w:jc w:val="center"/>
                    <w:rPr>
                      <w:kern w:val="0"/>
                      <w:sz w:val="18"/>
                      <w:szCs w:val="18"/>
                    </w:rPr>
                  </w:pPr>
                  <w:r>
                    <w:rPr>
                      <w:sz w:val="18"/>
                      <w:szCs w:val="18"/>
                    </w:rPr>
                    <w:t xml:space="preserve">18.46 </w:t>
                  </w:r>
                </w:p>
              </w:tc>
              <w:tc>
                <w:tcPr>
                  <w:tcW w:w="1208" w:type="dxa"/>
                  <w:shd w:val="clear" w:color="auto" w:fill="auto"/>
                  <w:vAlign w:val="center"/>
                </w:tcPr>
                <w:p>
                  <w:pPr>
                    <w:widowControl/>
                    <w:jc w:val="center"/>
                    <w:rPr>
                      <w:kern w:val="0"/>
                      <w:sz w:val="18"/>
                      <w:szCs w:val="18"/>
                    </w:rPr>
                  </w:pPr>
                  <w:r>
                    <w:rPr>
                      <w:kern w:val="0"/>
                      <w:sz w:val="18"/>
                      <w:szCs w:val="18"/>
                    </w:rPr>
                    <w:t>集气罩收集（收集效率80%）后经布袋除尘器处理后（处理效率取95%）有组织排放</w:t>
                  </w:r>
                </w:p>
              </w:tc>
              <w:tc>
                <w:tcPr>
                  <w:tcW w:w="776" w:type="dxa"/>
                  <w:shd w:val="clear" w:color="auto" w:fill="auto"/>
                  <w:vAlign w:val="center"/>
                </w:tcPr>
                <w:p>
                  <w:pPr>
                    <w:widowControl/>
                    <w:jc w:val="center"/>
                    <w:rPr>
                      <w:kern w:val="0"/>
                      <w:sz w:val="18"/>
                      <w:szCs w:val="18"/>
                    </w:rPr>
                  </w:pPr>
                  <w:r>
                    <w:rPr>
                      <w:sz w:val="18"/>
                      <w:szCs w:val="18"/>
                    </w:rPr>
                    <w:t>46.25</w:t>
                  </w:r>
                </w:p>
              </w:tc>
              <w:tc>
                <w:tcPr>
                  <w:tcW w:w="709" w:type="dxa"/>
                  <w:shd w:val="clear" w:color="auto" w:fill="auto"/>
                  <w:vAlign w:val="center"/>
                </w:tcPr>
                <w:p>
                  <w:pPr>
                    <w:widowControl/>
                    <w:jc w:val="center"/>
                    <w:rPr>
                      <w:kern w:val="0"/>
                      <w:sz w:val="18"/>
                      <w:szCs w:val="18"/>
                    </w:rPr>
                  </w:pPr>
                  <w:r>
                    <w:rPr>
                      <w:sz w:val="18"/>
                      <w:szCs w:val="18"/>
                    </w:rPr>
                    <w:t>0.37</w:t>
                  </w:r>
                </w:p>
              </w:tc>
              <w:tc>
                <w:tcPr>
                  <w:tcW w:w="567" w:type="dxa"/>
                  <w:shd w:val="clear" w:color="auto" w:fill="auto"/>
                  <w:vAlign w:val="center"/>
                </w:tcPr>
                <w:p>
                  <w:pPr>
                    <w:widowControl/>
                    <w:jc w:val="center"/>
                    <w:rPr>
                      <w:kern w:val="0"/>
                      <w:sz w:val="18"/>
                      <w:szCs w:val="18"/>
                    </w:rPr>
                  </w:pPr>
                  <w:r>
                    <w:rPr>
                      <w:sz w:val="18"/>
                      <w:szCs w:val="18"/>
                    </w:rPr>
                    <w:t>0.74</w:t>
                  </w:r>
                </w:p>
              </w:tc>
              <w:tc>
                <w:tcPr>
                  <w:tcW w:w="709" w:type="dxa"/>
                  <w:shd w:val="clear" w:color="auto" w:fill="auto"/>
                  <w:vAlign w:val="center"/>
                </w:tcPr>
                <w:p>
                  <w:pPr>
                    <w:widowControl/>
                    <w:jc w:val="center"/>
                    <w:rPr>
                      <w:kern w:val="0"/>
                      <w:sz w:val="18"/>
                      <w:szCs w:val="18"/>
                    </w:rPr>
                  </w:pPr>
                  <w:r>
                    <w:rPr>
                      <w:sz w:val="18"/>
                      <w:szCs w:val="18"/>
                    </w:rPr>
                    <w:t>1.86</w:t>
                  </w:r>
                </w:p>
              </w:tc>
              <w:tc>
                <w:tcPr>
                  <w:tcW w:w="534" w:type="dxa"/>
                  <w:shd w:val="clear" w:color="auto" w:fill="auto"/>
                  <w:vAlign w:val="center"/>
                </w:tcPr>
                <w:p>
                  <w:pPr>
                    <w:widowControl/>
                    <w:jc w:val="center"/>
                    <w:rPr>
                      <w:kern w:val="0"/>
                      <w:sz w:val="18"/>
                      <w:szCs w:val="18"/>
                    </w:rPr>
                  </w:pPr>
                  <w:r>
                    <w:rPr>
                      <w:sz w:val="18"/>
                      <w:szCs w:val="18"/>
                    </w:rPr>
                    <w:t>3.69</w:t>
                  </w:r>
                </w:p>
              </w:tc>
            </w:tr>
          </w:tbl>
          <w:p>
            <w:pPr>
              <w:pStyle w:val="128"/>
              <w:ind w:firstLine="480"/>
              <w:rPr>
                <w:szCs w:val="24"/>
              </w:rPr>
            </w:pPr>
            <w:r>
              <w:rPr>
                <w:rFonts w:hint="eastAsia"/>
                <w:szCs w:val="24"/>
              </w:rPr>
              <w:t>（6）食堂废气</w:t>
            </w:r>
          </w:p>
          <w:p>
            <w:pPr>
              <w:pStyle w:val="128"/>
              <w:ind w:firstLine="480"/>
            </w:pPr>
            <w:r>
              <w:rPr>
                <w:rFonts w:hint="eastAsia"/>
              </w:rPr>
              <w:t>拟建项目设一座食堂，为100名员工供应三餐，每年330天，食堂每天运行6h，年运行1980h。根据《餐饮业大气污染物排放标准》（DB50/859-2018），本项目食堂的基准灶头数根据实际就餐座位数折算为4个基准灶头，设计排放风量=基准灶头数×基准风量（单个基准灶头的基准风量以2000m</w:t>
            </w:r>
            <w:r>
              <w:rPr>
                <w:rFonts w:hint="eastAsia"/>
                <w:vertAlign w:val="superscript"/>
              </w:rPr>
              <w:t>3</w:t>
            </w:r>
            <w:r>
              <w:rPr>
                <w:rFonts w:hint="eastAsia"/>
              </w:rPr>
              <w:t>/h计），则风量为8000m</w:t>
            </w:r>
            <w:r>
              <w:rPr>
                <w:rFonts w:hint="eastAsia"/>
                <w:vertAlign w:val="superscript"/>
              </w:rPr>
              <w:t>3</w:t>
            </w:r>
            <w:r>
              <w:rPr>
                <w:rFonts w:hint="eastAsia"/>
              </w:rPr>
              <w:t>/h。</w:t>
            </w:r>
          </w:p>
          <w:p>
            <w:pPr>
              <w:spacing w:line="480" w:lineRule="exact"/>
              <w:ind w:firstLine="480" w:firstLineChars="200"/>
              <w:rPr>
                <w:sz w:val="24"/>
              </w:rPr>
            </w:pPr>
            <w:r>
              <w:rPr>
                <w:rFonts w:hint="eastAsia"/>
                <w:sz w:val="24"/>
              </w:rPr>
              <w:t>植物油消耗量按0.04kg/人•顿计算，全年共消耗植物油3.96t。植物油在炒菜时挥发损失约3%，产生油烟废气，产生量约为0.12t/a，产生速率为0.06kg/h，产生浓度为7.5mg/m</w:t>
            </w:r>
            <w:r>
              <w:rPr>
                <w:rFonts w:hint="eastAsia"/>
                <w:sz w:val="24"/>
                <w:vertAlign w:val="superscript"/>
              </w:rPr>
              <w:t>3</w:t>
            </w:r>
            <w:r>
              <w:rPr>
                <w:rFonts w:hint="eastAsia"/>
                <w:sz w:val="24"/>
              </w:rPr>
              <w:t>。根据张春洋、马永亮的《中式餐饮业油烟中非甲烷碳氢化合物排放特征》研究报告可知，食堂废气中非甲烷总烃产生浓度约为9.13~14.2mg/m</w:t>
            </w:r>
            <w:r>
              <w:rPr>
                <w:rFonts w:hint="eastAsia"/>
                <w:sz w:val="24"/>
                <w:vertAlign w:val="superscript"/>
              </w:rPr>
              <w:t>3</w:t>
            </w:r>
            <w:r>
              <w:rPr>
                <w:rFonts w:hint="eastAsia"/>
                <w:sz w:val="24"/>
              </w:rPr>
              <w:t>，本项目食堂非甲烷总烃产生浓度取12mg/m</w:t>
            </w:r>
            <w:r>
              <w:rPr>
                <w:rFonts w:hint="eastAsia"/>
                <w:sz w:val="24"/>
                <w:vertAlign w:val="superscript"/>
              </w:rPr>
              <w:t>3</w:t>
            </w:r>
            <w:r>
              <w:rPr>
                <w:rFonts w:hint="eastAsia"/>
                <w:sz w:val="24"/>
              </w:rPr>
              <w:t>，非甲烷总烃产生量约为0.2t/a，产生速率为0.1kg/h。</w:t>
            </w:r>
          </w:p>
          <w:p>
            <w:pPr>
              <w:spacing w:line="480" w:lineRule="exact"/>
              <w:ind w:firstLine="480" w:firstLineChars="200"/>
              <w:rPr>
                <w:sz w:val="24"/>
              </w:rPr>
            </w:pPr>
            <w:r>
              <w:rPr>
                <w:rFonts w:hint="eastAsia"/>
                <w:sz w:val="24"/>
              </w:rPr>
              <w:t>根据《餐饮业大气污染物排放标准》（DB50/859-2018），本项目食堂属大型餐饮单位，净化设备的油烟去除效率应≥90%，本项目取90%，非甲烷总烃的去除效率应≥75%，本项目取75%，则食堂产生的油烟经集气罩收集（80%收集率）后经油烟去除效率不低于90%，非甲烷总烃的去除效率不低于75%的油烟净化器处理后引至综合楼屋顶排放。拟建项目食堂废气污染物产生和排放情况见表</w:t>
            </w:r>
            <w:r>
              <w:rPr>
                <w:sz w:val="24"/>
              </w:rPr>
              <w:t>4.2.1-5</w:t>
            </w:r>
            <w:r>
              <w:rPr>
                <w:rFonts w:hint="eastAsia"/>
                <w:sz w:val="24"/>
              </w:rPr>
              <w:t>。</w:t>
            </w:r>
          </w:p>
          <w:p>
            <w:pPr>
              <w:pStyle w:val="45"/>
              <w:spacing w:after="60"/>
              <w:rPr>
                <w:sz w:val="18"/>
                <w:szCs w:val="18"/>
              </w:rPr>
            </w:pPr>
            <w:r>
              <w:rPr>
                <w:rFonts w:hint="eastAsia"/>
                <w:sz w:val="18"/>
                <w:szCs w:val="18"/>
              </w:rPr>
              <w:t>表</w:t>
            </w:r>
            <w:r>
              <w:rPr>
                <w:rFonts w:ascii="Times New Roman" w:hAnsi="Times New Roman"/>
                <w:sz w:val="18"/>
                <w:szCs w:val="18"/>
              </w:rPr>
              <w:t>4.2.1-5</w:t>
            </w:r>
            <w:r>
              <w:rPr>
                <w:rFonts w:hint="eastAsia"/>
                <w:sz w:val="18"/>
                <w:szCs w:val="18"/>
              </w:rPr>
              <w:t xml:space="preserve"> 食堂废气污染物产生和排放一览表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735"/>
              <w:gridCol w:w="855"/>
              <w:gridCol w:w="859"/>
              <w:gridCol w:w="734"/>
              <w:gridCol w:w="740"/>
              <w:gridCol w:w="614"/>
              <w:gridCol w:w="732"/>
              <w:gridCol w:w="982"/>
              <w:gridCol w:w="73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pStyle w:val="36"/>
                    <w:spacing w:beforeLines="0" w:afterLines="0" w:line="240" w:lineRule="exact"/>
                    <w:rPr>
                      <w:rFonts w:ascii="Times New Roman"/>
                      <w:sz w:val="18"/>
                      <w:szCs w:val="18"/>
                    </w:rPr>
                  </w:pPr>
                  <w:r>
                    <w:rPr>
                      <w:rFonts w:ascii="Times New Roman"/>
                      <w:sz w:val="18"/>
                      <w:szCs w:val="18"/>
                    </w:rPr>
                    <w:t>污染源</w:t>
                  </w:r>
                </w:p>
              </w:tc>
              <w:tc>
                <w:tcPr>
                  <w:tcW w:w="447" w:type="pct"/>
                  <w:vMerge w:val="restart"/>
                  <w:vAlign w:val="center"/>
                </w:tcPr>
                <w:p>
                  <w:pPr>
                    <w:pStyle w:val="36"/>
                    <w:spacing w:beforeLines="0" w:afterLines="0" w:line="240" w:lineRule="exact"/>
                    <w:rPr>
                      <w:rFonts w:ascii="Times New Roman"/>
                      <w:sz w:val="18"/>
                      <w:szCs w:val="18"/>
                    </w:rPr>
                  </w:pPr>
                  <w:r>
                    <w:rPr>
                      <w:rFonts w:ascii="Times New Roman"/>
                      <w:sz w:val="18"/>
                      <w:szCs w:val="18"/>
                    </w:rPr>
                    <w:t>废气量（m</w:t>
                  </w:r>
                  <w:r>
                    <w:rPr>
                      <w:rFonts w:ascii="Times New Roman"/>
                      <w:sz w:val="18"/>
                      <w:szCs w:val="18"/>
                      <w:vertAlign w:val="superscript"/>
                    </w:rPr>
                    <w:t>3</w:t>
                  </w:r>
                  <w:r>
                    <w:rPr>
                      <w:rFonts w:ascii="Times New Roman"/>
                      <w:sz w:val="18"/>
                      <w:szCs w:val="18"/>
                    </w:rPr>
                    <w:t>/h）</w:t>
                  </w:r>
                </w:p>
              </w:tc>
              <w:tc>
                <w:tcPr>
                  <w:tcW w:w="520" w:type="pct"/>
                  <w:vMerge w:val="restart"/>
                  <w:vAlign w:val="center"/>
                </w:tcPr>
                <w:p>
                  <w:pPr>
                    <w:pStyle w:val="36"/>
                    <w:spacing w:beforeLines="0" w:afterLines="0" w:line="240" w:lineRule="exact"/>
                    <w:rPr>
                      <w:rFonts w:ascii="Times New Roman"/>
                      <w:sz w:val="18"/>
                      <w:szCs w:val="18"/>
                    </w:rPr>
                  </w:pPr>
                  <w:r>
                    <w:rPr>
                      <w:rFonts w:ascii="Times New Roman"/>
                      <w:sz w:val="18"/>
                      <w:szCs w:val="18"/>
                    </w:rPr>
                    <w:t>污染物</w:t>
                  </w:r>
                </w:p>
              </w:tc>
              <w:tc>
                <w:tcPr>
                  <w:tcW w:w="1418" w:type="pct"/>
                  <w:gridSpan w:val="3"/>
                  <w:vAlign w:val="center"/>
                </w:tcPr>
                <w:p>
                  <w:pPr>
                    <w:pStyle w:val="36"/>
                    <w:spacing w:beforeLines="0" w:afterLines="0" w:line="240" w:lineRule="exact"/>
                    <w:rPr>
                      <w:rFonts w:ascii="Times New Roman"/>
                      <w:sz w:val="18"/>
                      <w:szCs w:val="18"/>
                    </w:rPr>
                  </w:pPr>
                  <w:r>
                    <w:rPr>
                      <w:rFonts w:ascii="Times New Roman"/>
                      <w:sz w:val="18"/>
                      <w:szCs w:val="18"/>
                    </w:rPr>
                    <w:t>产生情况</w:t>
                  </w:r>
                </w:p>
              </w:tc>
              <w:tc>
                <w:tcPr>
                  <w:tcW w:w="373" w:type="pct"/>
                  <w:vMerge w:val="restart"/>
                  <w:vAlign w:val="center"/>
                </w:tcPr>
                <w:p>
                  <w:pPr>
                    <w:pStyle w:val="36"/>
                    <w:spacing w:beforeLines="0" w:afterLines="0" w:line="240" w:lineRule="exact"/>
                    <w:rPr>
                      <w:rFonts w:ascii="Times New Roman"/>
                      <w:sz w:val="18"/>
                      <w:szCs w:val="18"/>
                    </w:rPr>
                  </w:pPr>
                  <w:r>
                    <w:rPr>
                      <w:rFonts w:ascii="Times New Roman"/>
                      <w:sz w:val="18"/>
                      <w:szCs w:val="18"/>
                    </w:rPr>
                    <w:t>处理措施</w:t>
                  </w:r>
                </w:p>
              </w:tc>
              <w:tc>
                <w:tcPr>
                  <w:tcW w:w="445" w:type="pct"/>
                  <w:vMerge w:val="restart"/>
                  <w:vAlign w:val="center"/>
                </w:tcPr>
                <w:p>
                  <w:pPr>
                    <w:pStyle w:val="36"/>
                    <w:spacing w:beforeLines="0" w:afterLines="0" w:line="240" w:lineRule="exact"/>
                    <w:rPr>
                      <w:rFonts w:ascii="Times New Roman"/>
                      <w:sz w:val="18"/>
                      <w:szCs w:val="18"/>
                    </w:rPr>
                  </w:pPr>
                  <w:r>
                    <w:rPr>
                      <w:rFonts w:ascii="Times New Roman"/>
                      <w:sz w:val="18"/>
                      <w:szCs w:val="18"/>
                    </w:rPr>
                    <w:t>去除效率</w:t>
                  </w:r>
                </w:p>
              </w:tc>
              <w:tc>
                <w:tcPr>
                  <w:tcW w:w="1444" w:type="pct"/>
                  <w:gridSpan w:val="3"/>
                  <w:vAlign w:val="center"/>
                </w:tcPr>
                <w:p>
                  <w:pPr>
                    <w:pStyle w:val="36"/>
                    <w:spacing w:beforeLines="0" w:afterLines="0" w:line="240" w:lineRule="exact"/>
                    <w:rPr>
                      <w:rFonts w:ascii="Times New Roman"/>
                      <w:sz w:val="18"/>
                      <w:szCs w:val="18"/>
                    </w:rPr>
                  </w:pPr>
                  <w:r>
                    <w:rPr>
                      <w:rFonts w:ascii="Times New Roman"/>
                      <w:sz w:val="18"/>
                      <w:szCs w:val="18"/>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pPr>
                    <w:pStyle w:val="36"/>
                    <w:spacing w:beforeLines="0" w:afterLines="0" w:line="240" w:lineRule="exact"/>
                    <w:rPr>
                      <w:rFonts w:ascii="Times New Roman"/>
                      <w:sz w:val="18"/>
                      <w:szCs w:val="18"/>
                    </w:rPr>
                  </w:pPr>
                </w:p>
              </w:tc>
              <w:tc>
                <w:tcPr>
                  <w:tcW w:w="447" w:type="pct"/>
                  <w:vMerge w:val="continue"/>
                  <w:vAlign w:val="center"/>
                </w:tcPr>
                <w:p>
                  <w:pPr>
                    <w:pStyle w:val="36"/>
                    <w:spacing w:beforeLines="0" w:afterLines="0" w:line="240" w:lineRule="exact"/>
                    <w:rPr>
                      <w:rFonts w:ascii="Times New Roman"/>
                      <w:sz w:val="18"/>
                      <w:szCs w:val="18"/>
                    </w:rPr>
                  </w:pPr>
                </w:p>
              </w:tc>
              <w:tc>
                <w:tcPr>
                  <w:tcW w:w="520" w:type="pct"/>
                  <w:vMerge w:val="continue"/>
                  <w:vAlign w:val="center"/>
                </w:tcPr>
                <w:p>
                  <w:pPr>
                    <w:pStyle w:val="36"/>
                    <w:spacing w:beforeLines="0" w:afterLines="0" w:line="240" w:lineRule="exact"/>
                    <w:rPr>
                      <w:rFonts w:ascii="Times New Roman"/>
                      <w:sz w:val="18"/>
                      <w:szCs w:val="18"/>
                    </w:rPr>
                  </w:pPr>
                </w:p>
              </w:tc>
              <w:tc>
                <w:tcPr>
                  <w:tcW w:w="522" w:type="pct"/>
                  <w:vAlign w:val="center"/>
                </w:tcPr>
                <w:p>
                  <w:pPr>
                    <w:pStyle w:val="36"/>
                    <w:spacing w:beforeLines="0" w:afterLines="0" w:line="240" w:lineRule="exact"/>
                    <w:rPr>
                      <w:rFonts w:ascii="Times New Roman"/>
                      <w:sz w:val="18"/>
                      <w:szCs w:val="18"/>
                    </w:rPr>
                  </w:pPr>
                  <w:r>
                    <w:rPr>
                      <w:rFonts w:ascii="Times New Roman"/>
                      <w:sz w:val="18"/>
                      <w:szCs w:val="18"/>
                    </w:rPr>
                    <w:t>浓度(mg/m</w:t>
                  </w:r>
                  <w:r>
                    <w:rPr>
                      <w:rFonts w:ascii="Times New Roman"/>
                      <w:sz w:val="18"/>
                      <w:szCs w:val="18"/>
                      <w:vertAlign w:val="superscript"/>
                    </w:rPr>
                    <w:t>3</w:t>
                  </w:r>
                  <w:r>
                    <w:rPr>
                      <w:rFonts w:ascii="Times New Roman"/>
                      <w:sz w:val="18"/>
                      <w:szCs w:val="18"/>
                    </w:rPr>
                    <w:t>)</w:t>
                  </w:r>
                </w:p>
              </w:tc>
              <w:tc>
                <w:tcPr>
                  <w:tcW w:w="446" w:type="pct"/>
                  <w:vAlign w:val="center"/>
                </w:tcPr>
                <w:p>
                  <w:pPr>
                    <w:pStyle w:val="36"/>
                    <w:spacing w:beforeLines="0" w:afterLines="0" w:line="240" w:lineRule="exact"/>
                    <w:rPr>
                      <w:rFonts w:ascii="Times New Roman"/>
                      <w:sz w:val="18"/>
                      <w:szCs w:val="18"/>
                    </w:rPr>
                  </w:pPr>
                  <w:r>
                    <w:rPr>
                      <w:rFonts w:ascii="Times New Roman"/>
                      <w:sz w:val="18"/>
                      <w:szCs w:val="18"/>
                    </w:rPr>
                    <w:t>速率(kg/h)</w:t>
                  </w:r>
                </w:p>
              </w:tc>
              <w:tc>
                <w:tcPr>
                  <w:tcW w:w="450" w:type="pct"/>
                  <w:vAlign w:val="center"/>
                </w:tcPr>
                <w:p>
                  <w:pPr>
                    <w:pStyle w:val="36"/>
                    <w:spacing w:beforeLines="0" w:afterLines="0" w:line="240" w:lineRule="exact"/>
                    <w:rPr>
                      <w:rFonts w:ascii="Times New Roman"/>
                      <w:sz w:val="18"/>
                      <w:szCs w:val="18"/>
                    </w:rPr>
                  </w:pPr>
                  <w:r>
                    <w:rPr>
                      <w:rFonts w:ascii="Times New Roman"/>
                      <w:sz w:val="18"/>
                      <w:szCs w:val="18"/>
                    </w:rPr>
                    <w:t>产生(t/a)</w:t>
                  </w:r>
                </w:p>
              </w:tc>
              <w:tc>
                <w:tcPr>
                  <w:tcW w:w="373" w:type="pct"/>
                  <w:vMerge w:val="continue"/>
                  <w:vAlign w:val="center"/>
                </w:tcPr>
                <w:p>
                  <w:pPr>
                    <w:pStyle w:val="36"/>
                    <w:spacing w:beforeLines="0" w:afterLines="0" w:line="240" w:lineRule="exact"/>
                    <w:rPr>
                      <w:rFonts w:ascii="Times New Roman"/>
                      <w:sz w:val="18"/>
                      <w:szCs w:val="18"/>
                    </w:rPr>
                  </w:pPr>
                </w:p>
              </w:tc>
              <w:tc>
                <w:tcPr>
                  <w:tcW w:w="445" w:type="pct"/>
                  <w:vMerge w:val="continue"/>
                  <w:vAlign w:val="center"/>
                </w:tcPr>
                <w:p>
                  <w:pPr>
                    <w:pStyle w:val="36"/>
                    <w:spacing w:beforeLines="0" w:afterLines="0" w:line="240" w:lineRule="exact"/>
                    <w:rPr>
                      <w:rFonts w:ascii="Times New Roman"/>
                      <w:sz w:val="18"/>
                      <w:szCs w:val="18"/>
                    </w:rPr>
                  </w:pPr>
                </w:p>
              </w:tc>
              <w:tc>
                <w:tcPr>
                  <w:tcW w:w="597" w:type="pct"/>
                  <w:vAlign w:val="center"/>
                </w:tcPr>
                <w:p>
                  <w:pPr>
                    <w:pStyle w:val="36"/>
                    <w:spacing w:beforeLines="0" w:afterLines="0" w:line="240" w:lineRule="exact"/>
                    <w:rPr>
                      <w:rFonts w:ascii="Times New Roman"/>
                      <w:sz w:val="18"/>
                      <w:szCs w:val="18"/>
                    </w:rPr>
                  </w:pPr>
                  <w:r>
                    <w:rPr>
                      <w:rFonts w:ascii="Times New Roman"/>
                      <w:sz w:val="18"/>
                      <w:szCs w:val="18"/>
                    </w:rPr>
                    <w:t>浓度(mg/m</w:t>
                  </w:r>
                  <w:r>
                    <w:rPr>
                      <w:rFonts w:ascii="Times New Roman"/>
                      <w:sz w:val="18"/>
                      <w:szCs w:val="18"/>
                      <w:vertAlign w:val="superscript"/>
                    </w:rPr>
                    <w:t>3</w:t>
                  </w:r>
                  <w:r>
                    <w:rPr>
                      <w:rFonts w:ascii="Times New Roman"/>
                      <w:sz w:val="18"/>
                      <w:szCs w:val="18"/>
                    </w:rPr>
                    <w:t>)</w:t>
                  </w:r>
                </w:p>
              </w:tc>
              <w:tc>
                <w:tcPr>
                  <w:tcW w:w="447" w:type="pct"/>
                  <w:vAlign w:val="center"/>
                </w:tcPr>
                <w:p>
                  <w:pPr>
                    <w:pStyle w:val="36"/>
                    <w:spacing w:beforeLines="0" w:afterLines="0" w:line="240" w:lineRule="exact"/>
                    <w:rPr>
                      <w:rFonts w:ascii="Times New Roman"/>
                      <w:sz w:val="18"/>
                      <w:szCs w:val="18"/>
                    </w:rPr>
                  </w:pPr>
                  <w:r>
                    <w:rPr>
                      <w:rFonts w:ascii="Times New Roman"/>
                      <w:sz w:val="18"/>
                      <w:szCs w:val="18"/>
                    </w:rPr>
                    <w:t>速率(kg/h)</w:t>
                  </w:r>
                </w:p>
              </w:tc>
              <w:tc>
                <w:tcPr>
                  <w:tcW w:w="400" w:type="pct"/>
                  <w:vAlign w:val="center"/>
                </w:tcPr>
                <w:p>
                  <w:pPr>
                    <w:pStyle w:val="36"/>
                    <w:spacing w:beforeLines="0" w:afterLines="0" w:line="240" w:lineRule="exact"/>
                    <w:rPr>
                      <w:rFonts w:ascii="Times New Roman"/>
                      <w:sz w:val="18"/>
                      <w:szCs w:val="18"/>
                    </w:rPr>
                  </w:pPr>
                  <w:r>
                    <w:rPr>
                      <w:rFonts w:ascii="Times New Roman"/>
                      <w:sz w:val="18"/>
                      <w:szCs w:val="18"/>
                    </w:rPr>
                    <w:t>排放(t/a)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restart"/>
                  <w:vAlign w:val="center"/>
                </w:tcPr>
                <w:p>
                  <w:pPr>
                    <w:pStyle w:val="36"/>
                    <w:spacing w:beforeLines="0" w:afterLines="0" w:line="240" w:lineRule="exact"/>
                    <w:rPr>
                      <w:rFonts w:ascii="Times New Roman"/>
                      <w:sz w:val="18"/>
                      <w:szCs w:val="18"/>
                    </w:rPr>
                  </w:pPr>
                  <w:r>
                    <w:rPr>
                      <w:rFonts w:ascii="Times New Roman"/>
                      <w:sz w:val="18"/>
                      <w:szCs w:val="18"/>
                    </w:rPr>
                    <w:t>食堂</w:t>
                  </w:r>
                </w:p>
              </w:tc>
              <w:tc>
                <w:tcPr>
                  <w:tcW w:w="447" w:type="pct"/>
                  <w:vMerge w:val="restart"/>
                  <w:vAlign w:val="center"/>
                </w:tcPr>
                <w:p>
                  <w:pPr>
                    <w:pStyle w:val="36"/>
                    <w:spacing w:beforeLines="0" w:afterLines="0" w:line="240" w:lineRule="exact"/>
                    <w:rPr>
                      <w:rFonts w:ascii="Times New Roman"/>
                      <w:sz w:val="18"/>
                      <w:szCs w:val="18"/>
                    </w:rPr>
                  </w:pPr>
                  <w:r>
                    <w:rPr>
                      <w:rFonts w:hint="eastAsia" w:ascii="Times New Roman"/>
                      <w:sz w:val="18"/>
                      <w:szCs w:val="18"/>
                    </w:rPr>
                    <w:t>8</w:t>
                  </w:r>
                  <w:r>
                    <w:rPr>
                      <w:rFonts w:ascii="Times New Roman"/>
                      <w:sz w:val="18"/>
                      <w:szCs w:val="18"/>
                    </w:rPr>
                    <w:t>000</w:t>
                  </w:r>
                </w:p>
              </w:tc>
              <w:tc>
                <w:tcPr>
                  <w:tcW w:w="520" w:type="pct"/>
                  <w:vAlign w:val="center"/>
                </w:tcPr>
                <w:p>
                  <w:pPr>
                    <w:pStyle w:val="36"/>
                    <w:spacing w:beforeLines="0" w:afterLines="0" w:line="240" w:lineRule="exact"/>
                    <w:rPr>
                      <w:rFonts w:ascii="Times New Roman"/>
                      <w:sz w:val="18"/>
                      <w:szCs w:val="18"/>
                    </w:rPr>
                  </w:pPr>
                  <w:r>
                    <w:rPr>
                      <w:rFonts w:ascii="Times New Roman"/>
                      <w:sz w:val="18"/>
                      <w:szCs w:val="18"/>
                    </w:rPr>
                    <w:t>油烟</w:t>
                  </w:r>
                </w:p>
              </w:tc>
              <w:tc>
                <w:tcPr>
                  <w:tcW w:w="522" w:type="pct"/>
                  <w:vAlign w:val="center"/>
                </w:tcPr>
                <w:p>
                  <w:pPr>
                    <w:pStyle w:val="36"/>
                    <w:spacing w:beforeLines="0" w:afterLines="0" w:line="240" w:lineRule="exact"/>
                    <w:rPr>
                      <w:rFonts w:ascii="Times New Roman"/>
                      <w:sz w:val="18"/>
                      <w:szCs w:val="18"/>
                    </w:rPr>
                  </w:pPr>
                  <w:r>
                    <w:rPr>
                      <w:rFonts w:ascii="Times New Roman"/>
                      <w:sz w:val="18"/>
                      <w:szCs w:val="18"/>
                    </w:rPr>
                    <w:t>7.5</w:t>
                  </w:r>
                </w:p>
              </w:tc>
              <w:tc>
                <w:tcPr>
                  <w:tcW w:w="446" w:type="pct"/>
                  <w:vAlign w:val="center"/>
                </w:tcPr>
                <w:p>
                  <w:pPr>
                    <w:pStyle w:val="36"/>
                    <w:spacing w:beforeLines="0" w:afterLines="0" w:line="240" w:lineRule="exact"/>
                    <w:rPr>
                      <w:rFonts w:ascii="Times New Roman"/>
                      <w:sz w:val="18"/>
                      <w:szCs w:val="18"/>
                    </w:rPr>
                  </w:pPr>
                  <w:r>
                    <w:rPr>
                      <w:rFonts w:ascii="Times New Roman"/>
                      <w:sz w:val="18"/>
                      <w:szCs w:val="18"/>
                    </w:rPr>
                    <w:t>0.06</w:t>
                  </w:r>
                </w:p>
              </w:tc>
              <w:tc>
                <w:tcPr>
                  <w:tcW w:w="450" w:type="pct"/>
                  <w:vAlign w:val="center"/>
                </w:tcPr>
                <w:p>
                  <w:pPr>
                    <w:pStyle w:val="36"/>
                    <w:spacing w:beforeLines="0" w:afterLines="0" w:line="240" w:lineRule="exact"/>
                    <w:rPr>
                      <w:rFonts w:ascii="Times New Roman"/>
                      <w:sz w:val="18"/>
                      <w:szCs w:val="18"/>
                    </w:rPr>
                  </w:pPr>
                  <w:r>
                    <w:rPr>
                      <w:rFonts w:ascii="Times New Roman"/>
                      <w:sz w:val="18"/>
                      <w:szCs w:val="18"/>
                    </w:rPr>
                    <w:t>0.12</w:t>
                  </w:r>
                </w:p>
              </w:tc>
              <w:tc>
                <w:tcPr>
                  <w:tcW w:w="373" w:type="pct"/>
                  <w:vMerge w:val="restart"/>
                  <w:vAlign w:val="center"/>
                </w:tcPr>
                <w:p>
                  <w:pPr>
                    <w:pStyle w:val="36"/>
                    <w:spacing w:beforeLines="0" w:afterLines="0" w:line="240" w:lineRule="exact"/>
                    <w:rPr>
                      <w:rFonts w:ascii="Times New Roman"/>
                      <w:sz w:val="18"/>
                      <w:szCs w:val="18"/>
                    </w:rPr>
                  </w:pPr>
                  <w:r>
                    <w:rPr>
                      <w:rFonts w:ascii="Times New Roman"/>
                      <w:sz w:val="18"/>
                      <w:szCs w:val="18"/>
                    </w:rPr>
                    <w:t>油烟净化装置</w:t>
                  </w:r>
                </w:p>
              </w:tc>
              <w:tc>
                <w:tcPr>
                  <w:tcW w:w="445" w:type="pct"/>
                  <w:vAlign w:val="center"/>
                </w:tcPr>
                <w:p>
                  <w:pPr>
                    <w:pStyle w:val="36"/>
                    <w:spacing w:beforeLines="0" w:afterLines="0" w:line="240" w:lineRule="exact"/>
                    <w:rPr>
                      <w:rFonts w:ascii="Times New Roman"/>
                      <w:sz w:val="18"/>
                      <w:szCs w:val="18"/>
                    </w:rPr>
                  </w:pPr>
                  <w:r>
                    <w:rPr>
                      <w:rFonts w:ascii="Times New Roman"/>
                      <w:sz w:val="18"/>
                      <w:szCs w:val="18"/>
                    </w:rPr>
                    <w:t>95%</w:t>
                  </w:r>
                </w:p>
              </w:tc>
              <w:tc>
                <w:tcPr>
                  <w:tcW w:w="597" w:type="pct"/>
                  <w:vAlign w:val="center"/>
                </w:tcPr>
                <w:p>
                  <w:pPr>
                    <w:pStyle w:val="36"/>
                    <w:spacing w:beforeLines="0" w:afterLines="0" w:line="240" w:lineRule="exact"/>
                    <w:rPr>
                      <w:rFonts w:ascii="Times New Roman"/>
                      <w:sz w:val="18"/>
                      <w:szCs w:val="18"/>
                    </w:rPr>
                  </w:pPr>
                  <w:r>
                    <w:rPr>
                      <w:rFonts w:ascii="Times New Roman"/>
                      <w:sz w:val="18"/>
                      <w:szCs w:val="18"/>
                    </w:rPr>
                    <w:t>0.34</w:t>
                  </w:r>
                </w:p>
              </w:tc>
              <w:tc>
                <w:tcPr>
                  <w:tcW w:w="447" w:type="pct"/>
                  <w:vAlign w:val="center"/>
                </w:tcPr>
                <w:p>
                  <w:pPr>
                    <w:pStyle w:val="36"/>
                    <w:spacing w:beforeLines="0" w:afterLines="0" w:line="240" w:lineRule="exact"/>
                    <w:rPr>
                      <w:rFonts w:ascii="Times New Roman"/>
                      <w:sz w:val="18"/>
                      <w:szCs w:val="18"/>
                    </w:rPr>
                  </w:pPr>
                  <w:r>
                    <w:rPr>
                      <w:rFonts w:ascii="Times New Roman"/>
                      <w:sz w:val="18"/>
                      <w:szCs w:val="18"/>
                    </w:rPr>
                    <w:t>0.003</w:t>
                  </w:r>
                </w:p>
              </w:tc>
              <w:tc>
                <w:tcPr>
                  <w:tcW w:w="400" w:type="pct"/>
                  <w:vAlign w:val="center"/>
                </w:tcPr>
                <w:p>
                  <w:pPr>
                    <w:pStyle w:val="36"/>
                    <w:spacing w:beforeLines="0" w:afterLines="0" w:line="240" w:lineRule="exact"/>
                    <w:rPr>
                      <w:rFonts w:ascii="Times New Roman"/>
                      <w:sz w:val="18"/>
                      <w:szCs w:val="18"/>
                    </w:rPr>
                  </w:pPr>
                  <w:r>
                    <w:rPr>
                      <w:rFonts w:ascii="Times New Roman"/>
                      <w:sz w:val="18"/>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Merge w:val="continue"/>
                  <w:vAlign w:val="center"/>
                </w:tcPr>
                <w:p>
                  <w:pPr>
                    <w:pStyle w:val="36"/>
                    <w:spacing w:beforeLines="0" w:afterLines="0" w:line="240" w:lineRule="exact"/>
                    <w:rPr>
                      <w:rFonts w:ascii="Times New Roman"/>
                      <w:sz w:val="18"/>
                      <w:szCs w:val="18"/>
                    </w:rPr>
                  </w:pPr>
                </w:p>
              </w:tc>
              <w:tc>
                <w:tcPr>
                  <w:tcW w:w="447" w:type="pct"/>
                  <w:vMerge w:val="continue"/>
                  <w:vAlign w:val="center"/>
                </w:tcPr>
                <w:p>
                  <w:pPr>
                    <w:pStyle w:val="36"/>
                    <w:spacing w:beforeLines="0" w:afterLines="0" w:line="240" w:lineRule="exact"/>
                    <w:rPr>
                      <w:rFonts w:ascii="Times New Roman"/>
                      <w:sz w:val="18"/>
                      <w:szCs w:val="18"/>
                    </w:rPr>
                  </w:pPr>
                </w:p>
              </w:tc>
              <w:tc>
                <w:tcPr>
                  <w:tcW w:w="520" w:type="pct"/>
                  <w:vAlign w:val="center"/>
                </w:tcPr>
                <w:p>
                  <w:pPr>
                    <w:pStyle w:val="36"/>
                    <w:spacing w:beforeLines="0" w:afterLines="0" w:line="240" w:lineRule="exact"/>
                    <w:rPr>
                      <w:rFonts w:ascii="Times New Roman"/>
                      <w:sz w:val="18"/>
                      <w:szCs w:val="18"/>
                    </w:rPr>
                  </w:pPr>
                  <w:r>
                    <w:rPr>
                      <w:rFonts w:ascii="Times New Roman"/>
                      <w:sz w:val="18"/>
                      <w:szCs w:val="18"/>
                    </w:rPr>
                    <w:t>非甲烷总烃</w:t>
                  </w:r>
                </w:p>
              </w:tc>
              <w:tc>
                <w:tcPr>
                  <w:tcW w:w="522" w:type="pct"/>
                  <w:vAlign w:val="center"/>
                </w:tcPr>
                <w:p>
                  <w:pPr>
                    <w:pStyle w:val="36"/>
                    <w:spacing w:beforeLines="0" w:afterLines="0" w:line="240" w:lineRule="exact"/>
                    <w:rPr>
                      <w:rFonts w:ascii="Times New Roman"/>
                      <w:sz w:val="18"/>
                      <w:szCs w:val="18"/>
                    </w:rPr>
                  </w:pPr>
                  <w:r>
                    <w:rPr>
                      <w:rFonts w:ascii="Times New Roman"/>
                      <w:sz w:val="18"/>
                      <w:szCs w:val="18"/>
                    </w:rPr>
                    <w:t>12</w:t>
                  </w:r>
                </w:p>
              </w:tc>
              <w:tc>
                <w:tcPr>
                  <w:tcW w:w="446" w:type="pct"/>
                  <w:vAlign w:val="center"/>
                </w:tcPr>
                <w:p>
                  <w:pPr>
                    <w:pStyle w:val="36"/>
                    <w:spacing w:beforeLines="0" w:afterLines="0" w:line="240" w:lineRule="exact"/>
                    <w:rPr>
                      <w:rFonts w:ascii="Times New Roman"/>
                      <w:sz w:val="18"/>
                      <w:szCs w:val="18"/>
                    </w:rPr>
                  </w:pPr>
                  <w:r>
                    <w:rPr>
                      <w:rFonts w:ascii="Times New Roman"/>
                      <w:sz w:val="18"/>
                      <w:szCs w:val="18"/>
                    </w:rPr>
                    <w:t>0.1</w:t>
                  </w:r>
                </w:p>
              </w:tc>
              <w:tc>
                <w:tcPr>
                  <w:tcW w:w="450" w:type="pct"/>
                  <w:vAlign w:val="center"/>
                </w:tcPr>
                <w:p>
                  <w:pPr>
                    <w:pStyle w:val="36"/>
                    <w:spacing w:beforeLines="0" w:afterLines="0" w:line="240" w:lineRule="exact"/>
                    <w:rPr>
                      <w:rFonts w:ascii="Times New Roman"/>
                      <w:sz w:val="18"/>
                      <w:szCs w:val="18"/>
                    </w:rPr>
                  </w:pPr>
                  <w:r>
                    <w:rPr>
                      <w:rFonts w:ascii="Times New Roman"/>
                      <w:sz w:val="18"/>
                      <w:szCs w:val="18"/>
                    </w:rPr>
                    <w:t>0.2</w:t>
                  </w:r>
                </w:p>
              </w:tc>
              <w:tc>
                <w:tcPr>
                  <w:tcW w:w="373" w:type="pct"/>
                  <w:vMerge w:val="continue"/>
                  <w:vAlign w:val="center"/>
                </w:tcPr>
                <w:p>
                  <w:pPr>
                    <w:pStyle w:val="36"/>
                    <w:spacing w:beforeLines="0" w:afterLines="0" w:line="240" w:lineRule="exact"/>
                    <w:rPr>
                      <w:rFonts w:ascii="Times New Roman"/>
                      <w:sz w:val="18"/>
                      <w:szCs w:val="18"/>
                    </w:rPr>
                  </w:pPr>
                </w:p>
              </w:tc>
              <w:tc>
                <w:tcPr>
                  <w:tcW w:w="445" w:type="pct"/>
                  <w:vAlign w:val="center"/>
                </w:tcPr>
                <w:p>
                  <w:pPr>
                    <w:pStyle w:val="36"/>
                    <w:spacing w:beforeLines="0" w:afterLines="0" w:line="240" w:lineRule="exact"/>
                    <w:rPr>
                      <w:rFonts w:ascii="Times New Roman"/>
                      <w:sz w:val="18"/>
                      <w:szCs w:val="18"/>
                    </w:rPr>
                  </w:pPr>
                  <w:r>
                    <w:rPr>
                      <w:rFonts w:ascii="Times New Roman"/>
                      <w:sz w:val="18"/>
                      <w:szCs w:val="18"/>
                    </w:rPr>
                    <w:t>75%</w:t>
                  </w:r>
                </w:p>
              </w:tc>
              <w:tc>
                <w:tcPr>
                  <w:tcW w:w="597" w:type="pct"/>
                  <w:vAlign w:val="center"/>
                </w:tcPr>
                <w:p>
                  <w:pPr>
                    <w:pStyle w:val="36"/>
                    <w:spacing w:beforeLines="0" w:afterLines="0" w:line="240" w:lineRule="exact"/>
                    <w:rPr>
                      <w:rFonts w:ascii="Times New Roman"/>
                      <w:sz w:val="18"/>
                      <w:szCs w:val="18"/>
                    </w:rPr>
                  </w:pPr>
                  <w:r>
                    <w:rPr>
                      <w:rFonts w:ascii="Times New Roman"/>
                      <w:sz w:val="18"/>
                      <w:szCs w:val="18"/>
                    </w:rPr>
                    <w:t>2.7</w:t>
                  </w:r>
                </w:p>
              </w:tc>
              <w:tc>
                <w:tcPr>
                  <w:tcW w:w="447" w:type="pct"/>
                  <w:vAlign w:val="center"/>
                </w:tcPr>
                <w:p>
                  <w:pPr>
                    <w:pStyle w:val="36"/>
                    <w:spacing w:beforeLines="0" w:afterLines="0" w:line="240" w:lineRule="exact"/>
                    <w:rPr>
                      <w:rFonts w:ascii="Times New Roman"/>
                      <w:sz w:val="18"/>
                      <w:szCs w:val="18"/>
                    </w:rPr>
                  </w:pPr>
                  <w:r>
                    <w:rPr>
                      <w:rFonts w:ascii="Times New Roman"/>
                      <w:sz w:val="18"/>
                      <w:szCs w:val="18"/>
                    </w:rPr>
                    <w:t>0.02</w:t>
                  </w:r>
                </w:p>
              </w:tc>
              <w:tc>
                <w:tcPr>
                  <w:tcW w:w="400" w:type="pct"/>
                  <w:vAlign w:val="center"/>
                </w:tcPr>
                <w:p>
                  <w:pPr>
                    <w:pStyle w:val="36"/>
                    <w:spacing w:beforeLines="0" w:afterLines="0" w:line="240" w:lineRule="exact"/>
                    <w:rPr>
                      <w:rFonts w:ascii="Times New Roman"/>
                      <w:sz w:val="18"/>
                      <w:szCs w:val="18"/>
                    </w:rPr>
                  </w:pPr>
                  <w:r>
                    <w:rPr>
                      <w:rFonts w:ascii="Times New Roman"/>
                      <w:sz w:val="18"/>
                      <w:szCs w:val="18"/>
                    </w:rPr>
                    <w:t>0.05</w:t>
                  </w:r>
                </w:p>
              </w:tc>
            </w:tr>
          </w:tbl>
          <w:p>
            <w:pPr>
              <w:pStyle w:val="64"/>
              <w:spacing w:line="500" w:lineRule="exact"/>
              <w:ind w:firstLine="480"/>
              <w:jc w:val="left"/>
              <w:rPr>
                <w:color w:val="auto"/>
              </w:rPr>
            </w:pPr>
            <w:r>
              <w:rPr>
                <w:rFonts w:hint="eastAsia"/>
                <w:color w:val="auto"/>
              </w:rPr>
              <w:t>（7）污水处理站废气</w:t>
            </w:r>
          </w:p>
          <w:p>
            <w:pPr>
              <w:pStyle w:val="64"/>
              <w:spacing w:line="500" w:lineRule="exact"/>
              <w:ind w:firstLine="480"/>
              <w:rPr>
                <w:color w:val="auto"/>
              </w:rPr>
            </w:pPr>
            <w:r>
              <w:rPr>
                <w:rFonts w:hint="eastAsia"/>
                <w:color w:val="auto"/>
              </w:rPr>
              <w:t>污水处理设施的臭气来源于污水、污泥中有机物的分解、发酵过程中散发的化学物质，主要种类有：氨、硫化氢等。拟建项目将新建1座处理能力为</w:t>
            </w:r>
            <w:r>
              <w:rPr>
                <w:color w:val="auto"/>
              </w:rPr>
              <w:t>20</w:t>
            </w:r>
            <w:r>
              <w:rPr>
                <w:rFonts w:hint="eastAsia"/>
                <w:color w:val="auto"/>
              </w:rPr>
              <w:t>m</w:t>
            </w:r>
            <w:r>
              <w:rPr>
                <w:rFonts w:hint="eastAsia"/>
                <w:color w:val="auto"/>
                <w:vertAlign w:val="superscript"/>
              </w:rPr>
              <w:t>3</w:t>
            </w:r>
            <w:r>
              <w:rPr>
                <w:rFonts w:hint="eastAsia"/>
                <w:color w:val="auto"/>
              </w:rPr>
              <w:t>/d的污水处理站，采用“均质+隔油+絮凝沉淀+过滤”处理工艺；通过对产臭的工序加盖收集，废气集中收集后经活性炭吸附处理后，引至业务房屋顶排放（业务房高4m，低于15m，属于无组织排放）。氨、硫化氢、臭气浓度、非甲烷总烃产生量较少，经处理后对环境的影响较小。因此，仅作定性分析。</w:t>
            </w:r>
          </w:p>
          <w:p>
            <w:pPr>
              <w:pStyle w:val="64"/>
              <w:spacing w:line="500" w:lineRule="exact"/>
              <w:ind w:firstLine="480"/>
              <w:jc w:val="left"/>
              <w:rPr>
                <w:color w:val="auto"/>
              </w:rPr>
            </w:pPr>
            <w:r>
              <w:rPr>
                <w:rFonts w:hint="eastAsia"/>
                <w:color w:val="auto"/>
              </w:rPr>
              <w:t>拟建项目废气产生及排放情况见表</w:t>
            </w:r>
            <w:r>
              <w:rPr>
                <w:rFonts w:hint="eastAsia"/>
                <w:color w:val="auto"/>
                <w:szCs w:val="18"/>
              </w:rPr>
              <w:t>4.2.1</w:t>
            </w:r>
            <w:r>
              <w:rPr>
                <w:color w:val="auto"/>
                <w:szCs w:val="18"/>
              </w:rPr>
              <w:t>-6</w:t>
            </w:r>
            <w:r>
              <w:rPr>
                <w:rFonts w:hint="eastAsia"/>
                <w:color w:val="auto"/>
                <w:szCs w:val="18"/>
              </w:rPr>
              <w:t>。</w:t>
            </w:r>
          </w:p>
        </w:tc>
      </w:tr>
    </w:tbl>
    <w:p>
      <w:pPr>
        <w:adjustRightInd w:val="0"/>
        <w:snapToGrid w:val="0"/>
        <w:spacing w:line="360" w:lineRule="auto"/>
        <w:rPr>
          <w:rFonts w:ascii="宋体" w:cs="宋体"/>
          <w:b/>
          <w:kern w:val="0"/>
          <w:sz w:val="28"/>
          <w:szCs w:val="28"/>
        </w:rPr>
        <w:sectPr>
          <w:pgSz w:w="11907" w:h="16840"/>
          <w:pgMar w:top="1701" w:right="1531" w:bottom="2127" w:left="1531" w:header="851" w:footer="851" w:gutter="0"/>
          <w:cols w:space="720" w:num="1"/>
          <w:docGrid w:linePitch="312" w:charSpace="0"/>
        </w:sectPr>
      </w:pPr>
    </w:p>
    <w:p>
      <w:pPr>
        <w:spacing w:line="360" w:lineRule="auto"/>
        <w:jc w:val="center"/>
        <w:rPr>
          <w:bCs/>
          <w:sz w:val="18"/>
          <w:szCs w:val="18"/>
        </w:rPr>
      </w:pPr>
      <w:r>
        <w:rPr>
          <w:bCs/>
          <w:sz w:val="18"/>
          <w:szCs w:val="18"/>
        </w:rPr>
        <w:t>表4.2.1-6</w:t>
      </w:r>
      <w:r>
        <w:rPr>
          <w:rFonts w:hint="eastAsia"/>
          <w:bCs/>
          <w:sz w:val="18"/>
          <w:szCs w:val="18"/>
        </w:rPr>
        <w:t xml:space="preserve"> 拟建</w:t>
      </w:r>
      <w:r>
        <w:rPr>
          <w:bCs/>
          <w:sz w:val="18"/>
          <w:szCs w:val="18"/>
        </w:rPr>
        <w:t>项目废气污染物产生、治理及排放情况</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17"/>
        <w:gridCol w:w="776"/>
        <w:gridCol w:w="711"/>
        <w:gridCol w:w="796"/>
        <w:gridCol w:w="849"/>
        <w:gridCol w:w="4243"/>
        <w:gridCol w:w="994"/>
        <w:gridCol w:w="849"/>
        <w:gridCol w:w="853"/>
        <w:gridCol w:w="849"/>
        <w:gridCol w:w="853"/>
        <w:gridCol w:w="707"/>
        <w:gridCol w:w="711"/>
        <w:gridCol w:w="707"/>
        <w:gridCol w:w="711"/>
        <w:gridCol w:w="707"/>
        <w:gridCol w:w="707"/>
        <w:gridCol w:w="57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restart"/>
            <w:vAlign w:val="center"/>
          </w:tcPr>
          <w:p>
            <w:pPr>
              <w:jc w:val="center"/>
              <w:rPr>
                <w:bCs/>
                <w:sz w:val="18"/>
                <w:szCs w:val="18"/>
              </w:rPr>
            </w:pPr>
            <w:r>
              <w:rPr>
                <w:bCs/>
                <w:sz w:val="18"/>
                <w:szCs w:val="18"/>
              </w:rPr>
              <w:t>污染源</w:t>
            </w:r>
          </w:p>
        </w:tc>
        <w:tc>
          <w:tcPr>
            <w:tcW w:w="351" w:type="pct"/>
            <w:vMerge w:val="restart"/>
            <w:vAlign w:val="center"/>
          </w:tcPr>
          <w:p>
            <w:pPr>
              <w:jc w:val="center"/>
              <w:rPr>
                <w:bCs/>
                <w:sz w:val="18"/>
                <w:szCs w:val="18"/>
              </w:rPr>
            </w:pPr>
            <w:r>
              <w:rPr>
                <w:bCs/>
                <w:sz w:val="18"/>
                <w:szCs w:val="18"/>
              </w:rPr>
              <w:t>污染物名称</w:t>
            </w:r>
          </w:p>
        </w:tc>
        <w:tc>
          <w:tcPr>
            <w:tcW w:w="192" w:type="pct"/>
            <w:vMerge w:val="restart"/>
            <w:vAlign w:val="center"/>
          </w:tcPr>
          <w:p>
            <w:pPr>
              <w:jc w:val="center"/>
              <w:rPr>
                <w:bCs/>
                <w:sz w:val="18"/>
                <w:szCs w:val="18"/>
              </w:rPr>
            </w:pPr>
            <w:r>
              <w:rPr>
                <w:bCs/>
                <w:sz w:val="18"/>
                <w:szCs w:val="18"/>
              </w:rPr>
              <w:t>风量</w:t>
            </w:r>
          </w:p>
        </w:tc>
        <w:tc>
          <w:tcPr>
            <w:tcW w:w="583" w:type="pct"/>
            <w:gridSpan w:val="3"/>
            <w:vAlign w:val="center"/>
          </w:tcPr>
          <w:p>
            <w:pPr>
              <w:jc w:val="center"/>
              <w:rPr>
                <w:bCs/>
                <w:sz w:val="18"/>
                <w:szCs w:val="18"/>
              </w:rPr>
            </w:pPr>
            <w:r>
              <w:rPr>
                <w:bCs/>
                <w:sz w:val="18"/>
                <w:szCs w:val="18"/>
              </w:rPr>
              <w:t>污染物产生情况</w:t>
            </w:r>
          </w:p>
        </w:tc>
        <w:tc>
          <w:tcPr>
            <w:tcW w:w="1050" w:type="pct"/>
            <w:vMerge w:val="restart"/>
            <w:vAlign w:val="center"/>
          </w:tcPr>
          <w:p>
            <w:pPr>
              <w:jc w:val="center"/>
              <w:rPr>
                <w:bCs/>
                <w:sz w:val="18"/>
                <w:szCs w:val="18"/>
              </w:rPr>
            </w:pPr>
            <w:r>
              <w:rPr>
                <w:bCs/>
                <w:sz w:val="18"/>
                <w:szCs w:val="18"/>
              </w:rPr>
              <w:t>治理措施</w:t>
            </w:r>
          </w:p>
        </w:tc>
        <w:tc>
          <w:tcPr>
            <w:tcW w:w="1088" w:type="pct"/>
            <w:gridSpan w:val="5"/>
            <w:vAlign w:val="center"/>
          </w:tcPr>
          <w:p>
            <w:pPr>
              <w:jc w:val="center"/>
              <w:rPr>
                <w:sz w:val="18"/>
                <w:szCs w:val="18"/>
              </w:rPr>
            </w:pPr>
            <w:r>
              <w:rPr>
                <w:bCs/>
                <w:sz w:val="18"/>
                <w:szCs w:val="18"/>
              </w:rPr>
              <w:t>污染物排放情况</w:t>
            </w:r>
          </w:p>
        </w:tc>
        <w:tc>
          <w:tcPr>
            <w:tcW w:w="526" w:type="pct"/>
            <w:gridSpan w:val="3"/>
            <w:vMerge w:val="restart"/>
            <w:vAlign w:val="center"/>
          </w:tcPr>
          <w:p>
            <w:pPr>
              <w:jc w:val="center"/>
              <w:rPr>
                <w:bCs/>
                <w:sz w:val="18"/>
                <w:szCs w:val="18"/>
              </w:rPr>
            </w:pPr>
            <w:r>
              <w:rPr>
                <w:sz w:val="18"/>
                <w:szCs w:val="18"/>
              </w:rPr>
              <w:t>排放源参数</w:t>
            </w:r>
          </w:p>
        </w:tc>
        <w:tc>
          <w:tcPr>
            <w:tcW w:w="667" w:type="pct"/>
            <w:gridSpan w:val="4"/>
            <w:vAlign w:val="center"/>
          </w:tcPr>
          <w:p>
            <w:pPr>
              <w:jc w:val="center"/>
              <w:rPr>
                <w:bCs/>
                <w:sz w:val="18"/>
                <w:szCs w:val="18"/>
              </w:rPr>
            </w:pPr>
            <w:r>
              <w:rPr>
                <w:bCs/>
                <w:sz w:val="18"/>
                <w:szCs w:val="18"/>
              </w:rPr>
              <w:t>排放标准</w:t>
            </w:r>
          </w:p>
        </w:tc>
        <w:tc>
          <w:tcPr>
            <w:tcW w:w="165" w:type="pct"/>
            <w:vMerge w:val="restart"/>
            <w:vAlign w:val="center"/>
          </w:tcPr>
          <w:p>
            <w:pPr>
              <w:jc w:val="center"/>
              <w:rPr>
                <w:bCs/>
                <w:sz w:val="18"/>
                <w:szCs w:val="18"/>
              </w:rPr>
            </w:pPr>
            <w:r>
              <w:rPr>
                <w:bCs/>
                <w:sz w:val="18"/>
                <w:szCs w:val="18"/>
              </w:rPr>
              <w:t>是否为可行技术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Merge w:val="continue"/>
            <w:vAlign w:val="center"/>
          </w:tcPr>
          <w:p>
            <w:pPr>
              <w:jc w:val="center"/>
              <w:rPr>
                <w:bCs/>
                <w:sz w:val="18"/>
                <w:szCs w:val="18"/>
              </w:rPr>
            </w:pPr>
          </w:p>
        </w:tc>
        <w:tc>
          <w:tcPr>
            <w:tcW w:w="192" w:type="pct"/>
            <w:vMerge w:val="continue"/>
            <w:vAlign w:val="center"/>
          </w:tcPr>
          <w:p>
            <w:pPr>
              <w:pStyle w:val="73"/>
              <w:spacing w:line="240" w:lineRule="auto"/>
              <w:rPr>
                <w:rFonts w:ascii="Times New Roman" w:hAnsi="Times New Roman"/>
                <w:bCs/>
                <w:sz w:val="18"/>
                <w:szCs w:val="18"/>
              </w:rPr>
            </w:pPr>
          </w:p>
        </w:tc>
        <w:tc>
          <w:tcPr>
            <w:tcW w:w="176" w:type="pct"/>
            <w:vMerge w:val="restart"/>
            <w:vAlign w:val="center"/>
          </w:tcPr>
          <w:p>
            <w:pPr>
              <w:pStyle w:val="73"/>
              <w:spacing w:line="240" w:lineRule="auto"/>
              <w:rPr>
                <w:rFonts w:ascii="Times New Roman" w:hAnsi="Times New Roman"/>
                <w:bCs/>
                <w:sz w:val="18"/>
                <w:szCs w:val="18"/>
              </w:rPr>
            </w:pPr>
            <w:r>
              <w:rPr>
                <w:rFonts w:ascii="Times New Roman" w:hAnsi="Times New Roman"/>
                <w:bCs/>
                <w:sz w:val="18"/>
                <w:szCs w:val="18"/>
              </w:rPr>
              <w:t>浓度</w:t>
            </w:r>
          </w:p>
          <w:p>
            <w:pPr>
              <w:pStyle w:val="73"/>
              <w:spacing w:line="240" w:lineRule="auto"/>
              <w:rPr>
                <w:rFonts w:ascii="Times New Roman" w:hAnsi="Times New Roman"/>
                <w:bCs/>
                <w:sz w:val="18"/>
                <w:szCs w:val="18"/>
              </w:rPr>
            </w:pPr>
            <w:r>
              <w:rPr>
                <w:rFonts w:ascii="Times New Roman" w:hAnsi="Times New Roman"/>
                <w:bCs/>
                <w:sz w:val="18"/>
                <w:szCs w:val="18"/>
              </w:rPr>
              <w:t>mg/m</w:t>
            </w:r>
            <w:r>
              <w:rPr>
                <w:rFonts w:ascii="Times New Roman" w:hAnsi="Times New Roman"/>
                <w:bCs/>
                <w:sz w:val="18"/>
                <w:szCs w:val="18"/>
                <w:vertAlign w:val="superscript"/>
              </w:rPr>
              <w:t>3</w:t>
            </w:r>
          </w:p>
        </w:tc>
        <w:tc>
          <w:tcPr>
            <w:tcW w:w="197" w:type="pct"/>
            <w:vMerge w:val="restart"/>
            <w:vAlign w:val="center"/>
          </w:tcPr>
          <w:p>
            <w:pPr>
              <w:pStyle w:val="73"/>
              <w:spacing w:line="240" w:lineRule="auto"/>
              <w:rPr>
                <w:rFonts w:ascii="Times New Roman" w:hAnsi="Times New Roman"/>
                <w:bCs/>
                <w:sz w:val="18"/>
                <w:szCs w:val="18"/>
              </w:rPr>
            </w:pPr>
            <w:r>
              <w:rPr>
                <w:rFonts w:ascii="Times New Roman" w:hAnsi="Times New Roman"/>
                <w:bCs/>
                <w:sz w:val="18"/>
                <w:szCs w:val="18"/>
              </w:rPr>
              <w:t>产生速率kg/h</w:t>
            </w:r>
          </w:p>
        </w:tc>
        <w:tc>
          <w:tcPr>
            <w:tcW w:w="210" w:type="pct"/>
            <w:vMerge w:val="restart"/>
            <w:vAlign w:val="center"/>
          </w:tcPr>
          <w:p>
            <w:pPr>
              <w:pStyle w:val="73"/>
              <w:spacing w:line="240" w:lineRule="auto"/>
              <w:rPr>
                <w:rFonts w:ascii="Times New Roman" w:hAnsi="Times New Roman"/>
                <w:bCs/>
                <w:sz w:val="18"/>
                <w:szCs w:val="18"/>
              </w:rPr>
            </w:pPr>
            <w:r>
              <w:rPr>
                <w:rFonts w:ascii="Times New Roman" w:hAnsi="Times New Roman"/>
                <w:bCs/>
                <w:sz w:val="18"/>
                <w:szCs w:val="18"/>
              </w:rPr>
              <w:t>产生量</w:t>
            </w:r>
          </w:p>
          <w:p>
            <w:pPr>
              <w:pStyle w:val="73"/>
              <w:spacing w:line="240" w:lineRule="auto"/>
              <w:rPr>
                <w:rFonts w:ascii="Times New Roman" w:hAnsi="Times New Roman"/>
                <w:bCs/>
                <w:sz w:val="18"/>
                <w:szCs w:val="18"/>
              </w:rPr>
            </w:pPr>
            <w:r>
              <w:rPr>
                <w:rFonts w:ascii="Times New Roman" w:hAnsi="Times New Roman"/>
                <w:bCs/>
                <w:sz w:val="18"/>
                <w:szCs w:val="18"/>
              </w:rPr>
              <w:t>kg/a</w:t>
            </w:r>
          </w:p>
        </w:tc>
        <w:tc>
          <w:tcPr>
            <w:tcW w:w="1050" w:type="pct"/>
            <w:vMerge w:val="continue"/>
            <w:vAlign w:val="center"/>
          </w:tcPr>
          <w:p>
            <w:pPr>
              <w:jc w:val="center"/>
              <w:rPr>
                <w:bCs/>
                <w:sz w:val="18"/>
                <w:szCs w:val="18"/>
              </w:rPr>
            </w:pPr>
          </w:p>
        </w:tc>
        <w:tc>
          <w:tcPr>
            <w:tcW w:w="667" w:type="pct"/>
            <w:gridSpan w:val="3"/>
            <w:vAlign w:val="center"/>
          </w:tcPr>
          <w:p>
            <w:pPr>
              <w:pStyle w:val="73"/>
              <w:spacing w:line="240" w:lineRule="auto"/>
              <w:rPr>
                <w:rFonts w:ascii="Times New Roman" w:hAnsi="Times New Roman"/>
                <w:bCs/>
                <w:sz w:val="18"/>
                <w:szCs w:val="18"/>
              </w:rPr>
            </w:pPr>
            <w:r>
              <w:rPr>
                <w:rFonts w:ascii="Times New Roman" w:hAnsi="Times New Roman"/>
                <w:bCs/>
                <w:sz w:val="18"/>
                <w:szCs w:val="18"/>
              </w:rPr>
              <w:t>有组织</w:t>
            </w:r>
          </w:p>
        </w:tc>
        <w:tc>
          <w:tcPr>
            <w:tcW w:w="421" w:type="pct"/>
            <w:gridSpan w:val="2"/>
            <w:vAlign w:val="center"/>
          </w:tcPr>
          <w:p>
            <w:pPr>
              <w:jc w:val="center"/>
              <w:rPr>
                <w:sz w:val="18"/>
                <w:szCs w:val="18"/>
              </w:rPr>
            </w:pPr>
            <w:r>
              <w:rPr>
                <w:sz w:val="18"/>
                <w:szCs w:val="18"/>
              </w:rPr>
              <w:t>无组织</w:t>
            </w:r>
          </w:p>
        </w:tc>
        <w:tc>
          <w:tcPr>
            <w:tcW w:w="526" w:type="pct"/>
            <w:gridSpan w:val="3"/>
            <w:vMerge w:val="continue"/>
            <w:vAlign w:val="center"/>
          </w:tcPr>
          <w:p>
            <w:pPr>
              <w:jc w:val="center"/>
              <w:rPr>
                <w:sz w:val="18"/>
                <w:szCs w:val="18"/>
              </w:rPr>
            </w:pPr>
          </w:p>
        </w:tc>
        <w:tc>
          <w:tcPr>
            <w:tcW w:w="351" w:type="pct"/>
            <w:gridSpan w:val="2"/>
            <w:vAlign w:val="center"/>
          </w:tcPr>
          <w:p>
            <w:pPr>
              <w:pStyle w:val="73"/>
              <w:spacing w:line="240" w:lineRule="auto"/>
              <w:rPr>
                <w:rFonts w:ascii="Times New Roman" w:hAnsi="Times New Roman"/>
                <w:bCs/>
                <w:sz w:val="18"/>
                <w:szCs w:val="18"/>
              </w:rPr>
            </w:pPr>
            <w:r>
              <w:rPr>
                <w:rFonts w:ascii="Times New Roman" w:hAnsi="Times New Roman"/>
                <w:bCs/>
                <w:sz w:val="18"/>
                <w:szCs w:val="18"/>
              </w:rPr>
              <w:t>有组织</w:t>
            </w:r>
          </w:p>
        </w:tc>
        <w:tc>
          <w:tcPr>
            <w:tcW w:w="316" w:type="pct"/>
            <w:gridSpan w:val="2"/>
            <w:vAlign w:val="center"/>
          </w:tcPr>
          <w:p>
            <w:pPr>
              <w:pStyle w:val="73"/>
              <w:spacing w:line="240" w:lineRule="auto"/>
              <w:rPr>
                <w:rFonts w:ascii="Times New Roman" w:hAnsi="Times New Roman"/>
                <w:bCs/>
                <w:sz w:val="18"/>
                <w:szCs w:val="18"/>
              </w:rPr>
            </w:pPr>
            <w:r>
              <w:rPr>
                <w:rFonts w:ascii="Times New Roman" w:hAnsi="Times New Roman"/>
                <w:sz w:val="18"/>
                <w:szCs w:val="18"/>
              </w:rPr>
              <w:t>无组织</w:t>
            </w:r>
          </w:p>
        </w:tc>
        <w:tc>
          <w:tcPr>
            <w:tcW w:w="165" w:type="pct"/>
            <w:vMerge w:val="continue"/>
            <w:vAlign w:val="center"/>
          </w:tcPr>
          <w:p>
            <w:pPr>
              <w:pStyle w:val="73"/>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Merge w:val="continue"/>
            <w:vAlign w:val="center"/>
          </w:tcPr>
          <w:p>
            <w:pPr>
              <w:jc w:val="center"/>
              <w:rPr>
                <w:bCs/>
                <w:sz w:val="18"/>
                <w:szCs w:val="18"/>
              </w:rPr>
            </w:pPr>
          </w:p>
        </w:tc>
        <w:tc>
          <w:tcPr>
            <w:tcW w:w="192" w:type="pct"/>
            <w:vMerge w:val="continue"/>
            <w:vAlign w:val="center"/>
          </w:tcPr>
          <w:p>
            <w:pPr>
              <w:pStyle w:val="73"/>
              <w:spacing w:line="240" w:lineRule="auto"/>
              <w:rPr>
                <w:rFonts w:ascii="Times New Roman" w:hAnsi="Times New Roman"/>
                <w:bCs/>
                <w:sz w:val="18"/>
                <w:szCs w:val="18"/>
              </w:rPr>
            </w:pPr>
          </w:p>
        </w:tc>
        <w:tc>
          <w:tcPr>
            <w:tcW w:w="176" w:type="pct"/>
            <w:vMerge w:val="continue"/>
            <w:vAlign w:val="center"/>
          </w:tcPr>
          <w:p>
            <w:pPr>
              <w:pStyle w:val="73"/>
              <w:spacing w:line="240" w:lineRule="auto"/>
              <w:rPr>
                <w:rFonts w:ascii="Times New Roman" w:hAnsi="Times New Roman"/>
                <w:bCs/>
                <w:sz w:val="18"/>
                <w:szCs w:val="18"/>
              </w:rPr>
            </w:pPr>
          </w:p>
        </w:tc>
        <w:tc>
          <w:tcPr>
            <w:tcW w:w="197" w:type="pct"/>
            <w:vMerge w:val="continue"/>
            <w:vAlign w:val="center"/>
          </w:tcPr>
          <w:p>
            <w:pPr>
              <w:pStyle w:val="73"/>
              <w:spacing w:line="240" w:lineRule="auto"/>
              <w:rPr>
                <w:rFonts w:ascii="Times New Roman" w:hAnsi="Times New Roman"/>
                <w:bCs/>
                <w:sz w:val="18"/>
                <w:szCs w:val="18"/>
              </w:rPr>
            </w:pPr>
          </w:p>
        </w:tc>
        <w:tc>
          <w:tcPr>
            <w:tcW w:w="210" w:type="pct"/>
            <w:vMerge w:val="continue"/>
            <w:vAlign w:val="center"/>
          </w:tcPr>
          <w:p>
            <w:pPr>
              <w:pStyle w:val="73"/>
              <w:spacing w:line="240" w:lineRule="auto"/>
              <w:rPr>
                <w:rFonts w:ascii="Times New Roman" w:hAnsi="Times New Roman"/>
                <w:bCs/>
                <w:sz w:val="18"/>
                <w:szCs w:val="18"/>
              </w:rPr>
            </w:pPr>
          </w:p>
        </w:tc>
        <w:tc>
          <w:tcPr>
            <w:tcW w:w="1050" w:type="pct"/>
            <w:vMerge w:val="continue"/>
            <w:vAlign w:val="center"/>
          </w:tcPr>
          <w:p>
            <w:pPr>
              <w:jc w:val="center"/>
              <w:rPr>
                <w:bCs/>
                <w:sz w:val="18"/>
                <w:szCs w:val="18"/>
              </w:rPr>
            </w:pPr>
          </w:p>
        </w:tc>
        <w:tc>
          <w:tcPr>
            <w:tcW w:w="246" w:type="pct"/>
            <w:vAlign w:val="center"/>
          </w:tcPr>
          <w:p>
            <w:pPr>
              <w:pStyle w:val="73"/>
              <w:spacing w:line="240" w:lineRule="auto"/>
              <w:rPr>
                <w:rFonts w:ascii="Times New Roman" w:hAnsi="Times New Roman"/>
                <w:bCs/>
                <w:sz w:val="18"/>
                <w:szCs w:val="18"/>
              </w:rPr>
            </w:pPr>
            <w:r>
              <w:rPr>
                <w:rFonts w:ascii="Times New Roman" w:hAnsi="Times New Roman"/>
                <w:bCs/>
                <w:sz w:val="18"/>
                <w:szCs w:val="18"/>
              </w:rPr>
              <w:t>浓度</w:t>
            </w:r>
          </w:p>
          <w:p>
            <w:pPr>
              <w:pStyle w:val="73"/>
              <w:spacing w:line="240" w:lineRule="auto"/>
              <w:rPr>
                <w:rFonts w:ascii="Times New Roman" w:hAnsi="Times New Roman"/>
                <w:bCs/>
                <w:sz w:val="18"/>
                <w:szCs w:val="18"/>
              </w:rPr>
            </w:pPr>
            <w:r>
              <w:rPr>
                <w:rFonts w:ascii="Times New Roman" w:hAnsi="Times New Roman"/>
                <w:bCs/>
                <w:sz w:val="18"/>
                <w:szCs w:val="18"/>
              </w:rPr>
              <w:t>mg/m</w:t>
            </w:r>
            <w:r>
              <w:rPr>
                <w:rFonts w:ascii="Times New Roman" w:hAnsi="Times New Roman"/>
                <w:bCs/>
                <w:sz w:val="18"/>
                <w:szCs w:val="18"/>
                <w:vertAlign w:val="superscript"/>
              </w:rPr>
              <w:t>3</w:t>
            </w:r>
          </w:p>
        </w:tc>
        <w:tc>
          <w:tcPr>
            <w:tcW w:w="210" w:type="pct"/>
            <w:vAlign w:val="center"/>
          </w:tcPr>
          <w:p>
            <w:pPr>
              <w:pStyle w:val="73"/>
              <w:spacing w:line="240" w:lineRule="auto"/>
              <w:rPr>
                <w:rFonts w:ascii="Times New Roman" w:hAnsi="Times New Roman"/>
                <w:bCs/>
                <w:sz w:val="18"/>
                <w:szCs w:val="18"/>
              </w:rPr>
            </w:pPr>
            <w:r>
              <w:rPr>
                <w:rFonts w:ascii="Times New Roman" w:hAnsi="Times New Roman"/>
                <w:bCs/>
                <w:sz w:val="18"/>
                <w:szCs w:val="18"/>
              </w:rPr>
              <w:t>排放速率kg/h</w:t>
            </w:r>
          </w:p>
        </w:tc>
        <w:tc>
          <w:tcPr>
            <w:tcW w:w="211" w:type="pct"/>
            <w:vAlign w:val="center"/>
          </w:tcPr>
          <w:p>
            <w:pPr>
              <w:pStyle w:val="73"/>
              <w:spacing w:line="240" w:lineRule="auto"/>
              <w:rPr>
                <w:rFonts w:ascii="Times New Roman" w:hAnsi="Times New Roman"/>
                <w:bCs/>
                <w:sz w:val="18"/>
                <w:szCs w:val="18"/>
              </w:rPr>
            </w:pPr>
            <w:r>
              <w:rPr>
                <w:rFonts w:ascii="Times New Roman" w:hAnsi="Times New Roman"/>
                <w:bCs/>
                <w:sz w:val="18"/>
                <w:szCs w:val="18"/>
              </w:rPr>
              <w:t>排放量</w:t>
            </w:r>
          </w:p>
          <w:p>
            <w:pPr>
              <w:pStyle w:val="73"/>
              <w:spacing w:line="240" w:lineRule="auto"/>
              <w:rPr>
                <w:rFonts w:ascii="Times New Roman" w:hAnsi="Times New Roman"/>
                <w:bCs/>
                <w:sz w:val="18"/>
                <w:szCs w:val="18"/>
              </w:rPr>
            </w:pPr>
            <w:r>
              <w:rPr>
                <w:rFonts w:ascii="Times New Roman" w:hAnsi="Times New Roman"/>
                <w:bCs/>
                <w:sz w:val="18"/>
                <w:szCs w:val="18"/>
              </w:rPr>
              <w:t>kg/a</w:t>
            </w:r>
          </w:p>
        </w:tc>
        <w:tc>
          <w:tcPr>
            <w:tcW w:w="210" w:type="pct"/>
            <w:vAlign w:val="center"/>
          </w:tcPr>
          <w:p>
            <w:pPr>
              <w:jc w:val="center"/>
              <w:rPr>
                <w:sz w:val="18"/>
                <w:szCs w:val="18"/>
              </w:rPr>
            </w:pPr>
            <w:r>
              <w:rPr>
                <w:bCs/>
                <w:sz w:val="18"/>
                <w:szCs w:val="18"/>
              </w:rPr>
              <w:t>排放速率kg/h</w:t>
            </w:r>
          </w:p>
        </w:tc>
        <w:tc>
          <w:tcPr>
            <w:tcW w:w="211" w:type="pct"/>
            <w:vAlign w:val="center"/>
          </w:tcPr>
          <w:p>
            <w:pPr>
              <w:pStyle w:val="73"/>
              <w:spacing w:line="240" w:lineRule="auto"/>
              <w:rPr>
                <w:rFonts w:ascii="Times New Roman" w:hAnsi="Times New Roman"/>
                <w:bCs/>
                <w:sz w:val="18"/>
                <w:szCs w:val="18"/>
              </w:rPr>
            </w:pPr>
            <w:r>
              <w:rPr>
                <w:rFonts w:ascii="Times New Roman" w:hAnsi="Times New Roman"/>
                <w:bCs/>
                <w:sz w:val="18"/>
                <w:szCs w:val="18"/>
              </w:rPr>
              <w:t>排放量</w:t>
            </w:r>
          </w:p>
          <w:p>
            <w:pPr>
              <w:jc w:val="center"/>
              <w:rPr>
                <w:sz w:val="18"/>
                <w:szCs w:val="18"/>
              </w:rPr>
            </w:pPr>
            <w:r>
              <w:rPr>
                <w:bCs/>
                <w:sz w:val="18"/>
                <w:szCs w:val="18"/>
              </w:rPr>
              <w:t>kg/a</w:t>
            </w:r>
          </w:p>
        </w:tc>
        <w:tc>
          <w:tcPr>
            <w:tcW w:w="175" w:type="pct"/>
            <w:vAlign w:val="center"/>
          </w:tcPr>
          <w:p>
            <w:pPr>
              <w:jc w:val="center"/>
              <w:rPr>
                <w:bCs/>
                <w:sz w:val="18"/>
                <w:szCs w:val="18"/>
              </w:rPr>
            </w:pPr>
            <w:r>
              <w:rPr>
                <w:sz w:val="18"/>
                <w:szCs w:val="18"/>
              </w:rPr>
              <w:t>高度m</w:t>
            </w:r>
          </w:p>
        </w:tc>
        <w:tc>
          <w:tcPr>
            <w:tcW w:w="176" w:type="pct"/>
            <w:vAlign w:val="center"/>
          </w:tcPr>
          <w:p>
            <w:pPr>
              <w:jc w:val="center"/>
              <w:rPr>
                <w:bCs/>
                <w:sz w:val="18"/>
                <w:szCs w:val="18"/>
              </w:rPr>
            </w:pPr>
            <w:r>
              <w:rPr>
                <w:sz w:val="18"/>
                <w:szCs w:val="18"/>
              </w:rPr>
              <w:t>直径m</w:t>
            </w:r>
          </w:p>
        </w:tc>
        <w:tc>
          <w:tcPr>
            <w:tcW w:w="175" w:type="pct"/>
            <w:vAlign w:val="center"/>
          </w:tcPr>
          <w:p>
            <w:pPr>
              <w:jc w:val="center"/>
              <w:rPr>
                <w:bCs/>
                <w:sz w:val="18"/>
                <w:szCs w:val="18"/>
              </w:rPr>
            </w:pPr>
            <w:r>
              <w:rPr>
                <w:sz w:val="18"/>
                <w:szCs w:val="18"/>
              </w:rPr>
              <w:t>温度℃</w:t>
            </w:r>
          </w:p>
        </w:tc>
        <w:tc>
          <w:tcPr>
            <w:tcW w:w="176" w:type="pct"/>
            <w:vAlign w:val="center"/>
          </w:tcPr>
          <w:p>
            <w:pPr>
              <w:jc w:val="center"/>
              <w:rPr>
                <w:bCs/>
                <w:sz w:val="18"/>
                <w:szCs w:val="18"/>
              </w:rPr>
            </w:pPr>
            <w:r>
              <w:rPr>
                <w:bCs/>
                <w:sz w:val="18"/>
                <w:szCs w:val="18"/>
              </w:rPr>
              <w:t>浓度mg/m</w:t>
            </w:r>
            <w:r>
              <w:rPr>
                <w:bCs/>
                <w:sz w:val="18"/>
                <w:szCs w:val="18"/>
                <w:vertAlign w:val="superscript"/>
              </w:rPr>
              <w:t>3</w:t>
            </w:r>
          </w:p>
        </w:tc>
        <w:tc>
          <w:tcPr>
            <w:tcW w:w="175" w:type="pct"/>
            <w:vAlign w:val="center"/>
          </w:tcPr>
          <w:p>
            <w:pPr>
              <w:jc w:val="center"/>
              <w:rPr>
                <w:bCs/>
                <w:sz w:val="18"/>
                <w:szCs w:val="18"/>
              </w:rPr>
            </w:pPr>
            <w:r>
              <w:rPr>
                <w:bCs/>
                <w:sz w:val="18"/>
                <w:szCs w:val="18"/>
              </w:rPr>
              <w:t>速率kg/h</w:t>
            </w:r>
          </w:p>
        </w:tc>
        <w:tc>
          <w:tcPr>
            <w:tcW w:w="175" w:type="pct"/>
            <w:vAlign w:val="center"/>
          </w:tcPr>
          <w:p>
            <w:pPr>
              <w:jc w:val="center"/>
              <w:rPr>
                <w:bCs/>
                <w:sz w:val="18"/>
                <w:szCs w:val="18"/>
              </w:rPr>
            </w:pPr>
            <w:r>
              <w:rPr>
                <w:bCs/>
                <w:sz w:val="18"/>
                <w:szCs w:val="18"/>
              </w:rPr>
              <w:t>浓度mg/m</w:t>
            </w:r>
            <w:r>
              <w:rPr>
                <w:bCs/>
                <w:sz w:val="18"/>
                <w:szCs w:val="18"/>
                <w:vertAlign w:val="superscript"/>
              </w:rPr>
              <w:t>3</w:t>
            </w:r>
          </w:p>
        </w:tc>
        <w:tc>
          <w:tcPr>
            <w:tcW w:w="141" w:type="pct"/>
            <w:vAlign w:val="center"/>
          </w:tcPr>
          <w:p>
            <w:pPr>
              <w:jc w:val="center"/>
              <w:rPr>
                <w:bCs/>
                <w:sz w:val="18"/>
                <w:szCs w:val="18"/>
              </w:rPr>
            </w:pPr>
            <w:r>
              <w:rPr>
                <w:bCs/>
                <w:sz w:val="18"/>
                <w:szCs w:val="18"/>
              </w:rPr>
              <w:t>速率kg/h</w:t>
            </w:r>
          </w:p>
        </w:tc>
        <w:tc>
          <w:tcPr>
            <w:tcW w:w="165"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pPr>
              <w:jc w:val="center"/>
              <w:rPr>
                <w:bCs/>
                <w:sz w:val="18"/>
                <w:szCs w:val="18"/>
              </w:rPr>
            </w:pPr>
            <w:r>
              <w:rPr>
                <w:sz w:val="18"/>
                <w:szCs w:val="18"/>
              </w:rPr>
              <w:t>安全气囊引爆废气</w:t>
            </w:r>
            <w:r>
              <w:rPr>
                <w:rFonts w:hint="eastAsia"/>
                <w:sz w:val="18"/>
                <w:szCs w:val="18"/>
              </w:rPr>
              <w:t>G1</w:t>
            </w:r>
          </w:p>
        </w:tc>
        <w:tc>
          <w:tcPr>
            <w:tcW w:w="351" w:type="pct"/>
            <w:vAlign w:val="center"/>
          </w:tcPr>
          <w:p>
            <w:pPr>
              <w:jc w:val="center"/>
              <w:rPr>
                <w:bCs/>
                <w:sz w:val="18"/>
                <w:szCs w:val="18"/>
              </w:rPr>
            </w:pPr>
            <w:r>
              <w:rPr>
                <w:sz w:val="18"/>
                <w:szCs w:val="18"/>
              </w:rPr>
              <w:t>N</w:t>
            </w:r>
            <w:r>
              <w:rPr>
                <w:sz w:val="18"/>
                <w:szCs w:val="18"/>
                <w:vertAlign w:val="subscript"/>
              </w:rPr>
              <w:t>2</w:t>
            </w:r>
          </w:p>
        </w:tc>
        <w:tc>
          <w:tcPr>
            <w:tcW w:w="192"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Align w:val="center"/>
          </w:tcPr>
          <w:p>
            <w:pPr>
              <w:jc w:val="center"/>
              <w:rPr>
                <w:sz w:val="18"/>
                <w:szCs w:val="18"/>
              </w:rPr>
            </w:pPr>
            <w:r>
              <w:rPr>
                <w:sz w:val="18"/>
                <w:szCs w:val="18"/>
              </w:rPr>
              <w:t>无组织排放</w:t>
            </w:r>
          </w:p>
        </w:tc>
        <w:tc>
          <w:tcPr>
            <w:tcW w:w="246" w:type="pct"/>
            <w:vAlign w:val="center"/>
          </w:tcPr>
          <w:p>
            <w:pPr>
              <w:jc w:val="center"/>
              <w:rPr>
                <w:bCs/>
                <w:sz w:val="18"/>
                <w:szCs w:val="18"/>
              </w:rPr>
            </w:pPr>
            <w:r>
              <w:rPr>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w:t>
            </w:r>
          </w:p>
        </w:tc>
        <w:tc>
          <w:tcPr>
            <w:tcW w:w="210" w:type="pct"/>
            <w:vAlign w:val="center"/>
          </w:tcPr>
          <w:p>
            <w:pPr>
              <w:jc w:val="center"/>
              <w:rPr>
                <w:bCs/>
                <w:sz w:val="18"/>
                <w:szCs w:val="18"/>
              </w:rPr>
            </w:pPr>
            <w:r>
              <w:rPr>
                <w:sz w:val="18"/>
                <w:szCs w:val="18"/>
              </w:rPr>
              <w:t>/</w:t>
            </w:r>
          </w:p>
        </w:tc>
        <w:tc>
          <w:tcPr>
            <w:tcW w:w="211" w:type="pct"/>
            <w:vAlign w:val="center"/>
          </w:tcPr>
          <w:p>
            <w:pPr>
              <w:jc w:val="center"/>
              <w:rPr>
                <w:bCs/>
                <w:sz w:val="18"/>
                <w:szCs w:val="18"/>
              </w:rPr>
            </w:pPr>
            <w:r>
              <w:rPr>
                <w:sz w:val="18"/>
                <w:szCs w:val="18"/>
              </w:rPr>
              <w:t>少量</w:t>
            </w:r>
          </w:p>
        </w:tc>
        <w:tc>
          <w:tcPr>
            <w:tcW w:w="175"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41" w:type="pct"/>
            <w:vAlign w:val="center"/>
          </w:tcPr>
          <w:p>
            <w:pPr>
              <w:jc w:val="center"/>
              <w:rPr>
                <w:bCs/>
                <w:sz w:val="18"/>
                <w:szCs w:val="18"/>
              </w:rPr>
            </w:pPr>
            <w:r>
              <w:rPr>
                <w:bCs/>
                <w:sz w:val="18"/>
                <w:szCs w:val="18"/>
              </w:rPr>
              <w:t>/</w:t>
            </w:r>
          </w:p>
        </w:tc>
        <w:tc>
          <w:tcPr>
            <w:tcW w:w="165" w:type="pc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pPr>
              <w:jc w:val="center"/>
              <w:rPr>
                <w:bCs/>
                <w:sz w:val="18"/>
                <w:szCs w:val="18"/>
              </w:rPr>
            </w:pPr>
            <w:r>
              <w:rPr>
                <w:sz w:val="18"/>
                <w:szCs w:val="18"/>
              </w:rPr>
              <w:t>油液挥发废气</w:t>
            </w:r>
            <w:r>
              <w:rPr>
                <w:rFonts w:hint="eastAsia"/>
                <w:sz w:val="18"/>
                <w:szCs w:val="18"/>
              </w:rPr>
              <w:t>G</w:t>
            </w:r>
            <w:r>
              <w:rPr>
                <w:sz w:val="18"/>
                <w:szCs w:val="18"/>
              </w:rPr>
              <w:t>2</w:t>
            </w:r>
          </w:p>
        </w:tc>
        <w:tc>
          <w:tcPr>
            <w:tcW w:w="351" w:type="pct"/>
            <w:vAlign w:val="center"/>
          </w:tcPr>
          <w:p>
            <w:pPr>
              <w:jc w:val="center"/>
              <w:rPr>
                <w:bCs/>
                <w:sz w:val="18"/>
                <w:szCs w:val="18"/>
              </w:rPr>
            </w:pPr>
            <w:r>
              <w:rPr>
                <w:sz w:val="18"/>
                <w:szCs w:val="18"/>
              </w:rPr>
              <w:t>非甲烷总烃</w:t>
            </w:r>
          </w:p>
        </w:tc>
        <w:tc>
          <w:tcPr>
            <w:tcW w:w="192" w:type="pct"/>
            <w:vAlign w:val="center"/>
          </w:tcPr>
          <w:p>
            <w:pPr>
              <w:jc w:val="center"/>
              <w:rPr>
                <w:bCs/>
                <w:sz w:val="18"/>
                <w:szCs w:val="18"/>
              </w:rPr>
            </w:pPr>
            <w:r>
              <w:rPr>
                <w:sz w:val="18"/>
                <w:szCs w:val="18"/>
              </w:rPr>
              <w:t>8500</w:t>
            </w:r>
          </w:p>
        </w:tc>
        <w:tc>
          <w:tcPr>
            <w:tcW w:w="176" w:type="pct"/>
            <w:vAlign w:val="center"/>
          </w:tcPr>
          <w:p>
            <w:pPr>
              <w:jc w:val="center"/>
              <w:rPr>
                <w:bCs/>
                <w:sz w:val="18"/>
                <w:szCs w:val="18"/>
              </w:rPr>
            </w:pPr>
            <w:r>
              <w:rPr>
                <w:sz w:val="18"/>
                <w:szCs w:val="18"/>
              </w:rPr>
              <w:t>14.12</w:t>
            </w:r>
          </w:p>
        </w:tc>
        <w:tc>
          <w:tcPr>
            <w:tcW w:w="197" w:type="pct"/>
            <w:vAlign w:val="center"/>
          </w:tcPr>
          <w:p>
            <w:pPr>
              <w:spacing w:line="240" w:lineRule="exact"/>
              <w:jc w:val="center"/>
              <w:rPr>
                <w:sz w:val="18"/>
                <w:szCs w:val="18"/>
              </w:rPr>
            </w:pPr>
            <w:r>
              <w:rPr>
                <w:sz w:val="18"/>
                <w:szCs w:val="18"/>
              </w:rPr>
              <w:t>0.12</w:t>
            </w:r>
          </w:p>
        </w:tc>
        <w:tc>
          <w:tcPr>
            <w:tcW w:w="210" w:type="pct"/>
            <w:vAlign w:val="center"/>
          </w:tcPr>
          <w:p>
            <w:pPr>
              <w:spacing w:line="240" w:lineRule="exact"/>
              <w:jc w:val="center"/>
              <w:rPr>
                <w:sz w:val="18"/>
                <w:szCs w:val="18"/>
              </w:rPr>
            </w:pPr>
            <w:r>
              <w:rPr>
                <w:sz w:val="18"/>
                <w:szCs w:val="18"/>
              </w:rPr>
              <w:t>0.12</w:t>
            </w:r>
          </w:p>
        </w:tc>
        <w:tc>
          <w:tcPr>
            <w:tcW w:w="1050" w:type="pct"/>
            <w:vAlign w:val="center"/>
          </w:tcPr>
          <w:p>
            <w:pPr>
              <w:jc w:val="center"/>
              <w:rPr>
                <w:sz w:val="18"/>
                <w:szCs w:val="18"/>
              </w:rPr>
            </w:pPr>
            <w:r>
              <w:rPr>
                <w:sz w:val="18"/>
                <w:szCs w:val="18"/>
              </w:rPr>
              <w:t>集气罩收集（收集效率80%）后经二级活性炭吸附处理后（处理效率取55%）有组织排放</w:t>
            </w:r>
          </w:p>
        </w:tc>
        <w:tc>
          <w:tcPr>
            <w:tcW w:w="246" w:type="pct"/>
            <w:vAlign w:val="center"/>
          </w:tcPr>
          <w:p>
            <w:pPr>
              <w:jc w:val="center"/>
              <w:rPr>
                <w:bCs/>
                <w:sz w:val="18"/>
                <w:szCs w:val="18"/>
              </w:rPr>
            </w:pPr>
            <w:r>
              <w:rPr>
                <w:sz w:val="18"/>
                <w:szCs w:val="18"/>
              </w:rPr>
              <w:t>4.71</w:t>
            </w:r>
          </w:p>
        </w:tc>
        <w:tc>
          <w:tcPr>
            <w:tcW w:w="210" w:type="pct"/>
            <w:vAlign w:val="center"/>
          </w:tcPr>
          <w:p>
            <w:pPr>
              <w:spacing w:line="240" w:lineRule="exact"/>
              <w:jc w:val="center"/>
              <w:rPr>
                <w:sz w:val="18"/>
                <w:szCs w:val="18"/>
              </w:rPr>
            </w:pPr>
            <w:r>
              <w:rPr>
                <w:sz w:val="18"/>
                <w:szCs w:val="18"/>
              </w:rPr>
              <w:t>0.04</w:t>
            </w:r>
          </w:p>
        </w:tc>
        <w:tc>
          <w:tcPr>
            <w:tcW w:w="211" w:type="pct"/>
            <w:vAlign w:val="center"/>
          </w:tcPr>
          <w:p>
            <w:pPr>
              <w:spacing w:line="240" w:lineRule="exact"/>
              <w:jc w:val="center"/>
              <w:rPr>
                <w:sz w:val="18"/>
                <w:szCs w:val="18"/>
              </w:rPr>
            </w:pPr>
            <w:r>
              <w:rPr>
                <w:sz w:val="18"/>
                <w:szCs w:val="18"/>
              </w:rPr>
              <w:t>0.04</w:t>
            </w:r>
          </w:p>
        </w:tc>
        <w:tc>
          <w:tcPr>
            <w:tcW w:w="210" w:type="pct"/>
            <w:vAlign w:val="center"/>
          </w:tcPr>
          <w:p>
            <w:pPr>
              <w:jc w:val="center"/>
              <w:rPr>
                <w:bCs/>
                <w:sz w:val="18"/>
                <w:szCs w:val="18"/>
              </w:rPr>
            </w:pPr>
            <w:r>
              <w:rPr>
                <w:sz w:val="18"/>
                <w:szCs w:val="18"/>
              </w:rPr>
              <w:t>0.02</w:t>
            </w:r>
          </w:p>
        </w:tc>
        <w:tc>
          <w:tcPr>
            <w:tcW w:w="211" w:type="pct"/>
            <w:vAlign w:val="center"/>
          </w:tcPr>
          <w:p>
            <w:pPr>
              <w:jc w:val="center"/>
              <w:rPr>
                <w:bCs/>
                <w:sz w:val="18"/>
                <w:szCs w:val="18"/>
              </w:rPr>
            </w:pPr>
            <w:r>
              <w:rPr>
                <w:sz w:val="18"/>
                <w:szCs w:val="18"/>
              </w:rPr>
              <w:t>0.02</w:t>
            </w:r>
          </w:p>
        </w:tc>
        <w:tc>
          <w:tcPr>
            <w:tcW w:w="175" w:type="pct"/>
            <w:vAlign w:val="center"/>
          </w:tcPr>
          <w:p>
            <w:pPr>
              <w:jc w:val="center"/>
              <w:rPr>
                <w:bCs/>
                <w:sz w:val="18"/>
                <w:szCs w:val="18"/>
              </w:rPr>
            </w:pPr>
            <w:r>
              <w:rPr>
                <w:sz w:val="18"/>
                <w:szCs w:val="18"/>
              </w:rPr>
              <w:t>15</w:t>
            </w:r>
          </w:p>
        </w:tc>
        <w:tc>
          <w:tcPr>
            <w:tcW w:w="176" w:type="pct"/>
            <w:vAlign w:val="center"/>
          </w:tcPr>
          <w:p>
            <w:pPr>
              <w:jc w:val="center"/>
              <w:rPr>
                <w:bCs/>
                <w:sz w:val="18"/>
                <w:szCs w:val="18"/>
              </w:rPr>
            </w:pPr>
            <w:r>
              <w:rPr>
                <w:sz w:val="18"/>
                <w:szCs w:val="18"/>
              </w:rPr>
              <w:t>0.4</w:t>
            </w:r>
          </w:p>
        </w:tc>
        <w:tc>
          <w:tcPr>
            <w:tcW w:w="175" w:type="pct"/>
            <w:vAlign w:val="center"/>
          </w:tcPr>
          <w:p>
            <w:pPr>
              <w:jc w:val="center"/>
              <w:rPr>
                <w:bCs/>
                <w:sz w:val="18"/>
                <w:szCs w:val="18"/>
              </w:rPr>
            </w:pPr>
            <w:r>
              <w:rPr>
                <w:sz w:val="18"/>
                <w:szCs w:val="18"/>
              </w:rPr>
              <w:t>25</w:t>
            </w:r>
          </w:p>
        </w:tc>
        <w:tc>
          <w:tcPr>
            <w:tcW w:w="176" w:type="pct"/>
            <w:vAlign w:val="center"/>
          </w:tcPr>
          <w:p>
            <w:pPr>
              <w:jc w:val="center"/>
              <w:rPr>
                <w:bCs/>
                <w:sz w:val="18"/>
                <w:szCs w:val="18"/>
              </w:rPr>
            </w:pPr>
            <w:r>
              <w:rPr>
                <w:rFonts w:hint="eastAsia"/>
                <w:bCs/>
                <w:sz w:val="18"/>
                <w:szCs w:val="18"/>
              </w:rPr>
              <w:t>1</w:t>
            </w:r>
            <w:r>
              <w:rPr>
                <w:bCs/>
                <w:sz w:val="18"/>
                <w:szCs w:val="18"/>
              </w:rPr>
              <w:t>20</w:t>
            </w:r>
          </w:p>
        </w:tc>
        <w:tc>
          <w:tcPr>
            <w:tcW w:w="175" w:type="pct"/>
            <w:vAlign w:val="center"/>
          </w:tcPr>
          <w:p>
            <w:pPr>
              <w:jc w:val="center"/>
              <w:rPr>
                <w:bCs/>
                <w:sz w:val="18"/>
                <w:szCs w:val="18"/>
              </w:rPr>
            </w:pPr>
            <w:r>
              <w:rPr>
                <w:rFonts w:hint="eastAsia"/>
                <w:bCs/>
                <w:sz w:val="18"/>
                <w:szCs w:val="18"/>
              </w:rPr>
              <w:t>1</w:t>
            </w:r>
            <w:r>
              <w:rPr>
                <w:bCs/>
                <w:sz w:val="18"/>
                <w:szCs w:val="18"/>
              </w:rPr>
              <w:t>0</w:t>
            </w:r>
          </w:p>
        </w:tc>
        <w:tc>
          <w:tcPr>
            <w:tcW w:w="175" w:type="pct"/>
            <w:vAlign w:val="center"/>
          </w:tcPr>
          <w:p>
            <w:pPr>
              <w:jc w:val="center"/>
              <w:rPr>
                <w:bCs/>
                <w:sz w:val="18"/>
                <w:szCs w:val="18"/>
              </w:rPr>
            </w:pPr>
            <w:r>
              <w:rPr>
                <w:rFonts w:hint="eastAsia"/>
                <w:bCs/>
                <w:sz w:val="18"/>
                <w:szCs w:val="18"/>
              </w:rPr>
              <w:t>4</w:t>
            </w:r>
          </w:p>
        </w:tc>
        <w:tc>
          <w:tcPr>
            <w:tcW w:w="141" w:type="pct"/>
            <w:vAlign w:val="center"/>
          </w:tcPr>
          <w:p>
            <w:pPr>
              <w:jc w:val="center"/>
              <w:rPr>
                <w:bCs/>
                <w:sz w:val="18"/>
                <w:szCs w:val="18"/>
              </w:rPr>
            </w:pPr>
            <w:r>
              <w:rPr>
                <w:sz w:val="18"/>
                <w:szCs w:val="18"/>
              </w:rPr>
              <w:t>/</w:t>
            </w:r>
          </w:p>
        </w:tc>
        <w:tc>
          <w:tcPr>
            <w:tcW w:w="165" w:type="pc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pPr>
              <w:jc w:val="center"/>
              <w:rPr>
                <w:bCs/>
                <w:sz w:val="18"/>
                <w:szCs w:val="18"/>
              </w:rPr>
            </w:pPr>
            <w:r>
              <w:rPr>
                <w:sz w:val="18"/>
                <w:szCs w:val="18"/>
              </w:rPr>
              <w:t>切割粉尘</w:t>
            </w:r>
            <w:r>
              <w:rPr>
                <w:rFonts w:hint="eastAsia"/>
                <w:sz w:val="18"/>
                <w:szCs w:val="18"/>
              </w:rPr>
              <w:t>G</w:t>
            </w:r>
            <w:r>
              <w:rPr>
                <w:sz w:val="18"/>
                <w:szCs w:val="18"/>
              </w:rPr>
              <w:t>3</w:t>
            </w:r>
          </w:p>
        </w:tc>
        <w:tc>
          <w:tcPr>
            <w:tcW w:w="351" w:type="pct"/>
            <w:vAlign w:val="center"/>
          </w:tcPr>
          <w:p>
            <w:pPr>
              <w:jc w:val="center"/>
              <w:rPr>
                <w:bCs/>
                <w:sz w:val="18"/>
                <w:szCs w:val="18"/>
              </w:rPr>
            </w:pPr>
            <w:r>
              <w:rPr>
                <w:sz w:val="18"/>
                <w:szCs w:val="18"/>
              </w:rPr>
              <w:t>颗粒物</w:t>
            </w:r>
          </w:p>
        </w:tc>
        <w:tc>
          <w:tcPr>
            <w:tcW w:w="192" w:type="pct"/>
            <w:vAlign w:val="center"/>
          </w:tcPr>
          <w:p>
            <w:pPr>
              <w:jc w:val="center"/>
              <w:rPr>
                <w:bCs/>
                <w:sz w:val="18"/>
                <w:szCs w:val="18"/>
              </w:rPr>
            </w:pPr>
            <w:r>
              <w:rPr>
                <w:sz w:val="18"/>
                <w:szCs w:val="18"/>
              </w:rPr>
              <w:t>12000</w:t>
            </w:r>
          </w:p>
        </w:tc>
        <w:tc>
          <w:tcPr>
            <w:tcW w:w="176" w:type="pct"/>
            <w:vAlign w:val="center"/>
          </w:tcPr>
          <w:p>
            <w:pPr>
              <w:jc w:val="center"/>
              <w:rPr>
                <w:bCs/>
                <w:sz w:val="18"/>
                <w:szCs w:val="18"/>
              </w:rPr>
            </w:pPr>
            <w:r>
              <w:rPr>
                <w:sz w:val="18"/>
                <w:szCs w:val="18"/>
              </w:rPr>
              <w:t>475</w:t>
            </w:r>
          </w:p>
        </w:tc>
        <w:tc>
          <w:tcPr>
            <w:tcW w:w="197" w:type="pct"/>
            <w:vAlign w:val="center"/>
          </w:tcPr>
          <w:p>
            <w:pPr>
              <w:spacing w:line="240" w:lineRule="exact"/>
              <w:jc w:val="center"/>
              <w:rPr>
                <w:sz w:val="18"/>
                <w:szCs w:val="18"/>
              </w:rPr>
            </w:pPr>
            <w:r>
              <w:rPr>
                <w:sz w:val="18"/>
                <w:szCs w:val="18"/>
              </w:rPr>
              <w:t>5.7</w:t>
            </w:r>
          </w:p>
        </w:tc>
        <w:tc>
          <w:tcPr>
            <w:tcW w:w="210" w:type="pct"/>
            <w:vAlign w:val="center"/>
          </w:tcPr>
          <w:p>
            <w:pPr>
              <w:spacing w:line="240" w:lineRule="exact"/>
              <w:jc w:val="center"/>
              <w:rPr>
                <w:sz w:val="18"/>
                <w:szCs w:val="18"/>
              </w:rPr>
            </w:pPr>
            <w:r>
              <w:rPr>
                <w:sz w:val="18"/>
                <w:szCs w:val="18"/>
              </w:rPr>
              <w:t>5.64</w:t>
            </w:r>
          </w:p>
        </w:tc>
        <w:tc>
          <w:tcPr>
            <w:tcW w:w="1050" w:type="pct"/>
            <w:vAlign w:val="center"/>
          </w:tcPr>
          <w:p>
            <w:pPr>
              <w:jc w:val="center"/>
              <w:rPr>
                <w:sz w:val="18"/>
                <w:szCs w:val="18"/>
              </w:rPr>
            </w:pPr>
            <w:r>
              <w:rPr>
                <w:sz w:val="18"/>
                <w:szCs w:val="18"/>
              </w:rPr>
              <w:t>集气罩收集（收集效率80%）后经布袋除尘器处理后（处理效率取95%）有组织排放</w:t>
            </w:r>
          </w:p>
        </w:tc>
        <w:tc>
          <w:tcPr>
            <w:tcW w:w="246" w:type="pct"/>
            <w:vAlign w:val="center"/>
          </w:tcPr>
          <w:p>
            <w:pPr>
              <w:jc w:val="center"/>
              <w:rPr>
                <w:bCs/>
                <w:sz w:val="18"/>
                <w:szCs w:val="18"/>
              </w:rPr>
            </w:pPr>
            <w:r>
              <w:rPr>
                <w:sz w:val="18"/>
                <w:szCs w:val="18"/>
              </w:rPr>
              <w:t>19.17</w:t>
            </w:r>
          </w:p>
        </w:tc>
        <w:tc>
          <w:tcPr>
            <w:tcW w:w="210" w:type="pct"/>
            <w:vAlign w:val="center"/>
          </w:tcPr>
          <w:p>
            <w:pPr>
              <w:spacing w:line="240" w:lineRule="exact"/>
              <w:jc w:val="center"/>
              <w:rPr>
                <w:sz w:val="18"/>
                <w:szCs w:val="18"/>
              </w:rPr>
            </w:pPr>
            <w:r>
              <w:rPr>
                <w:sz w:val="18"/>
                <w:szCs w:val="18"/>
              </w:rPr>
              <w:t>0.23</w:t>
            </w:r>
          </w:p>
        </w:tc>
        <w:tc>
          <w:tcPr>
            <w:tcW w:w="211" w:type="pct"/>
            <w:vAlign w:val="center"/>
          </w:tcPr>
          <w:p>
            <w:pPr>
              <w:spacing w:line="240" w:lineRule="exact"/>
              <w:jc w:val="center"/>
              <w:rPr>
                <w:sz w:val="18"/>
                <w:szCs w:val="18"/>
              </w:rPr>
            </w:pPr>
            <w:r>
              <w:rPr>
                <w:sz w:val="18"/>
                <w:szCs w:val="18"/>
              </w:rPr>
              <w:t>0.23</w:t>
            </w:r>
          </w:p>
        </w:tc>
        <w:tc>
          <w:tcPr>
            <w:tcW w:w="210" w:type="pct"/>
            <w:vAlign w:val="center"/>
          </w:tcPr>
          <w:p>
            <w:pPr>
              <w:jc w:val="center"/>
              <w:rPr>
                <w:bCs/>
                <w:sz w:val="18"/>
                <w:szCs w:val="18"/>
              </w:rPr>
            </w:pPr>
            <w:r>
              <w:rPr>
                <w:sz w:val="18"/>
                <w:szCs w:val="18"/>
              </w:rPr>
              <w:t>1.14</w:t>
            </w:r>
          </w:p>
        </w:tc>
        <w:tc>
          <w:tcPr>
            <w:tcW w:w="211" w:type="pct"/>
            <w:vAlign w:val="center"/>
          </w:tcPr>
          <w:p>
            <w:pPr>
              <w:jc w:val="center"/>
              <w:rPr>
                <w:bCs/>
                <w:sz w:val="18"/>
                <w:szCs w:val="18"/>
              </w:rPr>
            </w:pPr>
            <w:r>
              <w:rPr>
                <w:sz w:val="18"/>
                <w:szCs w:val="18"/>
              </w:rPr>
              <w:t>1.13</w:t>
            </w:r>
          </w:p>
        </w:tc>
        <w:tc>
          <w:tcPr>
            <w:tcW w:w="175" w:type="pct"/>
            <w:vAlign w:val="center"/>
          </w:tcPr>
          <w:p>
            <w:pPr>
              <w:jc w:val="center"/>
              <w:rPr>
                <w:bCs/>
                <w:sz w:val="18"/>
                <w:szCs w:val="18"/>
              </w:rPr>
            </w:pPr>
            <w:r>
              <w:rPr>
                <w:sz w:val="18"/>
                <w:szCs w:val="18"/>
              </w:rPr>
              <w:t>15</w:t>
            </w:r>
          </w:p>
        </w:tc>
        <w:tc>
          <w:tcPr>
            <w:tcW w:w="176" w:type="pct"/>
            <w:vAlign w:val="center"/>
          </w:tcPr>
          <w:p>
            <w:pPr>
              <w:jc w:val="center"/>
              <w:rPr>
                <w:bCs/>
                <w:sz w:val="18"/>
                <w:szCs w:val="18"/>
              </w:rPr>
            </w:pPr>
            <w:r>
              <w:rPr>
                <w:sz w:val="18"/>
                <w:szCs w:val="18"/>
              </w:rPr>
              <w:t>0.5</w:t>
            </w:r>
          </w:p>
        </w:tc>
        <w:tc>
          <w:tcPr>
            <w:tcW w:w="175" w:type="pct"/>
            <w:vAlign w:val="center"/>
          </w:tcPr>
          <w:p>
            <w:pPr>
              <w:jc w:val="center"/>
              <w:rPr>
                <w:bCs/>
                <w:sz w:val="18"/>
                <w:szCs w:val="18"/>
              </w:rPr>
            </w:pPr>
            <w:r>
              <w:rPr>
                <w:sz w:val="18"/>
                <w:szCs w:val="18"/>
              </w:rPr>
              <w:t>25</w:t>
            </w:r>
          </w:p>
        </w:tc>
        <w:tc>
          <w:tcPr>
            <w:tcW w:w="176" w:type="pct"/>
            <w:vAlign w:val="center"/>
          </w:tcPr>
          <w:p>
            <w:pPr>
              <w:jc w:val="center"/>
              <w:rPr>
                <w:bCs/>
                <w:sz w:val="18"/>
                <w:szCs w:val="18"/>
              </w:rPr>
            </w:pPr>
            <w:r>
              <w:rPr>
                <w:rFonts w:hint="eastAsia"/>
                <w:bCs/>
                <w:sz w:val="18"/>
                <w:szCs w:val="18"/>
              </w:rPr>
              <w:t>1</w:t>
            </w:r>
            <w:r>
              <w:rPr>
                <w:bCs/>
                <w:sz w:val="18"/>
                <w:szCs w:val="18"/>
              </w:rPr>
              <w:t>20</w:t>
            </w:r>
          </w:p>
        </w:tc>
        <w:tc>
          <w:tcPr>
            <w:tcW w:w="175" w:type="pct"/>
            <w:vAlign w:val="center"/>
          </w:tcPr>
          <w:p>
            <w:pPr>
              <w:jc w:val="center"/>
              <w:rPr>
                <w:bCs/>
                <w:sz w:val="18"/>
                <w:szCs w:val="18"/>
              </w:rPr>
            </w:pPr>
            <w:r>
              <w:rPr>
                <w:rFonts w:hint="eastAsia"/>
                <w:bCs/>
                <w:sz w:val="18"/>
                <w:szCs w:val="18"/>
              </w:rPr>
              <w:t>3</w:t>
            </w:r>
            <w:r>
              <w:rPr>
                <w:bCs/>
                <w:sz w:val="18"/>
                <w:szCs w:val="18"/>
              </w:rPr>
              <w:t>.5</w:t>
            </w:r>
          </w:p>
        </w:tc>
        <w:tc>
          <w:tcPr>
            <w:tcW w:w="175" w:type="pct"/>
            <w:vAlign w:val="center"/>
          </w:tcPr>
          <w:p>
            <w:pPr>
              <w:jc w:val="center"/>
              <w:rPr>
                <w:bCs/>
                <w:sz w:val="18"/>
                <w:szCs w:val="18"/>
              </w:rPr>
            </w:pPr>
            <w:r>
              <w:rPr>
                <w:rFonts w:hint="eastAsia"/>
                <w:bCs/>
                <w:sz w:val="18"/>
                <w:szCs w:val="18"/>
              </w:rPr>
              <w:t>1</w:t>
            </w:r>
          </w:p>
        </w:tc>
        <w:tc>
          <w:tcPr>
            <w:tcW w:w="141" w:type="pct"/>
            <w:vAlign w:val="center"/>
          </w:tcPr>
          <w:p>
            <w:pPr>
              <w:jc w:val="center"/>
              <w:rPr>
                <w:bCs/>
                <w:sz w:val="18"/>
                <w:szCs w:val="18"/>
              </w:rPr>
            </w:pPr>
            <w:r>
              <w:rPr>
                <w:sz w:val="18"/>
                <w:szCs w:val="18"/>
              </w:rPr>
              <w:t>/</w:t>
            </w:r>
          </w:p>
        </w:tc>
        <w:tc>
          <w:tcPr>
            <w:tcW w:w="165" w:type="pc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pPr>
              <w:jc w:val="center"/>
              <w:rPr>
                <w:bCs/>
                <w:sz w:val="18"/>
                <w:szCs w:val="18"/>
              </w:rPr>
            </w:pPr>
            <w:r>
              <w:rPr>
                <w:sz w:val="18"/>
                <w:szCs w:val="18"/>
              </w:rPr>
              <w:t>制冷剂废气</w:t>
            </w:r>
            <w:r>
              <w:rPr>
                <w:rFonts w:hint="eastAsia"/>
                <w:sz w:val="18"/>
                <w:szCs w:val="18"/>
              </w:rPr>
              <w:t>G</w:t>
            </w:r>
            <w:r>
              <w:rPr>
                <w:sz w:val="18"/>
                <w:szCs w:val="18"/>
              </w:rPr>
              <w:t>4</w:t>
            </w:r>
          </w:p>
        </w:tc>
        <w:tc>
          <w:tcPr>
            <w:tcW w:w="351" w:type="pct"/>
            <w:vAlign w:val="center"/>
          </w:tcPr>
          <w:p>
            <w:pPr>
              <w:jc w:val="center"/>
              <w:rPr>
                <w:bCs/>
                <w:sz w:val="18"/>
                <w:szCs w:val="18"/>
              </w:rPr>
            </w:pPr>
            <w:r>
              <w:rPr>
                <w:sz w:val="18"/>
                <w:szCs w:val="18"/>
              </w:rPr>
              <w:t>氟利昂</w:t>
            </w:r>
          </w:p>
        </w:tc>
        <w:tc>
          <w:tcPr>
            <w:tcW w:w="192"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Align w:val="center"/>
          </w:tcPr>
          <w:p>
            <w:pPr>
              <w:jc w:val="center"/>
              <w:rPr>
                <w:sz w:val="18"/>
                <w:szCs w:val="18"/>
              </w:rPr>
            </w:pPr>
            <w:r>
              <w:rPr>
                <w:sz w:val="18"/>
                <w:szCs w:val="18"/>
              </w:rPr>
              <w:t>无组织排放</w:t>
            </w:r>
          </w:p>
        </w:tc>
        <w:tc>
          <w:tcPr>
            <w:tcW w:w="246" w:type="pct"/>
            <w:vAlign w:val="center"/>
          </w:tcPr>
          <w:p>
            <w:pPr>
              <w:jc w:val="center"/>
              <w:rPr>
                <w:bCs/>
                <w:sz w:val="18"/>
                <w:szCs w:val="18"/>
              </w:rPr>
            </w:pPr>
            <w:r>
              <w:rPr>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w:t>
            </w:r>
          </w:p>
        </w:tc>
        <w:tc>
          <w:tcPr>
            <w:tcW w:w="210" w:type="pct"/>
            <w:vAlign w:val="center"/>
          </w:tcPr>
          <w:p>
            <w:pPr>
              <w:jc w:val="center"/>
              <w:rPr>
                <w:bCs/>
                <w:sz w:val="18"/>
                <w:szCs w:val="18"/>
              </w:rPr>
            </w:pPr>
            <w:r>
              <w:rPr>
                <w:sz w:val="18"/>
                <w:szCs w:val="18"/>
              </w:rPr>
              <w:t>/</w:t>
            </w:r>
          </w:p>
        </w:tc>
        <w:tc>
          <w:tcPr>
            <w:tcW w:w="211" w:type="pct"/>
            <w:vAlign w:val="center"/>
          </w:tcPr>
          <w:p>
            <w:pPr>
              <w:jc w:val="center"/>
              <w:rPr>
                <w:bCs/>
                <w:sz w:val="18"/>
                <w:szCs w:val="18"/>
              </w:rPr>
            </w:pPr>
            <w:r>
              <w:rPr>
                <w:sz w:val="18"/>
                <w:szCs w:val="18"/>
              </w:rPr>
              <w:t>少量</w:t>
            </w:r>
          </w:p>
        </w:tc>
        <w:tc>
          <w:tcPr>
            <w:tcW w:w="175"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76"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41" w:type="pct"/>
            <w:vAlign w:val="center"/>
          </w:tcPr>
          <w:p>
            <w:pPr>
              <w:jc w:val="center"/>
              <w:rPr>
                <w:bCs/>
                <w:sz w:val="18"/>
                <w:szCs w:val="18"/>
              </w:rPr>
            </w:pPr>
            <w:r>
              <w:rPr>
                <w:sz w:val="18"/>
                <w:szCs w:val="18"/>
              </w:rPr>
              <w:t>/</w:t>
            </w:r>
          </w:p>
        </w:tc>
        <w:tc>
          <w:tcPr>
            <w:tcW w:w="165" w:type="pc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Align w:val="center"/>
          </w:tcPr>
          <w:p>
            <w:pPr>
              <w:jc w:val="center"/>
              <w:rPr>
                <w:bCs/>
                <w:sz w:val="18"/>
                <w:szCs w:val="18"/>
              </w:rPr>
            </w:pPr>
            <w:r>
              <w:rPr>
                <w:sz w:val="18"/>
                <w:szCs w:val="18"/>
              </w:rPr>
              <w:t>破碎废气</w:t>
            </w:r>
            <w:r>
              <w:rPr>
                <w:rFonts w:hint="eastAsia"/>
                <w:sz w:val="18"/>
                <w:szCs w:val="18"/>
              </w:rPr>
              <w:t>G</w:t>
            </w:r>
            <w:r>
              <w:rPr>
                <w:sz w:val="18"/>
                <w:szCs w:val="18"/>
              </w:rPr>
              <w:t>5</w:t>
            </w:r>
          </w:p>
        </w:tc>
        <w:tc>
          <w:tcPr>
            <w:tcW w:w="351" w:type="pct"/>
            <w:vAlign w:val="center"/>
          </w:tcPr>
          <w:p>
            <w:pPr>
              <w:jc w:val="center"/>
              <w:rPr>
                <w:bCs/>
                <w:sz w:val="18"/>
                <w:szCs w:val="18"/>
              </w:rPr>
            </w:pPr>
            <w:r>
              <w:rPr>
                <w:sz w:val="18"/>
                <w:szCs w:val="18"/>
              </w:rPr>
              <w:t>颗粒物</w:t>
            </w:r>
          </w:p>
        </w:tc>
        <w:tc>
          <w:tcPr>
            <w:tcW w:w="192" w:type="pct"/>
            <w:vAlign w:val="center"/>
          </w:tcPr>
          <w:p>
            <w:pPr>
              <w:jc w:val="center"/>
              <w:rPr>
                <w:bCs/>
                <w:sz w:val="18"/>
                <w:szCs w:val="18"/>
              </w:rPr>
            </w:pPr>
            <w:r>
              <w:rPr>
                <w:sz w:val="18"/>
                <w:szCs w:val="18"/>
              </w:rPr>
              <w:t>8000</w:t>
            </w:r>
          </w:p>
        </w:tc>
        <w:tc>
          <w:tcPr>
            <w:tcW w:w="176" w:type="pct"/>
            <w:vAlign w:val="center"/>
          </w:tcPr>
          <w:p>
            <w:pPr>
              <w:jc w:val="center"/>
              <w:rPr>
                <w:bCs/>
                <w:sz w:val="18"/>
                <w:szCs w:val="18"/>
              </w:rPr>
            </w:pPr>
            <w:r>
              <w:rPr>
                <w:sz w:val="18"/>
                <w:szCs w:val="18"/>
              </w:rPr>
              <w:t>1165</w:t>
            </w:r>
          </w:p>
        </w:tc>
        <w:tc>
          <w:tcPr>
            <w:tcW w:w="197" w:type="pct"/>
            <w:vAlign w:val="center"/>
          </w:tcPr>
          <w:p>
            <w:pPr>
              <w:spacing w:line="240" w:lineRule="exact"/>
              <w:jc w:val="center"/>
              <w:rPr>
                <w:sz w:val="18"/>
                <w:szCs w:val="18"/>
              </w:rPr>
            </w:pPr>
            <w:r>
              <w:rPr>
                <w:sz w:val="18"/>
                <w:szCs w:val="18"/>
              </w:rPr>
              <w:t>9.32</w:t>
            </w:r>
          </w:p>
        </w:tc>
        <w:tc>
          <w:tcPr>
            <w:tcW w:w="210" w:type="pct"/>
            <w:vAlign w:val="center"/>
          </w:tcPr>
          <w:p>
            <w:pPr>
              <w:spacing w:line="240" w:lineRule="exact"/>
              <w:jc w:val="center"/>
              <w:rPr>
                <w:sz w:val="18"/>
                <w:szCs w:val="18"/>
              </w:rPr>
            </w:pPr>
            <w:r>
              <w:rPr>
                <w:sz w:val="18"/>
                <w:szCs w:val="18"/>
              </w:rPr>
              <w:t>18.46</w:t>
            </w:r>
          </w:p>
        </w:tc>
        <w:tc>
          <w:tcPr>
            <w:tcW w:w="1050" w:type="pct"/>
            <w:vAlign w:val="center"/>
          </w:tcPr>
          <w:p>
            <w:pPr>
              <w:jc w:val="center"/>
              <w:rPr>
                <w:sz w:val="18"/>
                <w:szCs w:val="18"/>
              </w:rPr>
            </w:pPr>
            <w:r>
              <w:rPr>
                <w:sz w:val="18"/>
                <w:szCs w:val="18"/>
              </w:rPr>
              <w:t>集气罩收集（收集效率80%）后经布袋除尘器处理后（处理效率取95%）有组织排放</w:t>
            </w:r>
          </w:p>
        </w:tc>
        <w:tc>
          <w:tcPr>
            <w:tcW w:w="246" w:type="pct"/>
            <w:vAlign w:val="center"/>
          </w:tcPr>
          <w:p>
            <w:pPr>
              <w:jc w:val="center"/>
              <w:rPr>
                <w:bCs/>
                <w:sz w:val="18"/>
                <w:szCs w:val="18"/>
              </w:rPr>
            </w:pPr>
            <w:r>
              <w:rPr>
                <w:sz w:val="18"/>
                <w:szCs w:val="18"/>
              </w:rPr>
              <w:t>46.25</w:t>
            </w:r>
          </w:p>
        </w:tc>
        <w:tc>
          <w:tcPr>
            <w:tcW w:w="210" w:type="pct"/>
            <w:vAlign w:val="center"/>
          </w:tcPr>
          <w:p>
            <w:pPr>
              <w:spacing w:line="240" w:lineRule="exact"/>
              <w:jc w:val="center"/>
              <w:rPr>
                <w:sz w:val="18"/>
                <w:szCs w:val="18"/>
              </w:rPr>
            </w:pPr>
            <w:r>
              <w:rPr>
                <w:sz w:val="18"/>
                <w:szCs w:val="18"/>
              </w:rPr>
              <w:t>0.37</w:t>
            </w:r>
          </w:p>
        </w:tc>
        <w:tc>
          <w:tcPr>
            <w:tcW w:w="211" w:type="pct"/>
            <w:vAlign w:val="center"/>
          </w:tcPr>
          <w:p>
            <w:pPr>
              <w:spacing w:line="240" w:lineRule="exact"/>
              <w:jc w:val="center"/>
              <w:rPr>
                <w:sz w:val="18"/>
                <w:szCs w:val="18"/>
              </w:rPr>
            </w:pPr>
            <w:r>
              <w:rPr>
                <w:sz w:val="18"/>
                <w:szCs w:val="18"/>
              </w:rPr>
              <w:t>0.74</w:t>
            </w:r>
          </w:p>
        </w:tc>
        <w:tc>
          <w:tcPr>
            <w:tcW w:w="210" w:type="pct"/>
            <w:vAlign w:val="center"/>
          </w:tcPr>
          <w:p>
            <w:pPr>
              <w:jc w:val="center"/>
              <w:rPr>
                <w:bCs/>
                <w:sz w:val="18"/>
                <w:szCs w:val="18"/>
              </w:rPr>
            </w:pPr>
            <w:r>
              <w:rPr>
                <w:sz w:val="18"/>
                <w:szCs w:val="18"/>
              </w:rPr>
              <w:t>1.86</w:t>
            </w:r>
          </w:p>
        </w:tc>
        <w:tc>
          <w:tcPr>
            <w:tcW w:w="211" w:type="pct"/>
            <w:vAlign w:val="center"/>
          </w:tcPr>
          <w:p>
            <w:pPr>
              <w:jc w:val="center"/>
              <w:rPr>
                <w:bCs/>
                <w:sz w:val="18"/>
                <w:szCs w:val="18"/>
              </w:rPr>
            </w:pPr>
            <w:r>
              <w:rPr>
                <w:sz w:val="18"/>
                <w:szCs w:val="18"/>
              </w:rPr>
              <w:t>3.69</w:t>
            </w:r>
          </w:p>
        </w:tc>
        <w:tc>
          <w:tcPr>
            <w:tcW w:w="175" w:type="pct"/>
            <w:vAlign w:val="center"/>
          </w:tcPr>
          <w:p>
            <w:pPr>
              <w:jc w:val="center"/>
              <w:rPr>
                <w:bCs/>
                <w:sz w:val="18"/>
                <w:szCs w:val="18"/>
              </w:rPr>
            </w:pPr>
            <w:r>
              <w:rPr>
                <w:bCs/>
                <w:sz w:val="18"/>
                <w:szCs w:val="18"/>
              </w:rPr>
              <w:t>15</w:t>
            </w:r>
          </w:p>
        </w:tc>
        <w:tc>
          <w:tcPr>
            <w:tcW w:w="176" w:type="pct"/>
            <w:vAlign w:val="center"/>
          </w:tcPr>
          <w:p>
            <w:pPr>
              <w:jc w:val="center"/>
              <w:rPr>
                <w:bCs/>
                <w:sz w:val="18"/>
                <w:szCs w:val="18"/>
              </w:rPr>
            </w:pPr>
            <w:r>
              <w:rPr>
                <w:bCs/>
                <w:sz w:val="18"/>
                <w:szCs w:val="18"/>
              </w:rPr>
              <w:t>0.4</w:t>
            </w:r>
          </w:p>
        </w:tc>
        <w:tc>
          <w:tcPr>
            <w:tcW w:w="175" w:type="pct"/>
            <w:vAlign w:val="center"/>
          </w:tcPr>
          <w:p>
            <w:pPr>
              <w:jc w:val="center"/>
              <w:rPr>
                <w:bCs/>
                <w:sz w:val="18"/>
                <w:szCs w:val="18"/>
              </w:rPr>
            </w:pPr>
            <w:r>
              <w:rPr>
                <w:sz w:val="18"/>
                <w:szCs w:val="18"/>
              </w:rPr>
              <w:t>25</w:t>
            </w:r>
          </w:p>
        </w:tc>
        <w:tc>
          <w:tcPr>
            <w:tcW w:w="176" w:type="pct"/>
            <w:vAlign w:val="center"/>
          </w:tcPr>
          <w:p>
            <w:pPr>
              <w:jc w:val="center"/>
              <w:rPr>
                <w:bCs/>
                <w:sz w:val="18"/>
                <w:szCs w:val="18"/>
              </w:rPr>
            </w:pPr>
            <w:r>
              <w:rPr>
                <w:rFonts w:hint="eastAsia"/>
                <w:bCs/>
                <w:sz w:val="18"/>
                <w:szCs w:val="18"/>
              </w:rPr>
              <w:t>1</w:t>
            </w:r>
            <w:r>
              <w:rPr>
                <w:bCs/>
                <w:sz w:val="18"/>
                <w:szCs w:val="18"/>
              </w:rPr>
              <w:t>20</w:t>
            </w:r>
          </w:p>
        </w:tc>
        <w:tc>
          <w:tcPr>
            <w:tcW w:w="175" w:type="pct"/>
            <w:vAlign w:val="center"/>
          </w:tcPr>
          <w:p>
            <w:pPr>
              <w:jc w:val="center"/>
              <w:rPr>
                <w:bCs/>
                <w:sz w:val="18"/>
                <w:szCs w:val="18"/>
              </w:rPr>
            </w:pPr>
            <w:r>
              <w:rPr>
                <w:rFonts w:hint="eastAsia"/>
                <w:bCs/>
                <w:sz w:val="18"/>
                <w:szCs w:val="18"/>
              </w:rPr>
              <w:t>3</w:t>
            </w:r>
            <w:r>
              <w:rPr>
                <w:bCs/>
                <w:sz w:val="18"/>
                <w:szCs w:val="18"/>
              </w:rPr>
              <w:t>.5</w:t>
            </w:r>
          </w:p>
        </w:tc>
        <w:tc>
          <w:tcPr>
            <w:tcW w:w="175" w:type="pct"/>
            <w:vAlign w:val="center"/>
          </w:tcPr>
          <w:p>
            <w:pPr>
              <w:jc w:val="center"/>
              <w:rPr>
                <w:bCs/>
                <w:sz w:val="18"/>
                <w:szCs w:val="18"/>
              </w:rPr>
            </w:pPr>
            <w:r>
              <w:rPr>
                <w:rFonts w:hint="eastAsia"/>
                <w:bCs/>
                <w:sz w:val="18"/>
                <w:szCs w:val="18"/>
              </w:rPr>
              <w:t>1</w:t>
            </w:r>
          </w:p>
        </w:tc>
        <w:tc>
          <w:tcPr>
            <w:tcW w:w="141" w:type="pct"/>
            <w:vAlign w:val="center"/>
          </w:tcPr>
          <w:p>
            <w:pPr>
              <w:jc w:val="center"/>
              <w:rPr>
                <w:bCs/>
                <w:sz w:val="18"/>
                <w:szCs w:val="18"/>
              </w:rPr>
            </w:pPr>
            <w:r>
              <w:rPr>
                <w:sz w:val="18"/>
                <w:szCs w:val="18"/>
              </w:rPr>
              <w:t>/</w:t>
            </w:r>
          </w:p>
        </w:tc>
        <w:tc>
          <w:tcPr>
            <w:tcW w:w="165" w:type="pc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restart"/>
            <w:vAlign w:val="center"/>
          </w:tcPr>
          <w:p>
            <w:pPr>
              <w:jc w:val="center"/>
              <w:rPr>
                <w:bCs/>
                <w:sz w:val="18"/>
                <w:szCs w:val="18"/>
              </w:rPr>
            </w:pPr>
            <w:r>
              <w:rPr>
                <w:sz w:val="18"/>
                <w:szCs w:val="18"/>
              </w:rPr>
              <w:t>食堂废气</w:t>
            </w:r>
            <w:r>
              <w:rPr>
                <w:rFonts w:hint="eastAsia"/>
                <w:sz w:val="18"/>
                <w:szCs w:val="18"/>
              </w:rPr>
              <w:t>G</w:t>
            </w:r>
            <w:r>
              <w:rPr>
                <w:sz w:val="18"/>
                <w:szCs w:val="18"/>
              </w:rPr>
              <w:t>6</w:t>
            </w:r>
          </w:p>
        </w:tc>
        <w:tc>
          <w:tcPr>
            <w:tcW w:w="351" w:type="pct"/>
            <w:vAlign w:val="center"/>
          </w:tcPr>
          <w:p>
            <w:pPr>
              <w:jc w:val="center"/>
              <w:rPr>
                <w:bCs/>
                <w:sz w:val="18"/>
                <w:szCs w:val="18"/>
              </w:rPr>
            </w:pPr>
            <w:r>
              <w:rPr>
                <w:sz w:val="18"/>
                <w:szCs w:val="18"/>
              </w:rPr>
              <w:t>油烟</w:t>
            </w:r>
          </w:p>
        </w:tc>
        <w:tc>
          <w:tcPr>
            <w:tcW w:w="192" w:type="pct"/>
            <w:vAlign w:val="center"/>
          </w:tcPr>
          <w:p>
            <w:pPr>
              <w:jc w:val="center"/>
              <w:rPr>
                <w:bCs/>
                <w:sz w:val="18"/>
                <w:szCs w:val="18"/>
              </w:rPr>
            </w:pPr>
            <w:r>
              <w:rPr>
                <w:sz w:val="18"/>
                <w:szCs w:val="18"/>
              </w:rPr>
              <w:t>8000</w:t>
            </w:r>
          </w:p>
        </w:tc>
        <w:tc>
          <w:tcPr>
            <w:tcW w:w="176" w:type="pct"/>
            <w:vAlign w:val="center"/>
          </w:tcPr>
          <w:p>
            <w:pPr>
              <w:jc w:val="center"/>
              <w:rPr>
                <w:bCs/>
                <w:sz w:val="18"/>
                <w:szCs w:val="18"/>
              </w:rPr>
            </w:pPr>
            <w:r>
              <w:rPr>
                <w:sz w:val="18"/>
                <w:szCs w:val="18"/>
              </w:rPr>
              <w:t>7.5</w:t>
            </w:r>
          </w:p>
        </w:tc>
        <w:tc>
          <w:tcPr>
            <w:tcW w:w="197" w:type="pct"/>
            <w:vAlign w:val="center"/>
          </w:tcPr>
          <w:p>
            <w:pPr>
              <w:spacing w:line="240" w:lineRule="exact"/>
              <w:jc w:val="center"/>
              <w:rPr>
                <w:sz w:val="18"/>
                <w:szCs w:val="18"/>
              </w:rPr>
            </w:pPr>
            <w:r>
              <w:rPr>
                <w:sz w:val="18"/>
                <w:szCs w:val="18"/>
              </w:rPr>
              <w:t>0.06</w:t>
            </w:r>
          </w:p>
        </w:tc>
        <w:tc>
          <w:tcPr>
            <w:tcW w:w="210" w:type="pct"/>
            <w:vAlign w:val="center"/>
          </w:tcPr>
          <w:p>
            <w:pPr>
              <w:spacing w:line="240" w:lineRule="exact"/>
              <w:jc w:val="center"/>
              <w:rPr>
                <w:sz w:val="18"/>
                <w:szCs w:val="18"/>
              </w:rPr>
            </w:pPr>
            <w:r>
              <w:rPr>
                <w:sz w:val="18"/>
                <w:szCs w:val="18"/>
              </w:rPr>
              <w:t>0.12</w:t>
            </w:r>
          </w:p>
        </w:tc>
        <w:tc>
          <w:tcPr>
            <w:tcW w:w="1050" w:type="pct"/>
            <w:vMerge w:val="restart"/>
            <w:vAlign w:val="center"/>
          </w:tcPr>
          <w:p>
            <w:pPr>
              <w:jc w:val="center"/>
              <w:rPr>
                <w:sz w:val="18"/>
                <w:szCs w:val="18"/>
              </w:rPr>
            </w:pPr>
            <w:r>
              <w:rPr>
                <w:sz w:val="18"/>
                <w:szCs w:val="18"/>
              </w:rPr>
              <w:t>集气罩收集（收集效率80%）后经油烟净化器处理后（油烟处理效率取95%，非甲烷总烃处理效率75%）有组织排放</w:t>
            </w:r>
          </w:p>
        </w:tc>
        <w:tc>
          <w:tcPr>
            <w:tcW w:w="246" w:type="pct"/>
            <w:vAlign w:val="center"/>
          </w:tcPr>
          <w:p>
            <w:pPr>
              <w:jc w:val="center"/>
              <w:rPr>
                <w:bCs/>
                <w:sz w:val="18"/>
                <w:szCs w:val="18"/>
              </w:rPr>
            </w:pPr>
            <w:r>
              <w:rPr>
                <w:sz w:val="18"/>
                <w:szCs w:val="18"/>
              </w:rPr>
              <w:t>0.95</w:t>
            </w:r>
          </w:p>
        </w:tc>
        <w:tc>
          <w:tcPr>
            <w:tcW w:w="210" w:type="pct"/>
            <w:vAlign w:val="center"/>
          </w:tcPr>
          <w:p>
            <w:pPr>
              <w:spacing w:line="240" w:lineRule="exact"/>
              <w:jc w:val="center"/>
              <w:rPr>
                <w:sz w:val="18"/>
                <w:szCs w:val="18"/>
              </w:rPr>
            </w:pPr>
            <w:r>
              <w:rPr>
                <w:sz w:val="18"/>
                <w:szCs w:val="18"/>
              </w:rPr>
              <w:t>0.34</w:t>
            </w:r>
          </w:p>
        </w:tc>
        <w:tc>
          <w:tcPr>
            <w:tcW w:w="211" w:type="pct"/>
            <w:vAlign w:val="center"/>
          </w:tcPr>
          <w:p>
            <w:pPr>
              <w:spacing w:line="240" w:lineRule="exact"/>
              <w:jc w:val="center"/>
              <w:rPr>
                <w:sz w:val="18"/>
                <w:szCs w:val="18"/>
              </w:rPr>
            </w:pPr>
            <w:r>
              <w:rPr>
                <w:sz w:val="18"/>
                <w:szCs w:val="18"/>
              </w:rPr>
              <w:t>0.003</w:t>
            </w:r>
          </w:p>
        </w:tc>
        <w:tc>
          <w:tcPr>
            <w:tcW w:w="210" w:type="pct"/>
            <w:vAlign w:val="center"/>
          </w:tcPr>
          <w:p>
            <w:pPr>
              <w:jc w:val="center"/>
              <w:rPr>
                <w:bCs/>
                <w:sz w:val="18"/>
                <w:szCs w:val="18"/>
              </w:rPr>
            </w:pPr>
            <w:r>
              <w:rPr>
                <w:sz w:val="18"/>
                <w:szCs w:val="18"/>
              </w:rPr>
              <w:t>0.01</w:t>
            </w:r>
          </w:p>
        </w:tc>
        <w:tc>
          <w:tcPr>
            <w:tcW w:w="211" w:type="pct"/>
            <w:vAlign w:val="center"/>
          </w:tcPr>
          <w:p>
            <w:pPr>
              <w:jc w:val="center"/>
              <w:rPr>
                <w:bCs/>
                <w:sz w:val="18"/>
                <w:szCs w:val="18"/>
              </w:rPr>
            </w:pPr>
            <w:r>
              <w:rPr>
                <w:sz w:val="18"/>
                <w:szCs w:val="18"/>
              </w:rPr>
              <w:t>0.01</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rFonts w:hint="eastAsia"/>
                <w:bCs/>
                <w:sz w:val="18"/>
                <w:szCs w:val="18"/>
              </w:rPr>
              <w:t>1</w:t>
            </w:r>
          </w:p>
        </w:tc>
        <w:tc>
          <w:tcPr>
            <w:tcW w:w="175"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41" w:type="pct"/>
            <w:vAlign w:val="center"/>
          </w:tcPr>
          <w:p>
            <w:pPr>
              <w:jc w:val="center"/>
              <w:rPr>
                <w:bCs/>
                <w:sz w:val="18"/>
                <w:szCs w:val="18"/>
              </w:rPr>
            </w:pPr>
            <w:r>
              <w:rPr>
                <w:sz w:val="18"/>
                <w:szCs w:val="18"/>
              </w:rPr>
              <w:t>/</w:t>
            </w:r>
          </w:p>
        </w:tc>
        <w:tc>
          <w:tcPr>
            <w:tcW w:w="165" w:type="pct"/>
            <w:vMerge w:val="restar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Align w:val="center"/>
          </w:tcPr>
          <w:p>
            <w:pPr>
              <w:jc w:val="center"/>
              <w:rPr>
                <w:bCs/>
                <w:sz w:val="18"/>
                <w:szCs w:val="18"/>
              </w:rPr>
            </w:pPr>
            <w:r>
              <w:rPr>
                <w:sz w:val="18"/>
                <w:szCs w:val="18"/>
              </w:rPr>
              <w:t>非甲烷总烃</w:t>
            </w:r>
          </w:p>
        </w:tc>
        <w:tc>
          <w:tcPr>
            <w:tcW w:w="192" w:type="pct"/>
            <w:vAlign w:val="center"/>
          </w:tcPr>
          <w:p>
            <w:pPr>
              <w:jc w:val="center"/>
              <w:rPr>
                <w:bCs/>
                <w:sz w:val="18"/>
                <w:szCs w:val="18"/>
              </w:rPr>
            </w:pPr>
            <w:r>
              <w:rPr>
                <w:sz w:val="18"/>
                <w:szCs w:val="18"/>
              </w:rPr>
              <w:t>8000</w:t>
            </w:r>
          </w:p>
        </w:tc>
        <w:tc>
          <w:tcPr>
            <w:tcW w:w="176" w:type="pct"/>
            <w:vAlign w:val="center"/>
          </w:tcPr>
          <w:p>
            <w:pPr>
              <w:jc w:val="center"/>
              <w:rPr>
                <w:bCs/>
                <w:sz w:val="18"/>
                <w:szCs w:val="18"/>
              </w:rPr>
            </w:pPr>
            <w:r>
              <w:rPr>
                <w:sz w:val="18"/>
                <w:szCs w:val="18"/>
              </w:rPr>
              <w:t>12</w:t>
            </w:r>
          </w:p>
        </w:tc>
        <w:tc>
          <w:tcPr>
            <w:tcW w:w="197" w:type="pct"/>
            <w:vAlign w:val="center"/>
          </w:tcPr>
          <w:p>
            <w:pPr>
              <w:spacing w:line="240" w:lineRule="exact"/>
              <w:jc w:val="center"/>
              <w:rPr>
                <w:sz w:val="18"/>
                <w:szCs w:val="18"/>
              </w:rPr>
            </w:pPr>
            <w:r>
              <w:rPr>
                <w:sz w:val="18"/>
                <w:szCs w:val="18"/>
              </w:rPr>
              <w:t>0.1</w:t>
            </w:r>
          </w:p>
        </w:tc>
        <w:tc>
          <w:tcPr>
            <w:tcW w:w="210" w:type="pct"/>
            <w:vAlign w:val="center"/>
          </w:tcPr>
          <w:p>
            <w:pPr>
              <w:spacing w:line="240" w:lineRule="exact"/>
              <w:jc w:val="center"/>
              <w:rPr>
                <w:sz w:val="18"/>
                <w:szCs w:val="18"/>
              </w:rPr>
            </w:pPr>
            <w:r>
              <w:rPr>
                <w:sz w:val="18"/>
                <w:szCs w:val="18"/>
              </w:rPr>
              <w:t>0.2</w:t>
            </w:r>
          </w:p>
        </w:tc>
        <w:tc>
          <w:tcPr>
            <w:tcW w:w="1050" w:type="pct"/>
            <w:vMerge w:val="continue"/>
            <w:vAlign w:val="center"/>
          </w:tcPr>
          <w:p>
            <w:pPr>
              <w:jc w:val="center"/>
              <w:rPr>
                <w:sz w:val="18"/>
                <w:szCs w:val="18"/>
              </w:rPr>
            </w:pPr>
          </w:p>
        </w:tc>
        <w:tc>
          <w:tcPr>
            <w:tcW w:w="246" w:type="pct"/>
            <w:vAlign w:val="center"/>
          </w:tcPr>
          <w:p>
            <w:pPr>
              <w:jc w:val="center"/>
              <w:rPr>
                <w:bCs/>
                <w:sz w:val="18"/>
                <w:szCs w:val="18"/>
              </w:rPr>
            </w:pPr>
            <w:r>
              <w:rPr>
                <w:sz w:val="18"/>
                <w:szCs w:val="18"/>
              </w:rPr>
              <w:t>0.75</w:t>
            </w:r>
          </w:p>
        </w:tc>
        <w:tc>
          <w:tcPr>
            <w:tcW w:w="210" w:type="pct"/>
            <w:vAlign w:val="center"/>
          </w:tcPr>
          <w:p>
            <w:pPr>
              <w:spacing w:line="240" w:lineRule="exact"/>
              <w:jc w:val="center"/>
              <w:rPr>
                <w:sz w:val="18"/>
                <w:szCs w:val="18"/>
              </w:rPr>
            </w:pPr>
            <w:r>
              <w:rPr>
                <w:sz w:val="18"/>
                <w:szCs w:val="18"/>
              </w:rPr>
              <w:t>2.7</w:t>
            </w:r>
          </w:p>
        </w:tc>
        <w:tc>
          <w:tcPr>
            <w:tcW w:w="211" w:type="pct"/>
            <w:vAlign w:val="center"/>
          </w:tcPr>
          <w:p>
            <w:pPr>
              <w:spacing w:line="240" w:lineRule="exact"/>
              <w:jc w:val="center"/>
              <w:rPr>
                <w:sz w:val="18"/>
                <w:szCs w:val="18"/>
              </w:rPr>
            </w:pPr>
            <w:r>
              <w:rPr>
                <w:sz w:val="18"/>
                <w:szCs w:val="18"/>
              </w:rPr>
              <w:t>0.02</w:t>
            </w:r>
          </w:p>
        </w:tc>
        <w:tc>
          <w:tcPr>
            <w:tcW w:w="210" w:type="pct"/>
            <w:vAlign w:val="center"/>
          </w:tcPr>
          <w:p>
            <w:pPr>
              <w:jc w:val="center"/>
              <w:rPr>
                <w:bCs/>
                <w:sz w:val="18"/>
                <w:szCs w:val="18"/>
              </w:rPr>
            </w:pPr>
            <w:r>
              <w:rPr>
                <w:sz w:val="18"/>
                <w:szCs w:val="18"/>
              </w:rPr>
              <w:t>0.05</w:t>
            </w:r>
          </w:p>
        </w:tc>
        <w:tc>
          <w:tcPr>
            <w:tcW w:w="211" w:type="pct"/>
            <w:vAlign w:val="center"/>
          </w:tcPr>
          <w:p>
            <w:pPr>
              <w:jc w:val="center"/>
              <w:rPr>
                <w:bCs/>
                <w:sz w:val="18"/>
                <w:szCs w:val="18"/>
              </w:rPr>
            </w:pPr>
            <w:r>
              <w:rPr>
                <w:sz w:val="18"/>
                <w:szCs w:val="18"/>
              </w:rPr>
              <w:t>0.02</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rFonts w:hint="eastAsia"/>
                <w:bCs/>
                <w:sz w:val="18"/>
                <w:szCs w:val="18"/>
              </w:rPr>
              <w:t>1</w:t>
            </w:r>
            <w:r>
              <w:rPr>
                <w:bCs/>
                <w:sz w:val="18"/>
                <w:szCs w:val="18"/>
              </w:rPr>
              <w:t>0</w:t>
            </w:r>
          </w:p>
        </w:tc>
        <w:tc>
          <w:tcPr>
            <w:tcW w:w="175" w:type="pct"/>
            <w:vAlign w:val="center"/>
          </w:tcPr>
          <w:p>
            <w:pPr>
              <w:jc w:val="center"/>
              <w:rPr>
                <w:bCs/>
                <w:sz w:val="18"/>
                <w:szCs w:val="18"/>
              </w:rPr>
            </w:pPr>
            <w:r>
              <w:rPr>
                <w:sz w:val="18"/>
                <w:szCs w:val="18"/>
              </w:rPr>
              <w:t>/</w:t>
            </w:r>
          </w:p>
        </w:tc>
        <w:tc>
          <w:tcPr>
            <w:tcW w:w="175" w:type="pct"/>
            <w:vAlign w:val="center"/>
          </w:tcPr>
          <w:p>
            <w:pPr>
              <w:jc w:val="center"/>
              <w:rPr>
                <w:bCs/>
                <w:sz w:val="18"/>
                <w:szCs w:val="18"/>
              </w:rPr>
            </w:pPr>
            <w:r>
              <w:rPr>
                <w:sz w:val="18"/>
                <w:szCs w:val="18"/>
              </w:rPr>
              <w:t>/</w:t>
            </w:r>
          </w:p>
        </w:tc>
        <w:tc>
          <w:tcPr>
            <w:tcW w:w="141" w:type="pct"/>
            <w:vAlign w:val="center"/>
          </w:tcPr>
          <w:p>
            <w:pPr>
              <w:jc w:val="center"/>
              <w:rPr>
                <w:bCs/>
                <w:sz w:val="18"/>
                <w:szCs w:val="18"/>
              </w:rPr>
            </w:pPr>
            <w:r>
              <w:rPr>
                <w:sz w:val="18"/>
                <w:szCs w:val="18"/>
              </w:rPr>
              <w:t>/</w:t>
            </w:r>
          </w:p>
        </w:tc>
        <w:tc>
          <w:tcPr>
            <w:tcW w:w="165"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restart"/>
            <w:vAlign w:val="center"/>
          </w:tcPr>
          <w:p>
            <w:pPr>
              <w:jc w:val="center"/>
              <w:rPr>
                <w:bCs/>
                <w:sz w:val="18"/>
                <w:szCs w:val="18"/>
              </w:rPr>
            </w:pPr>
            <w:r>
              <w:rPr>
                <w:bCs/>
                <w:sz w:val="18"/>
                <w:szCs w:val="18"/>
              </w:rPr>
              <w:t>污水处理站废气</w:t>
            </w:r>
            <w:r>
              <w:rPr>
                <w:rFonts w:hint="eastAsia"/>
                <w:sz w:val="18"/>
                <w:szCs w:val="18"/>
              </w:rPr>
              <w:t>G</w:t>
            </w:r>
            <w:r>
              <w:rPr>
                <w:sz w:val="18"/>
                <w:szCs w:val="18"/>
              </w:rPr>
              <w:t>7</w:t>
            </w:r>
          </w:p>
        </w:tc>
        <w:tc>
          <w:tcPr>
            <w:tcW w:w="351" w:type="pct"/>
            <w:vAlign w:val="center"/>
          </w:tcPr>
          <w:p>
            <w:pPr>
              <w:jc w:val="center"/>
              <w:rPr>
                <w:bCs/>
                <w:sz w:val="18"/>
                <w:szCs w:val="18"/>
              </w:rPr>
            </w:pPr>
            <w:r>
              <w:rPr>
                <w:bCs/>
                <w:sz w:val="18"/>
                <w:szCs w:val="18"/>
              </w:rPr>
              <w:t>氨</w:t>
            </w:r>
          </w:p>
        </w:tc>
        <w:tc>
          <w:tcPr>
            <w:tcW w:w="192"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Merge w:val="restart"/>
            <w:vAlign w:val="center"/>
          </w:tcPr>
          <w:p>
            <w:pPr>
              <w:jc w:val="center"/>
              <w:rPr>
                <w:kern w:val="0"/>
                <w:sz w:val="18"/>
                <w:szCs w:val="18"/>
              </w:rPr>
            </w:pPr>
            <w:r>
              <w:rPr>
                <w:sz w:val="18"/>
                <w:szCs w:val="18"/>
              </w:rPr>
              <w:t>对产臭的工序加盖收集，废气集中收集后经活性炭吸附处理后，引至业务房屋顶排放</w:t>
            </w:r>
          </w:p>
        </w:tc>
        <w:tc>
          <w:tcPr>
            <w:tcW w:w="246" w:type="pct"/>
            <w:vAlign w:val="center"/>
          </w:tcPr>
          <w:p>
            <w:pPr>
              <w:jc w:val="center"/>
              <w:rPr>
                <w:bCs/>
                <w:sz w:val="18"/>
                <w:szCs w:val="18"/>
              </w:rPr>
            </w:pPr>
            <w:r>
              <w:rPr>
                <w:bCs/>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少量</w:t>
            </w:r>
          </w:p>
        </w:tc>
        <w:tc>
          <w:tcPr>
            <w:tcW w:w="210" w:type="pct"/>
            <w:vAlign w:val="center"/>
          </w:tcPr>
          <w:p>
            <w:pPr>
              <w:jc w:val="center"/>
              <w:rPr>
                <w:bCs/>
                <w:sz w:val="18"/>
                <w:szCs w:val="18"/>
              </w:rPr>
            </w:pPr>
            <w:r>
              <w:rPr>
                <w:bCs/>
                <w:sz w:val="18"/>
                <w:szCs w:val="18"/>
              </w:rPr>
              <w:t>/</w:t>
            </w:r>
          </w:p>
        </w:tc>
        <w:tc>
          <w:tcPr>
            <w:tcW w:w="211"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1.5</w:t>
            </w:r>
          </w:p>
        </w:tc>
        <w:tc>
          <w:tcPr>
            <w:tcW w:w="141" w:type="pct"/>
            <w:vAlign w:val="center"/>
          </w:tcPr>
          <w:p>
            <w:pPr>
              <w:jc w:val="center"/>
              <w:rPr>
                <w:bCs/>
                <w:sz w:val="18"/>
                <w:szCs w:val="18"/>
              </w:rPr>
            </w:pPr>
            <w:r>
              <w:rPr>
                <w:bCs/>
                <w:sz w:val="18"/>
                <w:szCs w:val="18"/>
              </w:rPr>
              <w:t>/</w:t>
            </w:r>
          </w:p>
        </w:tc>
        <w:tc>
          <w:tcPr>
            <w:tcW w:w="165" w:type="pct"/>
            <w:vMerge w:val="restart"/>
            <w:vAlign w:val="center"/>
          </w:tcPr>
          <w:p>
            <w:pPr>
              <w:jc w:val="center"/>
              <w:rPr>
                <w:bCs/>
                <w:sz w:val="18"/>
                <w:szCs w:val="18"/>
              </w:rPr>
            </w:pPr>
            <w:r>
              <w:rPr>
                <w:bCs/>
                <w:sz w:val="18"/>
                <w:szCs w:val="1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Align w:val="center"/>
          </w:tcPr>
          <w:p>
            <w:pPr>
              <w:jc w:val="center"/>
              <w:rPr>
                <w:bCs/>
                <w:sz w:val="18"/>
                <w:szCs w:val="18"/>
              </w:rPr>
            </w:pPr>
            <w:r>
              <w:rPr>
                <w:bCs/>
                <w:sz w:val="18"/>
                <w:szCs w:val="18"/>
              </w:rPr>
              <w:t>硫化氢</w:t>
            </w:r>
          </w:p>
        </w:tc>
        <w:tc>
          <w:tcPr>
            <w:tcW w:w="192"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Merge w:val="continue"/>
            <w:vAlign w:val="center"/>
          </w:tcPr>
          <w:p>
            <w:pPr>
              <w:jc w:val="center"/>
              <w:rPr>
                <w:kern w:val="0"/>
                <w:sz w:val="18"/>
                <w:szCs w:val="18"/>
              </w:rPr>
            </w:pPr>
          </w:p>
        </w:tc>
        <w:tc>
          <w:tcPr>
            <w:tcW w:w="246" w:type="pct"/>
            <w:vAlign w:val="center"/>
          </w:tcPr>
          <w:p>
            <w:pPr>
              <w:jc w:val="center"/>
              <w:rPr>
                <w:bCs/>
                <w:sz w:val="18"/>
                <w:szCs w:val="18"/>
              </w:rPr>
            </w:pPr>
            <w:r>
              <w:rPr>
                <w:bCs/>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少量</w:t>
            </w:r>
          </w:p>
        </w:tc>
        <w:tc>
          <w:tcPr>
            <w:tcW w:w="210" w:type="pct"/>
            <w:vAlign w:val="center"/>
          </w:tcPr>
          <w:p>
            <w:pPr>
              <w:jc w:val="center"/>
              <w:rPr>
                <w:bCs/>
                <w:sz w:val="18"/>
                <w:szCs w:val="18"/>
              </w:rPr>
            </w:pPr>
            <w:r>
              <w:rPr>
                <w:bCs/>
                <w:sz w:val="18"/>
                <w:szCs w:val="18"/>
              </w:rPr>
              <w:t>/</w:t>
            </w:r>
          </w:p>
        </w:tc>
        <w:tc>
          <w:tcPr>
            <w:tcW w:w="211"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0.06</w:t>
            </w:r>
          </w:p>
        </w:tc>
        <w:tc>
          <w:tcPr>
            <w:tcW w:w="141" w:type="pct"/>
            <w:vAlign w:val="center"/>
          </w:tcPr>
          <w:p>
            <w:pPr>
              <w:jc w:val="center"/>
              <w:rPr>
                <w:bCs/>
                <w:sz w:val="18"/>
                <w:szCs w:val="18"/>
              </w:rPr>
            </w:pPr>
            <w:r>
              <w:rPr>
                <w:bCs/>
                <w:sz w:val="18"/>
                <w:szCs w:val="18"/>
              </w:rPr>
              <w:t>/</w:t>
            </w:r>
          </w:p>
        </w:tc>
        <w:tc>
          <w:tcPr>
            <w:tcW w:w="165"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Align w:val="center"/>
          </w:tcPr>
          <w:p>
            <w:pPr>
              <w:jc w:val="center"/>
              <w:rPr>
                <w:bCs/>
                <w:sz w:val="18"/>
                <w:szCs w:val="18"/>
              </w:rPr>
            </w:pPr>
            <w:r>
              <w:rPr>
                <w:bCs/>
                <w:sz w:val="18"/>
                <w:szCs w:val="18"/>
              </w:rPr>
              <w:t>非甲烷总烃</w:t>
            </w:r>
          </w:p>
        </w:tc>
        <w:tc>
          <w:tcPr>
            <w:tcW w:w="192"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Merge w:val="continue"/>
            <w:vAlign w:val="center"/>
          </w:tcPr>
          <w:p>
            <w:pPr>
              <w:jc w:val="center"/>
              <w:rPr>
                <w:kern w:val="0"/>
                <w:sz w:val="18"/>
                <w:szCs w:val="18"/>
              </w:rPr>
            </w:pPr>
          </w:p>
        </w:tc>
        <w:tc>
          <w:tcPr>
            <w:tcW w:w="246" w:type="pct"/>
            <w:vAlign w:val="center"/>
          </w:tcPr>
          <w:p>
            <w:pPr>
              <w:jc w:val="center"/>
              <w:rPr>
                <w:bCs/>
                <w:sz w:val="18"/>
                <w:szCs w:val="18"/>
              </w:rPr>
            </w:pPr>
            <w:r>
              <w:rPr>
                <w:bCs/>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少量</w:t>
            </w:r>
          </w:p>
        </w:tc>
        <w:tc>
          <w:tcPr>
            <w:tcW w:w="210" w:type="pct"/>
            <w:vAlign w:val="center"/>
          </w:tcPr>
          <w:p>
            <w:pPr>
              <w:jc w:val="center"/>
              <w:rPr>
                <w:bCs/>
                <w:sz w:val="18"/>
                <w:szCs w:val="18"/>
              </w:rPr>
            </w:pPr>
            <w:r>
              <w:rPr>
                <w:bCs/>
                <w:sz w:val="18"/>
                <w:szCs w:val="18"/>
              </w:rPr>
              <w:t>/</w:t>
            </w:r>
          </w:p>
        </w:tc>
        <w:tc>
          <w:tcPr>
            <w:tcW w:w="211"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41" w:type="pct"/>
            <w:vAlign w:val="center"/>
          </w:tcPr>
          <w:p>
            <w:pPr>
              <w:jc w:val="center"/>
              <w:rPr>
                <w:bCs/>
                <w:sz w:val="18"/>
                <w:szCs w:val="18"/>
              </w:rPr>
            </w:pPr>
            <w:r>
              <w:rPr>
                <w:bCs/>
                <w:sz w:val="18"/>
                <w:szCs w:val="18"/>
              </w:rPr>
              <w:t>/</w:t>
            </w:r>
          </w:p>
        </w:tc>
        <w:tc>
          <w:tcPr>
            <w:tcW w:w="165" w:type="pct"/>
            <w:vMerge w:val="continue"/>
            <w:vAlign w:val="center"/>
          </w:tcPr>
          <w:p>
            <w:pPr>
              <w:jc w:val="cente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vAlign w:val="center"/>
          </w:tcPr>
          <w:p>
            <w:pPr>
              <w:jc w:val="center"/>
              <w:rPr>
                <w:bCs/>
                <w:sz w:val="18"/>
                <w:szCs w:val="18"/>
              </w:rPr>
            </w:pPr>
          </w:p>
        </w:tc>
        <w:tc>
          <w:tcPr>
            <w:tcW w:w="351" w:type="pct"/>
            <w:vAlign w:val="center"/>
          </w:tcPr>
          <w:p>
            <w:pPr>
              <w:jc w:val="center"/>
              <w:rPr>
                <w:bCs/>
                <w:sz w:val="18"/>
                <w:szCs w:val="18"/>
              </w:rPr>
            </w:pPr>
            <w:r>
              <w:rPr>
                <w:bCs/>
                <w:sz w:val="18"/>
                <w:szCs w:val="18"/>
              </w:rPr>
              <w:t>臭气浓度</w:t>
            </w:r>
          </w:p>
        </w:tc>
        <w:tc>
          <w:tcPr>
            <w:tcW w:w="192"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97" w:type="pct"/>
            <w:vAlign w:val="center"/>
          </w:tcPr>
          <w:p>
            <w:pPr>
              <w:spacing w:line="240" w:lineRule="exact"/>
              <w:jc w:val="center"/>
              <w:rPr>
                <w:sz w:val="18"/>
                <w:szCs w:val="18"/>
              </w:rPr>
            </w:pPr>
            <w:r>
              <w:rPr>
                <w:sz w:val="18"/>
                <w:szCs w:val="18"/>
              </w:rPr>
              <w:t>/</w:t>
            </w:r>
          </w:p>
        </w:tc>
        <w:tc>
          <w:tcPr>
            <w:tcW w:w="210" w:type="pct"/>
            <w:vAlign w:val="center"/>
          </w:tcPr>
          <w:p>
            <w:pPr>
              <w:spacing w:line="240" w:lineRule="exact"/>
              <w:jc w:val="center"/>
              <w:rPr>
                <w:sz w:val="18"/>
                <w:szCs w:val="18"/>
              </w:rPr>
            </w:pPr>
            <w:r>
              <w:rPr>
                <w:sz w:val="18"/>
                <w:szCs w:val="18"/>
              </w:rPr>
              <w:t>少量</w:t>
            </w:r>
          </w:p>
        </w:tc>
        <w:tc>
          <w:tcPr>
            <w:tcW w:w="1050" w:type="pct"/>
            <w:vMerge w:val="continue"/>
            <w:vAlign w:val="center"/>
          </w:tcPr>
          <w:p>
            <w:pPr>
              <w:jc w:val="center"/>
              <w:rPr>
                <w:kern w:val="0"/>
                <w:sz w:val="18"/>
                <w:szCs w:val="18"/>
              </w:rPr>
            </w:pPr>
          </w:p>
        </w:tc>
        <w:tc>
          <w:tcPr>
            <w:tcW w:w="246" w:type="pct"/>
            <w:vAlign w:val="center"/>
          </w:tcPr>
          <w:p>
            <w:pPr>
              <w:jc w:val="center"/>
              <w:rPr>
                <w:bCs/>
                <w:sz w:val="18"/>
                <w:szCs w:val="18"/>
              </w:rPr>
            </w:pPr>
            <w:r>
              <w:rPr>
                <w:bCs/>
                <w:sz w:val="18"/>
                <w:szCs w:val="18"/>
              </w:rPr>
              <w:t>/</w:t>
            </w:r>
          </w:p>
        </w:tc>
        <w:tc>
          <w:tcPr>
            <w:tcW w:w="210" w:type="pct"/>
            <w:vAlign w:val="center"/>
          </w:tcPr>
          <w:p>
            <w:pPr>
              <w:spacing w:line="240" w:lineRule="exact"/>
              <w:jc w:val="center"/>
              <w:rPr>
                <w:sz w:val="18"/>
                <w:szCs w:val="18"/>
              </w:rPr>
            </w:pPr>
            <w:r>
              <w:rPr>
                <w:sz w:val="18"/>
                <w:szCs w:val="18"/>
              </w:rPr>
              <w:t>/</w:t>
            </w:r>
          </w:p>
        </w:tc>
        <w:tc>
          <w:tcPr>
            <w:tcW w:w="211" w:type="pct"/>
            <w:vAlign w:val="center"/>
          </w:tcPr>
          <w:p>
            <w:pPr>
              <w:spacing w:line="240" w:lineRule="exact"/>
              <w:jc w:val="center"/>
              <w:rPr>
                <w:sz w:val="18"/>
                <w:szCs w:val="18"/>
              </w:rPr>
            </w:pPr>
            <w:r>
              <w:rPr>
                <w:sz w:val="18"/>
                <w:szCs w:val="18"/>
              </w:rPr>
              <w:t>少量</w:t>
            </w:r>
          </w:p>
        </w:tc>
        <w:tc>
          <w:tcPr>
            <w:tcW w:w="210" w:type="pct"/>
            <w:vAlign w:val="center"/>
          </w:tcPr>
          <w:p>
            <w:pPr>
              <w:jc w:val="center"/>
              <w:rPr>
                <w:bCs/>
                <w:sz w:val="18"/>
                <w:szCs w:val="18"/>
              </w:rPr>
            </w:pPr>
            <w:r>
              <w:rPr>
                <w:bCs/>
                <w:sz w:val="18"/>
                <w:szCs w:val="18"/>
              </w:rPr>
              <w:t>/</w:t>
            </w:r>
          </w:p>
        </w:tc>
        <w:tc>
          <w:tcPr>
            <w:tcW w:w="211"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6"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w:t>
            </w:r>
          </w:p>
        </w:tc>
        <w:tc>
          <w:tcPr>
            <w:tcW w:w="175" w:type="pct"/>
            <w:vAlign w:val="center"/>
          </w:tcPr>
          <w:p>
            <w:pPr>
              <w:jc w:val="center"/>
              <w:rPr>
                <w:bCs/>
                <w:sz w:val="18"/>
                <w:szCs w:val="18"/>
              </w:rPr>
            </w:pPr>
            <w:r>
              <w:rPr>
                <w:bCs/>
                <w:sz w:val="18"/>
                <w:szCs w:val="18"/>
              </w:rPr>
              <w:t>20（无量纲）</w:t>
            </w:r>
          </w:p>
        </w:tc>
        <w:tc>
          <w:tcPr>
            <w:tcW w:w="141" w:type="pct"/>
            <w:vAlign w:val="center"/>
          </w:tcPr>
          <w:p>
            <w:pPr>
              <w:jc w:val="center"/>
              <w:rPr>
                <w:bCs/>
                <w:sz w:val="18"/>
                <w:szCs w:val="18"/>
              </w:rPr>
            </w:pPr>
            <w:r>
              <w:rPr>
                <w:bCs/>
                <w:sz w:val="18"/>
                <w:szCs w:val="18"/>
              </w:rPr>
              <w:t>/</w:t>
            </w:r>
          </w:p>
        </w:tc>
        <w:tc>
          <w:tcPr>
            <w:tcW w:w="165" w:type="pct"/>
            <w:vMerge w:val="continue"/>
            <w:vAlign w:val="center"/>
          </w:tcPr>
          <w:p>
            <w:pPr>
              <w:jc w:val="center"/>
              <w:rPr>
                <w:bCs/>
                <w:sz w:val="18"/>
                <w:szCs w:val="18"/>
              </w:rPr>
            </w:pPr>
          </w:p>
        </w:tc>
      </w:tr>
    </w:tbl>
    <w:p>
      <w:pPr>
        <w:tabs>
          <w:tab w:val="left" w:pos="2280"/>
        </w:tabs>
        <w:rPr>
          <w:sz w:val="28"/>
          <w:szCs w:val="28"/>
        </w:rPr>
      </w:pPr>
    </w:p>
    <w:p>
      <w:pPr>
        <w:tabs>
          <w:tab w:val="left" w:pos="2280"/>
        </w:tabs>
        <w:rPr>
          <w:sz w:val="28"/>
          <w:szCs w:val="28"/>
        </w:rPr>
      </w:pPr>
    </w:p>
    <w:p>
      <w:pPr>
        <w:rPr>
          <w:sz w:val="28"/>
          <w:szCs w:val="28"/>
        </w:rPr>
        <w:sectPr>
          <w:pgSz w:w="23814" w:h="16839" w:orient="landscape"/>
          <w:pgMar w:top="1531" w:right="1701" w:bottom="1531" w:left="2126" w:header="851" w:footer="851" w:gutter="0"/>
          <w:cols w:space="720" w:num="1"/>
          <w:docGrid w:linePitch="312" w:charSpace="0"/>
        </w:sectPr>
      </w:pPr>
    </w:p>
    <w:p>
      <w:pPr>
        <w:rPr>
          <w:sz w:val="28"/>
          <w:szCs w:val="28"/>
        </w:r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5"/>
        <w:gridCol w:w="86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255" w:type="dxa"/>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725" w:type="dxa"/>
            <w:vAlign w:val="center"/>
          </w:tcPr>
          <w:p>
            <w:pPr>
              <w:adjustRightInd w:val="0"/>
              <w:snapToGrid w:val="0"/>
              <w:spacing w:line="360" w:lineRule="auto"/>
              <w:rPr>
                <w:b/>
                <w:bCs/>
                <w:sz w:val="24"/>
              </w:rPr>
            </w:pPr>
            <w:r>
              <w:rPr>
                <w:rFonts w:hint="eastAsia"/>
                <w:b/>
                <w:bCs/>
                <w:sz w:val="24"/>
              </w:rPr>
              <w:t>4.2.1.2排放口基本情况</w:t>
            </w:r>
          </w:p>
          <w:p>
            <w:pPr>
              <w:adjustRightInd w:val="0"/>
              <w:snapToGrid w:val="0"/>
              <w:spacing w:line="360" w:lineRule="auto"/>
              <w:ind w:firstLine="480" w:firstLineChars="200"/>
              <w:jc w:val="left"/>
              <w:rPr>
                <w:sz w:val="24"/>
              </w:rPr>
            </w:pPr>
            <w:r>
              <w:rPr>
                <w:rFonts w:hint="eastAsia"/>
                <w:sz w:val="24"/>
              </w:rPr>
              <w:t>拟建项目大气排放口基本情况见表</w:t>
            </w:r>
            <w:r>
              <w:rPr>
                <w:sz w:val="24"/>
              </w:rPr>
              <w:t>4.2.1-7</w:t>
            </w:r>
            <w:r>
              <w:rPr>
                <w:rFonts w:hint="eastAsia"/>
                <w:sz w:val="24"/>
              </w:rPr>
              <w:t>。</w:t>
            </w:r>
          </w:p>
          <w:p>
            <w:pPr>
              <w:tabs>
                <w:tab w:val="left" w:pos="2520"/>
                <w:tab w:val="center" w:pos="4437"/>
              </w:tabs>
              <w:adjustRightInd w:val="0"/>
              <w:snapToGrid w:val="0"/>
              <w:spacing w:line="360" w:lineRule="auto"/>
              <w:jc w:val="center"/>
              <w:rPr>
                <w:bCs/>
                <w:szCs w:val="21"/>
              </w:rPr>
            </w:pPr>
            <w:r>
              <w:rPr>
                <w:szCs w:val="21"/>
              </w:rPr>
              <w:t>表</w:t>
            </w:r>
            <w:r>
              <w:rPr>
                <w:rFonts w:hint="eastAsia"/>
                <w:szCs w:val="21"/>
              </w:rPr>
              <w:t>4.2.1-</w:t>
            </w:r>
            <w:r>
              <w:rPr>
                <w:szCs w:val="21"/>
              </w:rPr>
              <w:t>7</w:t>
            </w:r>
            <w:r>
              <w:rPr>
                <w:rFonts w:hint="eastAsia"/>
                <w:szCs w:val="21"/>
              </w:rPr>
              <w:t xml:space="preserve">  </w:t>
            </w:r>
            <w:r>
              <w:rPr>
                <w:szCs w:val="21"/>
              </w:rPr>
              <w:t>大气排放口基本情况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96"/>
              <w:gridCol w:w="864"/>
              <w:gridCol w:w="2159"/>
              <w:gridCol w:w="1131"/>
              <w:gridCol w:w="667"/>
              <w:gridCol w:w="667"/>
              <w:gridCol w:w="696"/>
              <w:gridCol w:w="767"/>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13"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排放口编号</w:t>
                  </w:r>
                </w:p>
              </w:tc>
              <w:tc>
                <w:tcPr>
                  <w:tcW w:w="235"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排放口名称</w:t>
                  </w:r>
                </w:p>
              </w:tc>
              <w:tc>
                <w:tcPr>
                  <w:tcW w:w="514"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污染物种类</w:t>
                  </w:r>
                </w:p>
              </w:tc>
              <w:tc>
                <w:tcPr>
                  <w:tcW w:w="1954" w:type="pct"/>
                  <w:gridSpan w:val="2"/>
                  <w:tcBorders>
                    <w:bottom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排放口地理坐标</w:t>
                  </w:r>
                </w:p>
              </w:tc>
              <w:tc>
                <w:tcPr>
                  <w:tcW w:w="396"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排气筒高度（m）</w:t>
                  </w:r>
                </w:p>
              </w:tc>
              <w:tc>
                <w:tcPr>
                  <w:tcW w:w="396"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排气筒出口内径（m）</w:t>
                  </w:r>
                </w:p>
              </w:tc>
              <w:tc>
                <w:tcPr>
                  <w:tcW w:w="413" w:type="pct"/>
                  <w:vMerge w:val="restart"/>
                  <w:shd w:val="clear" w:color="auto" w:fill="auto"/>
                  <w:vAlign w:val="center"/>
                </w:tcPr>
                <w:p>
                  <w:pPr>
                    <w:adjustRightInd w:val="0"/>
                    <w:snapToGrid w:val="0"/>
                    <w:spacing w:line="240" w:lineRule="exact"/>
                    <w:jc w:val="center"/>
                    <w:rPr>
                      <w:bCs/>
                      <w:spacing w:val="-10"/>
                      <w:sz w:val="18"/>
                      <w:szCs w:val="18"/>
                    </w:rPr>
                  </w:pPr>
                  <w:r>
                    <w:rPr>
                      <w:bCs/>
                      <w:spacing w:val="-10"/>
                      <w:sz w:val="18"/>
                      <w:szCs w:val="18"/>
                    </w:rPr>
                    <w:t>排气温度（</w:t>
                  </w:r>
                  <w:r>
                    <w:rPr>
                      <w:rFonts w:hint="eastAsia" w:ascii="宋体" w:hAnsi="宋体" w:cs="宋体"/>
                      <w:bCs/>
                      <w:spacing w:val="-10"/>
                      <w:sz w:val="18"/>
                      <w:szCs w:val="18"/>
                    </w:rPr>
                    <w:t>℃</w:t>
                  </w:r>
                  <w:r>
                    <w:rPr>
                      <w:bCs/>
                      <w:spacing w:val="-10"/>
                      <w:sz w:val="18"/>
                      <w:szCs w:val="18"/>
                    </w:rPr>
                    <w:t>）</w:t>
                  </w:r>
                </w:p>
              </w:tc>
              <w:tc>
                <w:tcPr>
                  <w:tcW w:w="455" w:type="pct"/>
                  <w:vMerge w:val="restart"/>
                  <w:vAlign w:val="center"/>
                </w:tcPr>
                <w:p>
                  <w:pPr>
                    <w:adjustRightInd w:val="0"/>
                    <w:snapToGrid w:val="0"/>
                    <w:spacing w:line="240" w:lineRule="exact"/>
                    <w:jc w:val="center"/>
                    <w:rPr>
                      <w:bCs/>
                      <w:spacing w:val="-10"/>
                      <w:sz w:val="18"/>
                      <w:szCs w:val="18"/>
                    </w:rPr>
                  </w:pPr>
                  <w:r>
                    <w:rPr>
                      <w:rFonts w:hint="eastAsia"/>
                      <w:bCs/>
                      <w:spacing w:val="-10"/>
                      <w:sz w:val="18"/>
                      <w:szCs w:val="18"/>
                    </w:rPr>
                    <w:t>烟气流速（m/s）</w:t>
                  </w:r>
                </w:p>
              </w:tc>
              <w:tc>
                <w:tcPr>
                  <w:tcW w:w="223" w:type="pct"/>
                  <w:vMerge w:val="restart"/>
                  <w:vAlign w:val="center"/>
                </w:tcPr>
                <w:p>
                  <w:pPr>
                    <w:adjustRightInd w:val="0"/>
                    <w:snapToGrid w:val="0"/>
                    <w:spacing w:line="240" w:lineRule="exact"/>
                    <w:jc w:val="center"/>
                    <w:rPr>
                      <w:bCs/>
                      <w:spacing w:val="-10"/>
                      <w:sz w:val="18"/>
                      <w:szCs w:val="18"/>
                    </w:rPr>
                  </w:pPr>
                  <w:r>
                    <w:rPr>
                      <w:rFonts w:hint="eastAsia"/>
                      <w:bCs/>
                      <w:spacing w:val="-10"/>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3" w:type="pct"/>
                  <w:vMerge w:val="continue"/>
                  <w:shd w:val="clear" w:color="auto" w:fill="auto"/>
                  <w:vAlign w:val="center"/>
                </w:tcPr>
                <w:p>
                  <w:pPr>
                    <w:adjustRightInd w:val="0"/>
                    <w:snapToGrid w:val="0"/>
                    <w:spacing w:line="240" w:lineRule="exact"/>
                    <w:jc w:val="center"/>
                    <w:rPr>
                      <w:bCs/>
                      <w:spacing w:val="-10"/>
                      <w:sz w:val="18"/>
                      <w:szCs w:val="18"/>
                    </w:rPr>
                  </w:pPr>
                </w:p>
              </w:tc>
              <w:tc>
                <w:tcPr>
                  <w:tcW w:w="235" w:type="pct"/>
                  <w:vMerge w:val="continue"/>
                  <w:shd w:val="clear" w:color="auto" w:fill="auto"/>
                  <w:vAlign w:val="center"/>
                </w:tcPr>
                <w:p>
                  <w:pPr>
                    <w:adjustRightInd w:val="0"/>
                    <w:snapToGrid w:val="0"/>
                    <w:spacing w:line="240" w:lineRule="exact"/>
                    <w:jc w:val="center"/>
                    <w:rPr>
                      <w:bCs/>
                      <w:spacing w:val="-10"/>
                      <w:sz w:val="18"/>
                      <w:szCs w:val="18"/>
                    </w:rPr>
                  </w:pPr>
                </w:p>
              </w:tc>
              <w:tc>
                <w:tcPr>
                  <w:tcW w:w="514" w:type="pct"/>
                  <w:vMerge w:val="continue"/>
                  <w:shd w:val="clear" w:color="auto" w:fill="auto"/>
                  <w:vAlign w:val="center"/>
                </w:tcPr>
                <w:p>
                  <w:pPr>
                    <w:adjustRightInd w:val="0"/>
                    <w:snapToGrid w:val="0"/>
                    <w:spacing w:line="240" w:lineRule="exact"/>
                    <w:jc w:val="center"/>
                    <w:rPr>
                      <w:bCs/>
                      <w:spacing w:val="-10"/>
                      <w:sz w:val="18"/>
                      <w:szCs w:val="18"/>
                    </w:rPr>
                  </w:pPr>
                </w:p>
              </w:tc>
              <w:tc>
                <w:tcPr>
                  <w:tcW w:w="1283" w:type="pct"/>
                  <w:tcBorders>
                    <w:top w:val="single" w:color="auto" w:sz="2" w:space="0"/>
                    <w:righ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经度</w:t>
                  </w:r>
                  <w:r>
                    <w:rPr>
                      <w:rFonts w:hint="eastAsia"/>
                      <w:bCs/>
                      <w:spacing w:val="-10"/>
                      <w:sz w:val="18"/>
                      <w:szCs w:val="18"/>
                    </w:rPr>
                    <w:t>（°）</w:t>
                  </w:r>
                </w:p>
              </w:tc>
              <w:tc>
                <w:tcPr>
                  <w:tcW w:w="671" w:type="pct"/>
                  <w:tcBorders>
                    <w:top w:val="single" w:color="auto" w:sz="2" w:space="0"/>
                    <w:lef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纬度</w:t>
                  </w:r>
                  <w:r>
                    <w:rPr>
                      <w:rFonts w:hint="eastAsia"/>
                      <w:bCs/>
                      <w:spacing w:val="-10"/>
                      <w:sz w:val="18"/>
                      <w:szCs w:val="18"/>
                    </w:rPr>
                    <w:t>（°）</w:t>
                  </w:r>
                </w:p>
              </w:tc>
              <w:tc>
                <w:tcPr>
                  <w:tcW w:w="396" w:type="pct"/>
                  <w:vMerge w:val="continue"/>
                  <w:shd w:val="clear" w:color="auto" w:fill="auto"/>
                  <w:vAlign w:val="center"/>
                </w:tcPr>
                <w:p>
                  <w:pPr>
                    <w:adjustRightInd w:val="0"/>
                    <w:snapToGrid w:val="0"/>
                    <w:spacing w:line="240" w:lineRule="exact"/>
                    <w:jc w:val="center"/>
                    <w:rPr>
                      <w:bCs/>
                      <w:spacing w:val="-10"/>
                      <w:sz w:val="18"/>
                      <w:szCs w:val="18"/>
                    </w:rPr>
                  </w:pPr>
                </w:p>
              </w:tc>
              <w:tc>
                <w:tcPr>
                  <w:tcW w:w="396" w:type="pct"/>
                  <w:vMerge w:val="continue"/>
                  <w:shd w:val="clear" w:color="auto" w:fill="auto"/>
                  <w:vAlign w:val="center"/>
                </w:tcPr>
                <w:p>
                  <w:pPr>
                    <w:adjustRightInd w:val="0"/>
                    <w:snapToGrid w:val="0"/>
                    <w:spacing w:line="240" w:lineRule="exact"/>
                    <w:jc w:val="center"/>
                    <w:rPr>
                      <w:bCs/>
                      <w:spacing w:val="-10"/>
                      <w:sz w:val="18"/>
                      <w:szCs w:val="18"/>
                    </w:rPr>
                  </w:pPr>
                </w:p>
              </w:tc>
              <w:tc>
                <w:tcPr>
                  <w:tcW w:w="413" w:type="pct"/>
                  <w:vMerge w:val="continue"/>
                  <w:shd w:val="clear" w:color="auto" w:fill="auto"/>
                  <w:vAlign w:val="center"/>
                </w:tcPr>
                <w:p>
                  <w:pPr>
                    <w:adjustRightInd w:val="0"/>
                    <w:snapToGrid w:val="0"/>
                    <w:spacing w:line="240" w:lineRule="exact"/>
                    <w:jc w:val="center"/>
                    <w:rPr>
                      <w:bCs/>
                      <w:spacing w:val="-10"/>
                      <w:sz w:val="18"/>
                      <w:szCs w:val="18"/>
                    </w:rPr>
                  </w:pPr>
                </w:p>
              </w:tc>
              <w:tc>
                <w:tcPr>
                  <w:tcW w:w="455" w:type="pct"/>
                  <w:vMerge w:val="continue"/>
                  <w:vAlign w:val="center"/>
                </w:tcPr>
                <w:p>
                  <w:pPr>
                    <w:adjustRightInd w:val="0"/>
                    <w:snapToGrid w:val="0"/>
                    <w:spacing w:line="240" w:lineRule="exact"/>
                    <w:jc w:val="center"/>
                    <w:rPr>
                      <w:bCs/>
                      <w:spacing w:val="-10"/>
                      <w:sz w:val="18"/>
                      <w:szCs w:val="18"/>
                    </w:rPr>
                  </w:pPr>
                </w:p>
              </w:tc>
              <w:tc>
                <w:tcPr>
                  <w:tcW w:w="223" w:type="pct"/>
                  <w:vMerge w:val="continue"/>
                  <w:vAlign w:val="center"/>
                </w:tcPr>
                <w:p>
                  <w:pPr>
                    <w:adjustRightInd w:val="0"/>
                    <w:snapToGrid w:val="0"/>
                    <w:spacing w:line="240" w:lineRule="exact"/>
                    <w:jc w:val="center"/>
                    <w:rPr>
                      <w:bCs/>
                      <w:spacing w:val="-1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DA001</w:t>
                  </w:r>
                </w:p>
              </w:tc>
              <w:tc>
                <w:tcPr>
                  <w:tcW w:w="235" w:type="pct"/>
                  <w:shd w:val="clear" w:color="auto" w:fill="auto"/>
                  <w:vAlign w:val="center"/>
                </w:tcPr>
                <w:p>
                  <w:pPr>
                    <w:adjustRightInd w:val="0"/>
                    <w:snapToGrid w:val="0"/>
                    <w:spacing w:line="240" w:lineRule="exact"/>
                    <w:jc w:val="center"/>
                    <w:rPr>
                      <w:bCs/>
                      <w:spacing w:val="-10"/>
                      <w:sz w:val="18"/>
                      <w:szCs w:val="18"/>
                    </w:rPr>
                  </w:pPr>
                  <w:r>
                    <w:rPr>
                      <w:rFonts w:hint="eastAsia"/>
                      <w:sz w:val="18"/>
                      <w:szCs w:val="18"/>
                    </w:rPr>
                    <w:t>1#排气筒</w:t>
                  </w:r>
                </w:p>
              </w:tc>
              <w:tc>
                <w:tcPr>
                  <w:tcW w:w="514" w:type="pct"/>
                  <w:shd w:val="clear" w:color="auto" w:fill="auto"/>
                  <w:vAlign w:val="center"/>
                </w:tcPr>
                <w:p>
                  <w:pPr>
                    <w:spacing w:line="240" w:lineRule="exact"/>
                    <w:jc w:val="center"/>
                    <w:rPr>
                      <w:sz w:val="18"/>
                      <w:szCs w:val="18"/>
                    </w:rPr>
                  </w:pPr>
                  <w:r>
                    <w:rPr>
                      <w:rFonts w:hint="eastAsia"/>
                      <w:kern w:val="0"/>
                      <w:sz w:val="18"/>
                      <w:szCs w:val="18"/>
                    </w:rPr>
                    <w:t>非甲烷总烃</w:t>
                  </w:r>
                </w:p>
              </w:tc>
              <w:tc>
                <w:tcPr>
                  <w:tcW w:w="1283" w:type="pct"/>
                  <w:tcBorders>
                    <w:righ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105.729148118,</w:t>
                  </w:r>
                </w:p>
              </w:tc>
              <w:tc>
                <w:tcPr>
                  <w:tcW w:w="671" w:type="pct"/>
                  <w:tcBorders>
                    <w:lef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29.461898104</w:t>
                  </w:r>
                </w:p>
              </w:tc>
              <w:tc>
                <w:tcPr>
                  <w:tcW w:w="396"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15</w:t>
                  </w:r>
                </w:p>
              </w:tc>
              <w:tc>
                <w:tcPr>
                  <w:tcW w:w="396" w:type="pct"/>
                  <w:shd w:val="clear" w:color="auto" w:fill="auto"/>
                  <w:vAlign w:val="center"/>
                </w:tcPr>
                <w:p>
                  <w:pPr>
                    <w:adjustRightInd w:val="0"/>
                    <w:snapToGrid w:val="0"/>
                    <w:spacing w:line="240" w:lineRule="exact"/>
                    <w:jc w:val="center"/>
                    <w:rPr>
                      <w:bCs/>
                      <w:spacing w:val="-10"/>
                      <w:sz w:val="18"/>
                      <w:szCs w:val="18"/>
                    </w:rPr>
                  </w:pPr>
                  <w:r>
                    <w:rPr>
                      <w:sz w:val="18"/>
                      <w:szCs w:val="18"/>
                    </w:rPr>
                    <w:t>0.4</w:t>
                  </w:r>
                </w:p>
              </w:tc>
              <w:tc>
                <w:tcPr>
                  <w:tcW w:w="413" w:type="pct"/>
                  <w:shd w:val="clear" w:color="auto" w:fill="auto"/>
                  <w:vAlign w:val="center"/>
                </w:tcPr>
                <w:p>
                  <w:pPr>
                    <w:adjustRightInd w:val="0"/>
                    <w:snapToGrid w:val="0"/>
                    <w:spacing w:line="240" w:lineRule="exact"/>
                    <w:jc w:val="center"/>
                    <w:rPr>
                      <w:bCs/>
                      <w:spacing w:val="-10"/>
                      <w:sz w:val="18"/>
                      <w:szCs w:val="18"/>
                    </w:rPr>
                  </w:pPr>
                  <w:r>
                    <w:rPr>
                      <w:bCs/>
                      <w:spacing w:val="-10"/>
                      <w:sz w:val="18"/>
                      <w:szCs w:val="18"/>
                    </w:rPr>
                    <w:t>25</w:t>
                  </w:r>
                </w:p>
              </w:tc>
              <w:tc>
                <w:tcPr>
                  <w:tcW w:w="455" w:type="pct"/>
                  <w:vAlign w:val="center"/>
                </w:tcPr>
                <w:p>
                  <w:pPr>
                    <w:adjustRightInd w:val="0"/>
                    <w:snapToGrid w:val="0"/>
                    <w:spacing w:line="240" w:lineRule="exact"/>
                    <w:jc w:val="center"/>
                    <w:rPr>
                      <w:bCs/>
                      <w:spacing w:val="-10"/>
                      <w:sz w:val="18"/>
                      <w:szCs w:val="18"/>
                    </w:rPr>
                  </w:pPr>
                  <w:r>
                    <w:rPr>
                      <w:rFonts w:hint="eastAsia"/>
                      <w:bCs/>
                      <w:spacing w:val="-10"/>
                      <w:sz w:val="18"/>
                      <w:szCs w:val="18"/>
                    </w:rPr>
                    <w:t>15.48</w:t>
                  </w:r>
                </w:p>
              </w:tc>
              <w:tc>
                <w:tcPr>
                  <w:tcW w:w="223" w:type="pct"/>
                  <w:vAlign w:val="center"/>
                </w:tcPr>
                <w:p>
                  <w:pPr>
                    <w:adjustRightInd w:val="0"/>
                    <w:snapToGrid w:val="0"/>
                    <w:spacing w:line="240" w:lineRule="exact"/>
                    <w:jc w:val="center"/>
                    <w:rPr>
                      <w:bCs/>
                      <w:spacing w:val="-10"/>
                      <w:sz w:val="18"/>
                      <w:szCs w:val="18"/>
                    </w:rPr>
                  </w:pPr>
                  <w:r>
                    <w:rPr>
                      <w:rFonts w:hint="eastAsia"/>
                      <w:bCs/>
                      <w:spacing w:val="-10"/>
                      <w:sz w:val="18"/>
                      <w:szCs w:val="18"/>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shd w:val="clear" w:color="auto" w:fill="auto"/>
                  <w:vAlign w:val="center"/>
                </w:tcPr>
                <w:p>
                  <w:pPr>
                    <w:adjustRightInd w:val="0"/>
                    <w:snapToGrid w:val="0"/>
                    <w:spacing w:line="240" w:lineRule="exact"/>
                    <w:jc w:val="center"/>
                    <w:rPr>
                      <w:bCs/>
                      <w:spacing w:val="-10"/>
                      <w:sz w:val="18"/>
                      <w:szCs w:val="18"/>
                    </w:rPr>
                  </w:pPr>
                  <w:r>
                    <w:rPr>
                      <w:bCs/>
                      <w:spacing w:val="-10"/>
                      <w:sz w:val="18"/>
                      <w:szCs w:val="18"/>
                    </w:rPr>
                    <w:t>DA00</w:t>
                  </w:r>
                  <w:r>
                    <w:rPr>
                      <w:rFonts w:hint="eastAsia"/>
                      <w:bCs/>
                      <w:spacing w:val="-10"/>
                      <w:sz w:val="18"/>
                      <w:szCs w:val="18"/>
                    </w:rPr>
                    <w:t>2</w:t>
                  </w:r>
                </w:p>
              </w:tc>
              <w:tc>
                <w:tcPr>
                  <w:tcW w:w="235" w:type="pct"/>
                  <w:shd w:val="clear" w:color="auto" w:fill="auto"/>
                  <w:vAlign w:val="center"/>
                </w:tcPr>
                <w:p>
                  <w:pPr>
                    <w:adjustRightInd w:val="0"/>
                    <w:snapToGrid w:val="0"/>
                    <w:spacing w:line="240" w:lineRule="exact"/>
                    <w:jc w:val="center"/>
                    <w:rPr>
                      <w:sz w:val="18"/>
                      <w:szCs w:val="18"/>
                    </w:rPr>
                  </w:pPr>
                  <w:r>
                    <w:rPr>
                      <w:rFonts w:hint="eastAsia"/>
                      <w:sz w:val="18"/>
                      <w:szCs w:val="18"/>
                    </w:rPr>
                    <w:t>2#排气筒</w:t>
                  </w:r>
                </w:p>
              </w:tc>
              <w:tc>
                <w:tcPr>
                  <w:tcW w:w="514" w:type="pct"/>
                  <w:shd w:val="clear" w:color="auto" w:fill="auto"/>
                  <w:vAlign w:val="center"/>
                </w:tcPr>
                <w:p>
                  <w:pPr>
                    <w:spacing w:line="240" w:lineRule="exact"/>
                    <w:jc w:val="center"/>
                    <w:rPr>
                      <w:kern w:val="0"/>
                      <w:sz w:val="18"/>
                      <w:szCs w:val="18"/>
                    </w:rPr>
                  </w:pPr>
                  <w:r>
                    <w:rPr>
                      <w:kern w:val="0"/>
                      <w:sz w:val="18"/>
                      <w:szCs w:val="18"/>
                    </w:rPr>
                    <w:t>颗粒物</w:t>
                  </w:r>
                </w:p>
              </w:tc>
              <w:tc>
                <w:tcPr>
                  <w:tcW w:w="1283" w:type="pct"/>
                  <w:tcBorders>
                    <w:righ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105.728482931,</w:t>
                  </w:r>
                </w:p>
              </w:tc>
              <w:tc>
                <w:tcPr>
                  <w:tcW w:w="671" w:type="pct"/>
                  <w:tcBorders>
                    <w:lef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29.462928072</w:t>
                  </w:r>
                </w:p>
              </w:tc>
              <w:tc>
                <w:tcPr>
                  <w:tcW w:w="396"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15</w:t>
                  </w:r>
                </w:p>
              </w:tc>
              <w:tc>
                <w:tcPr>
                  <w:tcW w:w="396" w:type="pct"/>
                  <w:shd w:val="clear" w:color="auto" w:fill="auto"/>
                  <w:vAlign w:val="center"/>
                </w:tcPr>
                <w:p>
                  <w:pPr>
                    <w:adjustRightInd w:val="0"/>
                    <w:snapToGrid w:val="0"/>
                    <w:spacing w:line="240" w:lineRule="exact"/>
                    <w:jc w:val="center"/>
                    <w:rPr>
                      <w:bCs/>
                      <w:spacing w:val="-10"/>
                      <w:sz w:val="18"/>
                      <w:szCs w:val="18"/>
                    </w:rPr>
                  </w:pPr>
                  <w:r>
                    <w:rPr>
                      <w:sz w:val="18"/>
                      <w:szCs w:val="18"/>
                    </w:rPr>
                    <w:t>0.5</w:t>
                  </w:r>
                </w:p>
              </w:tc>
              <w:tc>
                <w:tcPr>
                  <w:tcW w:w="413"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25</w:t>
                  </w:r>
                </w:p>
              </w:tc>
              <w:tc>
                <w:tcPr>
                  <w:tcW w:w="455" w:type="pct"/>
                  <w:vAlign w:val="center"/>
                </w:tcPr>
                <w:p>
                  <w:pPr>
                    <w:adjustRightInd w:val="0"/>
                    <w:snapToGrid w:val="0"/>
                    <w:spacing w:line="240" w:lineRule="exact"/>
                    <w:jc w:val="center"/>
                    <w:rPr>
                      <w:bCs/>
                      <w:spacing w:val="-10"/>
                      <w:sz w:val="18"/>
                      <w:szCs w:val="18"/>
                    </w:rPr>
                  </w:pPr>
                  <w:r>
                    <w:rPr>
                      <w:rFonts w:hint="eastAsia"/>
                      <w:bCs/>
                      <w:spacing w:val="-10"/>
                      <w:sz w:val="18"/>
                      <w:szCs w:val="18"/>
                    </w:rPr>
                    <w:t>15.73</w:t>
                  </w:r>
                </w:p>
              </w:tc>
              <w:tc>
                <w:tcPr>
                  <w:tcW w:w="223" w:type="pct"/>
                  <w:vAlign w:val="center"/>
                </w:tcPr>
                <w:p>
                  <w:pPr>
                    <w:adjustRightInd w:val="0"/>
                    <w:snapToGrid w:val="0"/>
                    <w:spacing w:line="240" w:lineRule="exact"/>
                    <w:jc w:val="center"/>
                    <w:rPr>
                      <w:bCs/>
                      <w:spacing w:val="-10"/>
                      <w:sz w:val="18"/>
                      <w:szCs w:val="18"/>
                    </w:rPr>
                  </w:pPr>
                  <w:r>
                    <w:rPr>
                      <w:rFonts w:hint="eastAsia"/>
                      <w:bCs/>
                      <w:spacing w:val="-10"/>
                      <w:sz w:val="18"/>
                      <w:szCs w:val="18"/>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 w:type="pct"/>
                  <w:shd w:val="clear" w:color="auto" w:fill="auto"/>
                  <w:vAlign w:val="center"/>
                </w:tcPr>
                <w:p>
                  <w:pPr>
                    <w:adjustRightInd w:val="0"/>
                    <w:snapToGrid w:val="0"/>
                    <w:spacing w:line="240" w:lineRule="exact"/>
                    <w:jc w:val="center"/>
                    <w:rPr>
                      <w:bCs/>
                      <w:spacing w:val="-10"/>
                      <w:sz w:val="18"/>
                      <w:szCs w:val="18"/>
                    </w:rPr>
                  </w:pPr>
                  <w:r>
                    <w:rPr>
                      <w:bCs/>
                      <w:spacing w:val="-10"/>
                      <w:sz w:val="18"/>
                      <w:szCs w:val="18"/>
                    </w:rPr>
                    <w:t>DA003</w:t>
                  </w:r>
                </w:p>
              </w:tc>
              <w:tc>
                <w:tcPr>
                  <w:tcW w:w="235" w:type="pct"/>
                  <w:shd w:val="clear" w:color="auto" w:fill="auto"/>
                  <w:vAlign w:val="center"/>
                </w:tcPr>
                <w:p>
                  <w:pPr>
                    <w:adjustRightInd w:val="0"/>
                    <w:snapToGrid w:val="0"/>
                    <w:spacing w:line="240" w:lineRule="exact"/>
                    <w:jc w:val="center"/>
                    <w:rPr>
                      <w:sz w:val="18"/>
                      <w:szCs w:val="18"/>
                    </w:rPr>
                  </w:pPr>
                  <w:r>
                    <w:rPr>
                      <w:sz w:val="18"/>
                      <w:szCs w:val="18"/>
                    </w:rPr>
                    <w:t>3</w:t>
                  </w:r>
                  <w:r>
                    <w:rPr>
                      <w:rFonts w:hint="eastAsia"/>
                      <w:sz w:val="18"/>
                      <w:szCs w:val="18"/>
                    </w:rPr>
                    <w:t>#排气筒</w:t>
                  </w:r>
                </w:p>
              </w:tc>
              <w:tc>
                <w:tcPr>
                  <w:tcW w:w="514" w:type="pct"/>
                  <w:shd w:val="clear" w:color="auto" w:fill="auto"/>
                  <w:vAlign w:val="center"/>
                </w:tcPr>
                <w:p>
                  <w:pPr>
                    <w:spacing w:line="240" w:lineRule="exact"/>
                    <w:jc w:val="center"/>
                    <w:rPr>
                      <w:kern w:val="0"/>
                      <w:sz w:val="18"/>
                      <w:szCs w:val="18"/>
                    </w:rPr>
                  </w:pPr>
                  <w:r>
                    <w:rPr>
                      <w:kern w:val="0"/>
                      <w:sz w:val="18"/>
                      <w:szCs w:val="18"/>
                    </w:rPr>
                    <w:t>颗粒物</w:t>
                  </w:r>
                </w:p>
              </w:tc>
              <w:tc>
                <w:tcPr>
                  <w:tcW w:w="1283" w:type="pct"/>
                  <w:tcBorders>
                    <w:righ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105.728289812,</w:t>
                  </w:r>
                </w:p>
              </w:tc>
              <w:tc>
                <w:tcPr>
                  <w:tcW w:w="671" w:type="pct"/>
                  <w:tcBorders>
                    <w:left w:val="single" w:color="auto" w:sz="2" w:space="0"/>
                  </w:tcBorders>
                  <w:shd w:val="clear" w:color="auto" w:fill="auto"/>
                  <w:vAlign w:val="center"/>
                </w:tcPr>
                <w:p>
                  <w:pPr>
                    <w:adjustRightInd w:val="0"/>
                    <w:snapToGrid w:val="0"/>
                    <w:spacing w:line="240" w:lineRule="exact"/>
                    <w:jc w:val="center"/>
                    <w:rPr>
                      <w:bCs/>
                      <w:spacing w:val="-10"/>
                      <w:sz w:val="18"/>
                      <w:szCs w:val="18"/>
                    </w:rPr>
                  </w:pPr>
                  <w:r>
                    <w:rPr>
                      <w:bCs/>
                      <w:spacing w:val="-10"/>
                      <w:sz w:val="18"/>
                      <w:szCs w:val="18"/>
                    </w:rPr>
                    <w:t>29.463421598</w:t>
                  </w:r>
                </w:p>
              </w:tc>
              <w:tc>
                <w:tcPr>
                  <w:tcW w:w="396"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1</w:t>
                  </w:r>
                  <w:r>
                    <w:rPr>
                      <w:bCs/>
                      <w:spacing w:val="-10"/>
                      <w:sz w:val="18"/>
                      <w:szCs w:val="18"/>
                    </w:rPr>
                    <w:t>5</w:t>
                  </w:r>
                </w:p>
              </w:tc>
              <w:tc>
                <w:tcPr>
                  <w:tcW w:w="396"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0</w:t>
                  </w:r>
                  <w:r>
                    <w:rPr>
                      <w:bCs/>
                      <w:spacing w:val="-10"/>
                      <w:sz w:val="18"/>
                      <w:szCs w:val="18"/>
                    </w:rPr>
                    <w:t>.4</w:t>
                  </w:r>
                </w:p>
              </w:tc>
              <w:tc>
                <w:tcPr>
                  <w:tcW w:w="413" w:type="pct"/>
                  <w:shd w:val="clear" w:color="auto" w:fill="auto"/>
                  <w:vAlign w:val="center"/>
                </w:tcPr>
                <w:p>
                  <w:pPr>
                    <w:adjustRightInd w:val="0"/>
                    <w:snapToGrid w:val="0"/>
                    <w:spacing w:line="240" w:lineRule="exact"/>
                    <w:jc w:val="center"/>
                    <w:rPr>
                      <w:bCs/>
                      <w:spacing w:val="-10"/>
                      <w:sz w:val="18"/>
                      <w:szCs w:val="18"/>
                    </w:rPr>
                  </w:pPr>
                  <w:r>
                    <w:rPr>
                      <w:rFonts w:hint="eastAsia"/>
                      <w:bCs/>
                      <w:spacing w:val="-10"/>
                      <w:sz w:val="18"/>
                      <w:szCs w:val="18"/>
                    </w:rPr>
                    <w:t>2</w:t>
                  </w:r>
                  <w:r>
                    <w:rPr>
                      <w:bCs/>
                      <w:spacing w:val="-10"/>
                      <w:sz w:val="18"/>
                      <w:szCs w:val="18"/>
                    </w:rPr>
                    <w:t>5</w:t>
                  </w:r>
                </w:p>
              </w:tc>
              <w:tc>
                <w:tcPr>
                  <w:tcW w:w="455" w:type="pct"/>
                  <w:vAlign w:val="center"/>
                </w:tcPr>
                <w:p>
                  <w:pPr>
                    <w:adjustRightInd w:val="0"/>
                    <w:snapToGrid w:val="0"/>
                    <w:spacing w:line="240" w:lineRule="exact"/>
                    <w:jc w:val="center"/>
                    <w:rPr>
                      <w:bCs/>
                      <w:spacing w:val="-10"/>
                      <w:sz w:val="18"/>
                      <w:szCs w:val="18"/>
                    </w:rPr>
                  </w:pPr>
                  <w:r>
                    <w:rPr>
                      <w:rFonts w:hint="eastAsia"/>
                      <w:bCs/>
                      <w:spacing w:val="-10"/>
                      <w:sz w:val="18"/>
                      <w:szCs w:val="18"/>
                    </w:rPr>
                    <w:t>1</w:t>
                  </w:r>
                  <w:r>
                    <w:rPr>
                      <w:bCs/>
                      <w:spacing w:val="-10"/>
                      <w:sz w:val="18"/>
                      <w:szCs w:val="18"/>
                    </w:rPr>
                    <w:t>7.69</w:t>
                  </w:r>
                </w:p>
              </w:tc>
              <w:tc>
                <w:tcPr>
                  <w:tcW w:w="223" w:type="pct"/>
                  <w:vAlign w:val="center"/>
                </w:tcPr>
                <w:p>
                  <w:pPr>
                    <w:adjustRightInd w:val="0"/>
                    <w:snapToGrid w:val="0"/>
                    <w:spacing w:line="240" w:lineRule="exact"/>
                    <w:jc w:val="center"/>
                    <w:rPr>
                      <w:bCs/>
                      <w:spacing w:val="-10"/>
                      <w:sz w:val="18"/>
                      <w:szCs w:val="18"/>
                    </w:rPr>
                  </w:pPr>
                  <w:r>
                    <w:rPr>
                      <w:rFonts w:hint="eastAsia"/>
                      <w:bCs/>
                      <w:spacing w:val="-10"/>
                      <w:sz w:val="18"/>
                      <w:szCs w:val="18"/>
                    </w:rPr>
                    <w:t>一般排放口</w:t>
                  </w:r>
                </w:p>
              </w:tc>
            </w:tr>
          </w:tbl>
          <w:p>
            <w:pPr>
              <w:adjustRightInd w:val="0"/>
              <w:snapToGrid w:val="0"/>
              <w:spacing w:line="360" w:lineRule="auto"/>
              <w:rPr>
                <w:b/>
                <w:bCs/>
                <w:sz w:val="24"/>
              </w:rPr>
            </w:pPr>
            <w:r>
              <w:rPr>
                <w:rFonts w:hint="eastAsia"/>
                <w:b/>
                <w:bCs/>
                <w:sz w:val="24"/>
              </w:rPr>
              <w:t>4.2.1.3废气自行监测要求</w:t>
            </w:r>
          </w:p>
          <w:p>
            <w:pPr>
              <w:adjustRightInd w:val="0"/>
              <w:snapToGrid w:val="0"/>
              <w:spacing w:line="360" w:lineRule="auto"/>
              <w:ind w:firstLine="480" w:firstLineChars="200"/>
              <w:jc w:val="left"/>
              <w:rPr>
                <w:sz w:val="24"/>
              </w:rPr>
            </w:pPr>
            <w:r>
              <w:rPr>
                <w:rFonts w:hint="eastAsia"/>
                <w:sz w:val="24"/>
              </w:rPr>
              <w:t>拟建</w:t>
            </w:r>
            <w:r>
              <w:rPr>
                <w:sz w:val="24"/>
              </w:rPr>
              <w:t>项目监测计划参照</w:t>
            </w:r>
            <w:r>
              <w:rPr>
                <w:rFonts w:hint="eastAsia"/>
                <w:szCs w:val="21"/>
              </w:rPr>
              <w:t>《</w:t>
            </w:r>
            <w:r>
              <w:rPr>
                <w:rFonts w:hint="eastAsia"/>
                <w:sz w:val="24"/>
              </w:rPr>
              <w:t>排污许可证申请与核发技术规范 废弃资源加工工业》（HJ 1034-2019）、《排污单位自行监测技术指南 总则》（HJ 819-2017），</w:t>
            </w:r>
            <w:r>
              <w:rPr>
                <w:sz w:val="24"/>
              </w:rPr>
              <w:t>结合</w:t>
            </w:r>
            <w:r>
              <w:rPr>
                <w:rFonts w:hint="eastAsia"/>
                <w:sz w:val="24"/>
              </w:rPr>
              <w:t>本</w:t>
            </w:r>
            <w:r>
              <w:rPr>
                <w:sz w:val="24"/>
              </w:rPr>
              <w:t>项目的</w:t>
            </w:r>
            <w:r>
              <w:rPr>
                <w:rFonts w:hint="eastAsia"/>
                <w:sz w:val="24"/>
              </w:rPr>
              <w:t>运行</w:t>
            </w:r>
            <w:r>
              <w:rPr>
                <w:sz w:val="24"/>
              </w:rPr>
              <w:t>及污染特点，制定出营运期相关的监测计划，</w:t>
            </w:r>
            <w:r>
              <w:rPr>
                <w:rFonts w:hint="eastAsia"/>
                <w:sz w:val="24"/>
              </w:rPr>
              <w:t>拟建项目废气自行监测要求见表4.2.1-</w:t>
            </w:r>
            <w:r>
              <w:rPr>
                <w:sz w:val="24"/>
              </w:rPr>
              <w:t>8</w:t>
            </w:r>
            <w:r>
              <w:rPr>
                <w:rFonts w:hint="eastAsia"/>
                <w:sz w:val="24"/>
              </w:rPr>
              <w:t>。</w:t>
            </w:r>
          </w:p>
          <w:p>
            <w:pPr>
              <w:tabs>
                <w:tab w:val="left" w:pos="2520"/>
                <w:tab w:val="center" w:pos="4437"/>
              </w:tabs>
              <w:adjustRightInd w:val="0"/>
              <w:snapToGrid w:val="0"/>
              <w:spacing w:line="360" w:lineRule="auto"/>
              <w:jc w:val="center"/>
              <w:rPr>
                <w:sz w:val="18"/>
                <w:szCs w:val="18"/>
              </w:rPr>
            </w:pPr>
            <w:r>
              <w:rPr>
                <w:sz w:val="18"/>
                <w:szCs w:val="18"/>
              </w:rPr>
              <w:t>表</w:t>
            </w:r>
            <w:r>
              <w:rPr>
                <w:rFonts w:hint="eastAsia"/>
                <w:sz w:val="18"/>
                <w:szCs w:val="18"/>
              </w:rPr>
              <w:t>4.2.1-</w:t>
            </w:r>
            <w:r>
              <w:rPr>
                <w:sz w:val="18"/>
                <w:szCs w:val="18"/>
              </w:rPr>
              <w:t>8拟建项目废气自行监测要求一览表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42"/>
              <w:gridCol w:w="844"/>
              <w:gridCol w:w="1685"/>
              <w:gridCol w:w="1406"/>
              <w:gridCol w:w="210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sz w:val="18"/>
                      <w:szCs w:val="18"/>
                    </w:rPr>
                    <w:t>类别</w:t>
                  </w: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sz w:val="18"/>
                      <w:szCs w:val="18"/>
                    </w:rPr>
                    <w:t>监测点位</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sz w:val="18"/>
                      <w:szCs w:val="18"/>
                    </w:rPr>
                    <w:t>监测指标</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textAlignment w:val="baseline"/>
                    <w:rPr>
                      <w:sz w:val="18"/>
                      <w:szCs w:val="18"/>
                    </w:rPr>
                  </w:pPr>
                  <w:r>
                    <w:rPr>
                      <w:sz w:val="18"/>
                      <w:szCs w:val="18"/>
                    </w:rPr>
                    <w:t>监测频次</w:t>
                  </w:r>
                </w:p>
              </w:tc>
              <w:tc>
                <w:tcPr>
                  <w:tcW w:w="234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sz w:val="18"/>
                      <w:szCs w:val="18"/>
                    </w:rPr>
                    <w:t>执行环境标准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sz w:val="18"/>
                      <w:szCs w:val="18"/>
                    </w:rPr>
                    <w:t>废气</w:t>
                  </w:r>
                </w:p>
              </w:tc>
              <w:tc>
                <w:tcPr>
                  <w:tcW w:w="501"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DA001</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废气量、非甲烷总烃</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w:t>
                  </w:r>
                  <w:r>
                    <w:rPr>
                      <w:sz w:val="18"/>
                      <w:szCs w:val="18"/>
                    </w:rPr>
                    <w:t>/</w:t>
                  </w:r>
                  <w:r>
                    <w:rPr>
                      <w:rFonts w:hint="eastAsia"/>
                      <w:sz w:val="18"/>
                      <w:szCs w:val="18"/>
                    </w:rPr>
                    <w:t>年</w:t>
                  </w:r>
                </w:p>
              </w:tc>
              <w:tc>
                <w:tcPr>
                  <w:tcW w:w="1251" w:type="pct"/>
                  <w:tcBorders>
                    <w:top w:val="single" w:color="auto" w:sz="4" w:space="0"/>
                    <w:left w:val="single" w:color="auto" w:sz="4" w:space="0"/>
                    <w:right w:val="single" w:color="auto" w:sz="4" w:space="0"/>
                  </w:tcBorders>
                </w:tcPr>
                <w:p>
                  <w:pPr>
                    <w:adjustRightInd w:val="0"/>
                    <w:snapToGrid w:val="0"/>
                    <w:jc w:val="center"/>
                    <w:textAlignment w:val="baseline"/>
                    <w:rPr>
                      <w:sz w:val="18"/>
                      <w:szCs w:val="18"/>
                    </w:rPr>
                  </w:pPr>
                  <w:r>
                    <w:rPr>
                      <w:sz w:val="18"/>
                      <w:szCs w:val="18"/>
                    </w:rPr>
                    <w:t>《大气污染物综合排放标准》（DB50/418-2016）</w:t>
                  </w:r>
                </w:p>
              </w:tc>
              <w:tc>
                <w:tcPr>
                  <w:tcW w:w="1090"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非甲烷总烃</w:t>
                  </w:r>
                  <w:r>
                    <w:rPr>
                      <w:rStyle w:val="91"/>
                      <w:sz w:val="18"/>
                      <w:szCs w:val="18"/>
                    </w:rPr>
                    <w:t>120mg/m</w:t>
                  </w:r>
                  <w:r>
                    <w:rPr>
                      <w:rStyle w:val="91"/>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DA002</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废气量、颗粒物</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w:t>
                  </w:r>
                  <w:r>
                    <w:rPr>
                      <w:sz w:val="18"/>
                      <w:szCs w:val="18"/>
                    </w:rPr>
                    <w:t>/</w:t>
                  </w:r>
                  <w:r>
                    <w:rPr>
                      <w:rFonts w:hint="eastAsia"/>
                      <w:sz w:val="18"/>
                      <w:szCs w:val="18"/>
                    </w:rPr>
                    <w:t>年</w:t>
                  </w:r>
                </w:p>
              </w:tc>
              <w:tc>
                <w:tcPr>
                  <w:tcW w:w="1251" w:type="pct"/>
                  <w:tcBorders>
                    <w:left w:val="single" w:color="auto" w:sz="4" w:space="0"/>
                    <w:right w:val="single" w:color="auto" w:sz="4" w:space="0"/>
                  </w:tcBorders>
                </w:tcPr>
                <w:p>
                  <w:pPr>
                    <w:adjustRightInd w:val="0"/>
                    <w:snapToGrid w:val="0"/>
                    <w:jc w:val="center"/>
                    <w:textAlignment w:val="baseline"/>
                    <w:rPr>
                      <w:sz w:val="18"/>
                      <w:szCs w:val="18"/>
                    </w:rPr>
                  </w:pPr>
                  <w:r>
                    <w:rPr>
                      <w:sz w:val="18"/>
                      <w:szCs w:val="18"/>
                    </w:rPr>
                    <w:t>《大气污染物综合排放标准》（DB50/418-2016）</w:t>
                  </w:r>
                </w:p>
              </w:tc>
              <w:tc>
                <w:tcPr>
                  <w:tcW w:w="1090"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颗粒物20</w:t>
                  </w:r>
                  <w:r>
                    <w:rPr>
                      <w:rStyle w:val="91"/>
                      <w:sz w:val="18"/>
                      <w:szCs w:val="18"/>
                    </w:rPr>
                    <w:t>mg/m</w:t>
                  </w:r>
                  <w:r>
                    <w:rPr>
                      <w:rStyle w:val="91"/>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DA003</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废气量、颗粒物</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w:t>
                  </w:r>
                  <w:r>
                    <w:rPr>
                      <w:sz w:val="18"/>
                      <w:szCs w:val="18"/>
                    </w:rPr>
                    <w:t>/</w:t>
                  </w:r>
                  <w:r>
                    <w:rPr>
                      <w:rFonts w:hint="eastAsia"/>
                      <w:sz w:val="18"/>
                      <w:szCs w:val="18"/>
                    </w:rPr>
                    <w:t>年</w:t>
                  </w:r>
                </w:p>
              </w:tc>
              <w:tc>
                <w:tcPr>
                  <w:tcW w:w="1251" w:type="pct"/>
                  <w:tcBorders>
                    <w:left w:val="single" w:color="auto" w:sz="4" w:space="0"/>
                    <w:right w:val="single" w:color="auto" w:sz="4" w:space="0"/>
                  </w:tcBorders>
                </w:tcPr>
                <w:p>
                  <w:pPr>
                    <w:adjustRightInd w:val="0"/>
                    <w:snapToGrid w:val="0"/>
                    <w:jc w:val="center"/>
                    <w:textAlignment w:val="baseline"/>
                    <w:rPr>
                      <w:sz w:val="18"/>
                      <w:szCs w:val="18"/>
                    </w:rPr>
                  </w:pPr>
                  <w:r>
                    <w:rPr>
                      <w:sz w:val="18"/>
                      <w:szCs w:val="18"/>
                    </w:rPr>
                    <w:t>《大气污染物综合排放标准》（DB50/418-2016）</w:t>
                  </w:r>
                </w:p>
              </w:tc>
              <w:tc>
                <w:tcPr>
                  <w:tcW w:w="1090"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颗粒物20</w:t>
                  </w:r>
                  <w:r>
                    <w:rPr>
                      <w:rStyle w:val="91"/>
                      <w:sz w:val="18"/>
                      <w:szCs w:val="18"/>
                    </w:rPr>
                    <w:t>mg/m</w:t>
                  </w:r>
                  <w:r>
                    <w:rPr>
                      <w:rStyle w:val="91"/>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DA004</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废气量、油烟、非甲烷总烃</w:t>
                  </w:r>
                </w:p>
              </w:tc>
              <w:tc>
                <w:tcPr>
                  <w:tcW w:w="8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w:t>
                  </w:r>
                  <w:r>
                    <w:rPr>
                      <w:sz w:val="18"/>
                      <w:szCs w:val="18"/>
                    </w:rPr>
                    <w:t>/</w:t>
                  </w:r>
                  <w:r>
                    <w:rPr>
                      <w:rFonts w:hint="eastAsia"/>
                      <w:sz w:val="18"/>
                      <w:szCs w:val="18"/>
                    </w:rPr>
                    <w:t>年</w:t>
                  </w:r>
                </w:p>
              </w:tc>
              <w:tc>
                <w:tcPr>
                  <w:tcW w:w="1251"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《饮食业大气污染物排放标准》（DB50/859-2018）</w:t>
                  </w:r>
                </w:p>
              </w:tc>
              <w:tc>
                <w:tcPr>
                  <w:tcW w:w="1090" w:type="pct"/>
                  <w:tcBorders>
                    <w:left w:val="single" w:color="auto" w:sz="4" w:space="0"/>
                    <w:right w:val="single" w:color="auto" w:sz="4" w:space="0"/>
                  </w:tcBorders>
                  <w:vAlign w:val="center"/>
                </w:tcPr>
                <w:p>
                  <w:pPr>
                    <w:adjustRightInd w:val="0"/>
                    <w:snapToGrid w:val="0"/>
                    <w:jc w:val="center"/>
                    <w:textAlignment w:val="baseline"/>
                    <w:rPr>
                      <w:rStyle w:val="91"/>
                      <w:sz w:val="18"/>
                      <w:szCs w:val="18"/>
                      <w:vertAlign w:val="superscript"/>
                    </w:rPr>
                  </w:pPr>
                  <w:r>
                    <w:rPr>
                      <w:rFonts w:hint="eastAsia"/>
                      <w:sz w:val="18"/>
                      <w:szCs w:val="18"/>
                    </w:rPr>
                    <w:t xml:space="preserve">油烟 </w:t>
                  </w:r>
                  <w:r>
                    <w:rPr>
                      <w:sz w:val="18"/>
                      <w:szCs w:val="18"/>
                    </w:rPr>
                    <w:t>1</w:t>
                  </w:r>
                  <w:r>
                    <w:rPr>
                      <w:rStyle w:val="91"/>
                      <w:sz w:val="18"/>
                      <w:szCs w:val="18"/>
                    </w:rPr>
                    <w:t>mg/m</w:t>
                  </w:r>
                  <w:r>
                    <w:rPr>
                      <w:rStyle w:val="91"/>
                      <w:sz w:val="18"/>
                      <w:szCs w:val="18"/>
                      <w:vertAlign w:val="superscript"/>
                    </w:rPr>
                    <w:t>3</w:t>
                  </w:r>
                </w:p>
                <w:p>
                  <w:pPr>
                    <w:adjustRightInd w:val="0"/>
                    <w:snapToGrid w:val="0"/>
                    <w:jc w:val="center"/>
                    <w:textAlignment w:val="baseline"/>
                    <w:rPr>
                      <w:sz w:val="18"/>
                      <w:szCs w:val="18"/>
                    </w:rPr>
                  </w:pPr>
                  <w:r>
                    <w:rPr>
                      <w:rFonts w:hint="eastAsia"/>
                      <w:sz w:val="18"/>
                      <w:szCs w:val="18"/>
                    </w:rPr>
                    <w:t xml:space="preserve">非甲烷总烃 </w:t>
                  </w:r>
                  <w:r>
                    <w:rPr>
                      <w:sz w:val="18"/>
                      <w:szCs w:val="18"/>
                    </w:rPr>
                    <w:t>10</w:t>
                  </w:r>
                  <w:r>
                    <w:rPr>
                      <w:rStyle w:val="91"/>
                      <w:sz w:val="18"/>
                      <w:szCs w:val="18"/>
                    </w:rPr>
                    <w:t>mg/m</w:t>
                  </w:r>
                  <w:r>
                    <w:rPr>
                      <w:rStyle w:val="91"/>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厂区内厂房外</w:t>
                  </w:r>
                </w:p>
              </w:tc>
              <w:tc>
                <w:tcPr>
                  <w:tcW w:w="1001" w:type="pct"/>
                  <w:tcBorders>
                    <w:top w:val="single" w:color="auto" w:sz="4" w:space="0"/>
                    <w:left w:val="single" w:color="auto" w:sz="4" w:space="0"/>
                    <w:bottom w:val="single" w:color="auto" w:sz="2" w:space="0"/>
                    <w:right w:val="single" w:color="auto" w:sz="4" w:space="0"/>
                  </w:tcBorders>
                  <w:vAlign w:val="center"/>
                </w:tcPr>
                <w:p>
                  <w:pPr>
                    <w:adjustRightInd w:val="0"/>
                    <w:snapToGrid w:val="0"/>
                    <w:jc w:val="center"/>
                    <w:textAlignment w:val="baseline"/>
                    <w:rPr>
                      <w:sz w:val="18"/>
                      <w:szCs w:val="18"/>
                    </w:rPr>
                  </w:pPr>
                  <w:r>
                    <w:rPr>
                      <w:rFonts w:hint="eastAsia"/>
                      <w:sz w:val="18"/>
                      <w:szCs w:val="18"/>
                    </w:rPr>
                    <w:t>非甲烷总烃</w:t>
                  </w:r>
                </w:p>
              </w:tc>
              <w:tc>
                <w:tcPr>
                  <w:tcW w:w="835" w:type="pct"/>
                  <w:tcBorders>
                    <w:top w:val="single" w:color="auto" w:sz="4" w:space="0"/>
                    <w:left w:val="single" w:color="auto" w:sz="4" w:space="0"/>
                    <w:bottom w:val="single" w:color="auto" w:sz="2"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验收时监测一次，以后1次/年</w:t>
                  </w:r>
                </w:p>
              </w:tc>
              <w:tc>
                <w:tcPr>
                  <w:tcW w:w="1251" w:type="pct"/>
                  <w:tcBorders>
                    <w:left w:val="single" w:color="auto" w:sz="4" w:space="0"/>
                    <w:bottom w:val="single" w:color="auto" w:sz="2" w:space="0"/>
                    <w:right w:val="single" w:color="auto" w:sz="4" w:space="0"/>
                  </w:tcBorders>
                  <w:vAlign w:val="center"/>
                </w:tcPr>
                <w:p>
                  <w:pPr>
                    <w:adjustRightInd w:val="0"/>
                    <w:snapToGrid w:val="0"/>
                    <w:jc w:val="center"/>
                    <w:textAlignment w:val="baseline"/>
                    <w:rPr>
                      <w:sz w:val="18"/>
                      <w:szCs w:val="18"/>
                    </w:rPr>
                  </w:pPr>
                  <w:r>
                    <w:rPr>
                      <w:rFonts w:hint="eastAsia"/>
                      <w:bCs/>
                    </w:rPr>
                    <w:t>《挥发性有机物无组织排放控制标准》（GB37822-2019）</w:t>
                  </w:r>
                </w:p>
              </w:tc>
              <w:tc>
                <w:tcPr>
                  <w:tcW w:w="1090"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非甲烷总烃</w:t>
                  </w:r>
                  <w:r>
                    <w:rPr>
                      <w:sz w:val="18"/>
                      <w:szCs w:val="18"/>
                    </w:rPr>
                    <w:t>10</w:t>
                  </w:r>
                  <w:r>
                    <w:rPr>
                      <w:rStyle w:val="91"/>
                      <w:sz w:val="18"/>
                      <w:szCs w:val="18"/>
                    </w:rPr>
                    <w:t>mg/m</w:t>
                  </w:r>
                  <w:r>
                    <w:rPr>
                      <w:rStyle w:val="91"/>
                      <w:sz w:val="18"/>
                      <w:szCs w:val="18"/>
                      <w:vertAlign w:val="superscript"/>
                    </w:rPr>
                    <w:t>3</w:t>
                  </w:r>
                  <w:r>
                    <w:rPr>
                      <w:rFonts w:hint="eastAsia"/>
                      <w:sz w:val="18"/>
                      <w:szCs w:val="18"/>
                    </w:rPr>
                    <w:t>（监控点处1h平均浓度值），</w:t>
                  </w:r>
                  <w:r>
                    <w:rPr>
                      <w:sz w:val="18"/>
                      <w:szCs w:val="18"/>
                    </w:rPr>
                    <w:t>30</w:t>
                  </w:r>
                  <w:r>
                    <w:rPr>
                      <w:rStyle w:val="91"/>
                      <w:sz w:val="18"/>
                      <w:szCs w:val="18"/>
                    </w:rPr>
                    <w:t>mg/m</w:t>
                  </w:r>
                  <w:r>
                    <w:rPr>
                      <w:rStyle w:val="91"/>
                      <w:sz w:val="18"/>
                      <w:szCs w:val="18"/>
                      <w:vertAlign w:val="superscript"/>
                    </w:rPr>
                    <w:t>3</w:t>
                  </w:r>
                  <w:r>
                    <w:rPr>
                      <w:rFonts w:hint="eastAsia"/>
                      <w:sz w:val="18"/>
                      <w:szCs w:val="18"/>
                    </w:rPr>
                    <w:t>（监控点处任意一次浓度值）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vMerge w:val="restar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厂界无组织</w:t>
                  </w: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颗粒物、非甲烷总烃</w:t>
                  </w:r>
                </w:p>
              </w:tc>
              <w:tc>
                <w:tcPr>
                  <w:tcW w:w="835" w:type="pct"/>
                  <w:tcBorders>
                    <w:top w:val="single" w:color="auto" w:sz="4" w:space="0"/>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验收时监测一次，以后1次/年</w:t>
                  </w:r>
                </w:p>
              </w:tc>
              <w:tc>
                <w:tcPr>
                  <w:tcW w:w="1251"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《大气污染物综合排放标准》（DB50/418-2016）</w:t>
                  </w:r>
                </w:p>
              </w:tc>
              <w:tc>
                <w:tcPr>
                  <w:tcW w:w="1090"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颗粒物1</w:t>
                  </w:r>
                  <w:r>
                    <w:rPr>
                      <w:rStyle w:val="91"/>
                      <w:sz w:val="18"/>
                      <w:szCs w:val="18"/>
                    </w:rPr>
                    <w:t>mg/m</w:t>
                  </w:r>
                  <w:r>
                    <w:rPr>
                      <w:rStyle w:val="91"/>
                      <w:sz w:val="18"/>
                      <w:szCs w:val="18"/>
                      <w:vertAlign w:val="superscript"/>
                    </w:rPr>
                    <w:t>3</w:t>
                  </w:r>
                </w:p>
                <w:p>
                  <w:pPr>
                    <w:adjustRightInd w:val="0"/>
                    <w:snapToGrid w:val="0"/>
                    <w:jc w:val="center"/>
                    <w:textAlignment w:val="baseline"/>
                    <w:rPr>
                      <w:sz w:val="18"/>
                      <w:szCs w:val="18"/>
                    </w:rPr>
                  </w:pPr>
                  <w:r>
                    <w:rPr>
                      <w:rFonts w:hint="eastAsia"/>
                      <w:sz w:val="18"/>
                      <w:szCs w:val="18"/>
                    </w:rPr>
                    <w:t>非甲烷总烃4</w:t>
                  </w:r>
                  <w:r>
                    <w:rPr>
                      <w:rStyle w:val="91"/>
                      <w:sz w:val="18"/>
                      <w:szCs w:val="18"/>
                    </w:rPr>
                    <w:t>mg/m</w:t>
                  </w:r>
                  <w:r>
                    <w:rPr>
                      <w:rStyle w:val="91"/>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22" w:type="pct"/>
                  <w:vMerge w:val="continue"/>
                  <w:tcBorders>
                    <w:left w:val="single" w:color="auto" w:sz="4" w:space="0"/>
                    <w:right w:val="single" w:color="auto" w:sz="4" w:space="0"/>
                  </w:tcBorders>
                  <w:vAlign w:val="center"/>
                </w:tcPr>
                <w:p>
                  <w:pPr>
                    <w:adjustRightInd w:val="0"/>
                    <w:snapToGrid w:val="0"/>
                    <w:jc w:val="center"/>
                    <w:textAlignment w:val="baseline"/>
                    <w:rPr>
                      <w:sz w:val="18"/>
                      <w:szCs w:val="18"/>
                    </w:rPr>
                  </w:pPr>
                </w:p>
              </w:tc>
              <w:tc>
                <w:tcPr>
                  <w:tcW w:w="501" w:type="pct"/>
                  <w:vMerge w:val="continue"/>
                  <w:tcBorders>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p>
              </w:tc>
              <w:tc>
                <w:tcPr>
                  <w:tcW w:w="10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氨、硫化氢、臭气浓度</w:t>
                  </w:r>
                </w:p>
              </w:tc>
              <w:tc>
                <w:tcPr>
                  <w:tcW w:w="835" w:type="pct"/>
                  <w:tcBorders>
                    <w:left w:val="single" w:color="auto" w:sz="4" w:space="0"/>
                    <w:bottom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验收时监测一次，以后1次/半年</w:t>
                  </w:r>
                </w:p>
              </w:tc>
              <w:tc>
                <w:tcPr>
                  <w:tcW w:w="1251"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《恶臭污染物排放标准》（GB14554-93）</w:t>
                  </w:r>
                </w:p>
              </w:tc>
              <w:tc>
                <w:tcPr>
                  <w:tcW w:w="1090" w:type="pct"/>
                  <w:tcBorders>
                    <w:left w:val="single" w:color="auto" w:sz="4" w:space="0"/>
                    <w:right w:val="single" w:color="auto" w:sz="4" w:space="0"/>
                  </w:tcBorders>
                  <w:vAlign w:val="center"/>
                </w:tcPr>
                <w:p>
                  <w:pPr>
                    <w:adjustRightInd w:val="0"/>
                    <w:snapToGrid w:val="0"/>
                    <w:jc w:val="center"/>
                    <w:textAlignment w:val="baseline"/>
                    <w:rPr>
                      <w:sz w:val="18"/>
                      <w:szCs w:val="18"/>
                    </w:rPr>
                  </w:pPr>
                  <w:r>
                    <w:rPr>
                      <w:rFonts w:hint="eastAsia"/>
                      <w:sz w:val="18"/>
                      <w:szCs w:val="18"/>
                    </w:rPr>
                    <w:t>氨1.5mg/m</w:t>
                  </w:r>
                  <w:r>
                    <w:rPr>
                      <w:rFonts w:hint="eastAsia"/>
                      <w:sz w:val="18"/>
                      <w:szCs w:val="18"/>
                      <w:vertAlign w:val="superscript"/>
                    </w:rPr>
                    <w:t>3</w:t>
                  </w:r>
                </w:p>
                <w:p>
                  <w:pPr>
                    <w:adjustRightInd w:val="0"/>
                    <w:snapToGrid w:val="0"/>
                    <w:jc w:val="center"/>
                    <w:textAlignment w:val="baseline"/>
                    <w:rPr>
                      <w:sz w:val="18"/>
                      <w:szCs w:val="18"/>
                    </w:rPr>
                  </w:pPr>
                  <w:r>
                    <w:rPr>
                      <w:rFonts w:hint="eastAsia"/>
                      <w:sz w:val="18"/>
                      <w:szCs w:val="18"/>
                    </w:rPr>
                    <w:t>硫化氢0.06mg/m</w:t>
                  </w:r>
                  <w:r>
                    <w:rPr>
                      <w:rFonts w:hint="eastAsia"/>
                      <w:sz w:val="18"/>
                      <w:szCs w:val="18"/>
                      <w:vertAlign w:val="superscript"/>
                    </w:rPr>
                    <w:t>3</w:t>
                  </w:r>
                </w:p>
                <w:p>
                  <w:pPr>
                    <w:adjustRightInd w:val="0"/>
                    <w:snapToGrid w:val="0"/>
                    <w:jc w:val="center"/>
                    <w:textAlignment w:val="baseline"/>
                    <w:rPr>
                      <w:sz w:val="18"/>
                      <w:szCs w:val="18"/>
                    </w:rPr>
                  </w:pPr>
                  <w:r>
                    <w:rPr>
                      <w:rFonts w:hint="eastAsia"/>
                      <w:sz w:val="18"/>
                      <w:szCs w:val="18"/>
                    </w:rPr>
                    <w:t>臭气浓度20（无量纲）</w:t>
                  </w:r>
                </w:p>
              </w:tc>
            </w:tr>
          </w:tbl>
          <w:p>
            <w:pPr>
              <w:tabs>
                <w:tab w:val="left" w:pos="2520"/>
                <w:tab w:val="center" w:pos="4437"/>
              </w:tabs>
              <w:adjustRightInd w:val="0"/>
              <w:snapToGrid w:val="0"/>
              <w:spacing w:line="360" w:lineRule="auto"/>
              <w:jc w:val="center"/>
              <w:rPr>
                <w:sz w:val="18"/>
                <w:szCs w:val="18"/>
              </w:rPr>
            </w:pPr>
          </w:p>
          <w:p>
            <w:pPr>
              <w:adjustRightInd w:val="0"/>
              <w:snapToGrid w:val="0"/>
              <w:spacing w:line="360" w:lineRule="auto"/>
              <w:rPr>
                <w:b/>
                <w:bCs/>
                <w:sz w:val="24"/>
              </w:rPr>
            </w:pPr>
            <w:r>
              <w:rPr>
                <w:rFonts w:hint="eastAsia"/>
                <w:b/>
                <w:bCs/>
                <w:sz w:val="24"/>
              </w:rPr>
              <w:t>4.2.1.4废气治理措施及其可行性分析</w:t>
            </w:r>
          </w:p>
          <w:p>
            <w:pPr>
              <w:adjustRightInd w:val="0"/>
              <w:snapToGrid w:val="0"/>
              <w:spacing w:line="360" w:lineRule="auto"/>
              <w:ind w:firstLine="480" w:firstLineChars="200"/>
              <w:rPr>
                <w:bCs/>
                <w:sz w:val="24"/>
              </w:rPr>
            </w:pPr>
            <w:r>
              <w:rPr>
                <w:rFonts w:hint="eastAsia"/>
                <w:bCs/>
                <w:sz w:val="24"/>
              </w:rPr>
              <w:t>拟建项目废气治理流程详见图4.2.1-1，废气走向示意见图4.2.1-2。</w:t>
            </w:r>
          </w:p>
          <w:p>
            <w:pPr>
              <w:adjustRightInd w:val="0"/>
              <w:snapToGrid w:val="0"/>
              <w:spacing w:line="360" w:lineRule="auto"/>
              <w:jc w:val="center"/>
              <w:rPr>
                <w:bCs/>
                <w:szCs w:val="21"/>
              </w:rPr>
            </w:pPr>
            <w:r>
              <w:object>
                <v:shape id="_x0000_i1028" o:spt="75" type="#_x0000_t75" style="height:197.75pt;width:443.8pt;" o:ole="t" filled="f" o:preferrelative="t" stroked="f" coordsize="21600,21600">
                  <v:path/>
                  <v:fill on="f" focussize="0,0"/>
                  <v:stroke on="f" joinstyle="miter"/>
                  <v:imagedata r:id="rId17" o:title=""/>
                  <o:lock v:ext="edit" aspectratio="t"/>
                  <w10:wrap type="none"/>
                  <w10:anchorlock/>
                </v:shape>
                <o:OLEObject Type="Embed" ProgID="Visio.Drawing.11" ShapeID="_x0000_i1028" DrawAspect="Content" ObjectID="_1468075728" r:id="rId16">
                  <o:LockedField>false</o:LockedField>
                </o:OLEObject>
              </w:object>
            </w:r>
            <w:r>
              <w:rPr>
                <w:rFonts w:hint="eastAsia"/>
                <w:bCs/>
                <w:szCs w:val="21"/>
              </w:rPr>
              <w:t>图4.2.1-1 拟建项目废气处理流程图</w:t>
            </w:r>
          </w:p>
          <w:p>
            <w:pPr>
              <w:adjustRightInd w:val="0"/>
              <w:snapToGrid w:val="0"/>
              <w:spacing w:line="360" w:lineRule="auto"/>
              <w:ind w:firstLine="480" w:firstLineChars="200"/>
              <w:rPr>
                <w:bCs/>
                <w:sz w:val="24"/>
              </w:rPr>
            </w:pPr>
            <w:r>
              <w:rPr>
                <w:rFonts w:hint="eastAsia"/>
                <w:bCs/>
                <w:sz w:val="24"/>
              </w:rPr>
              <w:t>（1）废气收集措施有效性分析</w:t>
            </w:r>
          </w:p>
          <w:p>
            <w:pPr>
              <w:adjustRightInd w:val="0"/>
              <w:snapToGrid w:val="0"/>
              <w:spacing w:line="360" w:lineRule="auto"/>
              <w:ind w:firstLine="480" w:firstLineChars="200"/>
              <w:rPr>
                <w:bCs/>
                <w:sz w:val="24"/>
              </w:rPr>
            </w:pPr>
            <w:r>
              <w:rPr>
                <w:rFonts w:hint="eastAsia"/>
                <w:sz w:val="24"/>
              </w:rPr>
              <w:t>拟建项目油液挥发废气通过集气罩收集后经二级活性炭吸附处理后经管道引至15mDA001排气筒排放</w:t>
            </w:r>
            <w:r>
              <w:rPr>
                <w:rFonts w:hint="eastAsia"/>
                <w:bCs/>
                <w:sz w:val="24"/>
              </w:rPr>
              <w:t>，</w:t>
            </w:r>
            <w:r>
              <w:rPr>
                <w:rFonts w:hint="eastAsia"/>
                <w:sz w:val="24"/>
              </w:rPr>
              <w:t>切割废气通过集气罩收集后经布袋除尘器处理后经管道引至15mDA00</w:t>
            </w:r>
            <w:r>
              <w:rPr>
                <w:sz w:val="24"/>
              </w:rPr>
              <w:t>2</w:t>
            </w:r>
            <w:r>
              <w:rPr>
                <w:rFonts w:hint="eastAsia"/>
                <w:sz w:val="24"/>
              </w:rPr>
              <w:t>排气筒排放</w:t>
            </w:r>
            <w:r>
              <w:rPr>
                <w:rFonts w:hint="eastAsia"/>
                <w:bCs/>
                <w:sz w:val="24"/>
              </w:rPr>
              <w:t>，</w:t>
            </w:r>
            <w:r>
              <w:rPr>
                <w:rFonts w:hint="eastAsia"/>
                <w:sz w:val="24"/>
              </w:rPr>
              <w:t>破碎废气通过集气罩收集后经布袋除尘器处理后经管道引至15mDA00</w:t>
            </w:r>
            <w:r>
              <w:rPr>
                <w:sz w:val="24"/>
              </w:rPr>
              <w:t>3</w:t>
            </w:r>
            <w:r>
              <w:rPr>
                <w:rFonts w:hint="eastAsia"/>
                <w:sz w:val="24"/>
              </w:rPr>
              <w:t>排气筒排放</w:t>
            </w:r>
            <w:r>
              <w:rPr>
                <w:rFonts w:hint="eastAsia"/>
                <w:bCs/>
                <w:sz w:val="24"/>
              </w:rPr>
              <w:t>，工艺废气能够确保挥发性废气的有效收集。</w:t>
            </w:r>
          </w:p>
          <w:p>
            <w:pPr>
              <w:adjustRightInd w:val="0"/>
              <w:snapToGrid w:val="0"/>
              <w:spacing w:line="360" w:lineRule="auto"/>
              <w:ind w:firstLine="480" w:firstLineChars="200"/>
              <w:rPr>
                <w:bCs/>
                <w:sz w:val="24"/>
              </w:rPr>
            </w:pPr>
            <w:r>
              <w:rPr>
                <w:rFonts w:hint="eastAsia"/>
                <w:bCs/>
                <w:sz w:val="24"/>
              </w:rPr>
              <w:t>食堂废气</w:t>
            </w:r>
            <w:r>
              <w:rPr>
                <w:rFonts w:hint="eastAsia"/>
                <w:sz w:val="24"/>
              </w:rPr>
              <w:t>通过集气罩收集后经油烟净化器处理后经管道引至办公楼屋顶排放</w:t>
            </w:r>
            <w:r>
              <w:rPr>
                <w:rFonts w:hint="eastAsia"/>
                <w:bCs/>
                <w:sz w:val="24"/>
              </w:rPr>
              <w:t>。污水处理站废气对产臭的工序加盖收集，废气集中收集后经活性炭吸附处理后，引至业务房屋顶排放。综上所述，采取以上收集方式，能够确保项目废气的有效收集。</w:t>
            </w:r>
          </w:p>
          <w:p>
            <w:pPr>
              <w:adjustRightInd w:val="0"/>
              <w:snapToGrid w:val="0"/>
              <w:spacing w:line="360" w:lineRule="auto"/>
              <w:ind w:firstLine="480" w:firstLineChars="200"/>
              <w:rPr>
                <w:bCs/>
                <w:sz w:val="24"/>
              </w:rPr>
            </w:pPr>
            <w:r>
              <w:rPr>
                <w:bCs/>
                <w:sz w:val="24"/>
              </w:rPr>
              <w:t>（2）废气处理措施有效性分析</w:t>
            </w:r>
          </w:p>
          <w:p>
            <w:pPr>
              <w:adjustRightInd w:val="0"/>
              <w:snapToGrid w:val="0"/>
              <w:spacing w:line="360" w:lineRule="auto"/>
              <w:ind w:firstLine="480" w:firstLineChars="200"/>
              <w:rPr>
                <w:sz w:val="24"/>
              </w:rPr>
            </w:pPr>
            <w:r>
              <w:rPr>
                <w:rFonts w:hint="eastAsia"/>
                <w:sz w:val="24"/>
              </w:rPr>
              <w:t>活性炭吸附</w:t>
            </w:r>
            <w:r>
              <w:rPr>
                <w:sz w:val="24"/>
              </w:rPr>
              <w:t>主要工作原理：</w:t>
            </w:r>
            <w:r>
              <w:rPr>
                <w:rFonts w:hint="eastAsia"/>
                <w:bCs/>
                <w:sz w:val="24"/>
              </w:rPr>
              <w:t>活性炭是一种具有非极性表面、疏水性、亲有机物的吸附剂，活性炭常常被用来吸附回收空气中的有机溶剂和恶臭物质，它可以根据需要制成不同性状和粒度，如粉末活性炭、颗粒活性炭及柱状活性炭。活性炭吸附的实质是利用活性炭吸附的特性把低浓度大风量废气中的有机溶剂吸附到活性炭中并浓缩，经活性炭吸附净化后的气体直接排空，其实质是一个吸附浓缩的过程，是一个物理过程。</w:t>
            </w:r>
          </w:p>
          <w:p>
            <w:pPr>
              <w:adjustRightInd w:val="0"/>
              <w:snapToGrid w:val="0"/>
              <w:spacing w:line="360" w:lineRule="auto"/>
              <w:ind w:firstLine="480" w:firstLineChars="200"/>
              <w:rPr>
                <w:bCs/>
                <w:sz w:val="24"/>
              </w:rPr>
            </w:pPr>
            <w:r>
              <w:rPr>
                <w:sz w:val="24"/>
              </w:rPr>
              <w:t>袋式除尘器主要工作原理：含尘气流从下部进入圆简形滤袋，在通过滤料的孔隙时，粉尘被捕集于滤料上，透过滤料的清洁气体由排出口排出。沉积在滤料上的粉尘，可在机械振动的作用下从滤料表面脱落，落入灰斗中。常用滤料由棉、毛、人造纤维等加工而成，新型滤料有玻璃纤维和微滤膜等，滤料本身网孔较小，一般为20-50μm</w:t>
            </w:r>
            <w:r>
              <w:rPr>
                <w:rFonts w:hint="eastAsia"/>
                <w:sz w:val="24"/>
              </w:rPr>
              <w:t>，</w:t>
            </w:r>
            <w:r>
              <w:rPr>
                <w:sz w:val="24"/>
              </w:rPr>
              <w:t>表面起绒的滤料为5-10</w:t>
            </w:r>
            <w:r>
              <w:rPr>
                <w:rFonts w:hint="eastAsia"/>
                <w:sz w:val="24"/>
              </w:rPr>
              <w:t>μ</w:t>
            </w:r>
            <w:r>
              <w:rPr>
                <w:sz w:val="24"/>
              </w:rPr>
              <w:t>m，而新型滤料的孔径在5μm以下。按不同粒径的粉尘在流体中运动的不同物理学特征，颗粒物通过惯性碰撞、截留、扩散、静电、筛滤等作用被捕集。此外，粉尘因截留、惯性碰撞、静电和扩散等作用，逐渐在滤袋表面形成粉尘层，常称为粉尘初层。初层形成后，它成为袋式除尘器的主要过滤层，提高了除尘效率。滤布只不过起着形成粉尘初层和支撑它的骨架作用，但随着粉尘在滤袋上积聚，滤袋两侧的压力差增大，会把有些已附在滤料上的细小粉尘挤压过去，使除尘效率下降。另外，若除尘器阻力过高，还会使除尘系统的处理气体量显著下降，影响生产系统的排风效果。因此，除尘器阻力达到一定的数值后，要及时清灰。</w:t>
            </w:r>
          </w:p>
          <w:p>
            <w:pPr>
              <w:adjustRightInd w:val="0"/>
              <w:snapToGrid w:val="0"/>
              <w:spacing w:line="360" w:lineRule="auto"/>
              <w:ind w:firstLine="480" w:firstLineChars="200"/>
              <w:rPr>
                <w:bCs/>
                <w:sz w:val="24"/>
              </w:rPr>
            </w:pPr>
            <w:r>
              <w:rPr>
                <w:rFonts w:hint="eastAsia"/>
                <w:bCs/>
                <w:sz w:val="24"/>
              </w:rPr>
              <w:t>活性炭吸附、</w:t>
            </w:r>
            <w:r>
              <w:rPr>
                <w:bCs/>
                <w:sz w:val="24"/>
              </w:rPr>
              <w:t>布袋除尘器为</w:t>
            </w:r>
            <w:r>
              <w:rPr>
                <w:szCs w:val="21"/>
              </w:rPr>
              <w:t>《</w:t>
            </w:r>
            <w:r>
              <w:rPr>
                <w:sz w:val="24"/>
              </w:rPr>
              <w:t>排污许可证申请与核发技术规范 废弃资源加工工业》（HJ 1034-2019）</w:t>
            </w:r>
            <w:r>
              <w:rPr>
                <w:bCs/>
                <w:sz w:val="24"/>
              </w:rPr>
              <w:t>中的可行技术，在严格按照评价提出的环保措施实施后，项目各项废气可实现达标排放，不会对区域环境空气质量产生明显影响。</w:t>
            </w:r>
          </w:p>
          <w:p>
            <w:pPr>
              <w:adjustRightInd w:val="0"/>
              <w:snapToGrid w:val="0"/>
              <w:spacing w:line="500" w:lineRule="exact"/>
              <w:rPr>
                <w:b/>
                <w:sz w:val="24"/>
              </w:rPr>
            </w:pPr>
            <w:r>
              <w:rPr>
                <w:rFonts w:hint="eastAsia"/>
                <w:b/>
                <w:sz w:val="24"/>
              </w:rPr>
              <w:t>4.2.1.</w:t>
            </w:r>
            <w:r>
              <w:rPr>
                <w:b/>
                <w:sz w:val="24"/>
              </w:rPr>
              <w:t>5</w:t>
            </w:r>
            <w:r>
              <w:rPr>
                <w:rFonts w:hint="eastAsia"/>
                <w:b/>
                <w:bCs/>
                <w:sz w:val="24"/>
              </w:rPr>
              <w:t>非正常工况污染物排放情况</w:t>
            </w:r>
          </w:p>
          <w:p>
            <w:pPr>
              <w:adjustRightInd w:val="0"/>
              <w:snapToGrid w:val="0"/>
              <w:spacing w:line="500" w:lineRule="exact"/>
              <w:ind w:firstLine="480" w:firstLineChars="200"/>
              <w:jc w:val="left"/>
              <w:rPr>
                <w:sz w:val="24"/>
              </w:rPr>
            </w:pPr>
            <w:r>
              <w:rPr>
                <w:rFonts w:hint="eastAsia"/>
                <w:sz w:val="24"/>
              </w:rPr>
              <w:t>本项目开、停机及检修时均不涉及废气的非正常排放。因此，非正常工况主要考虑废气处理设施故障时废气综合处理效率下降至</w:t>
            </w:r>
            <w:r>
              <w:rPr>
                <w:sz w:val="24"/>
              </w:rPr>
              <w:t>3</w:t>
            </w:r>
            <w:r>
              <w:rPr>
                <w:rFonts w:hint="eastAsia"/>
                <w:sz w:val="24"/>
              </w:rPr>
              <w:t>0%的状态，非正常排放情况详见表4.2.1-</w:t>
            </w:r>
            <w:r>
              <w:rPr>
                <w:sz w:val="24"/>
              </w:rPr>
              <w:t>9</w:t>
            </w:r>
            <w:r>
              <w:rPr>
                <w:rFonts w:hint="eastAsia"/>
                <w:sz w:val="24"/>
              </w:rPr>
              <w:t>。</w:t>
            </w:r>
          </w:p>
          <w:p>
            <w:pPr>
              <w:tabs>
                <w:tab w:val="left" w:pos="2520"/>
                <w:tab w:val="center" w:pos="4437"/>
              </w:tabs>
              <w:adjustRightInd w:val="0"/>
              <w:snapToGrid w:val="0"/>
              <w:spacing w:after="120" w:afterLines="50" w:line="500" w:lineRule="exact"/>
              <w:jc w:val="center"/>
              <w:rPr>
                <w:sz w:val="18"/>
                <w:szCs w:val="18"/>
              </w:rPr>
            </w:pPr>
            <w:r>
              <w:rPr>
                <w:sz w:val="18"/>
                <w:szCs w:val="18"/>
              </w:rPr>
              <w:t>表</w:t>
            </w:r>
            <w:r>
              <w:rPr>
                <w:rFonts w:hint="eastAsia"/>
                <w:sz w:val="18"/>
                <w:szCs w:val="18"/>
              </w:rPr>
              <w:t>4.2.1-</w:t>
            </w:r>
            <w:r>
              <w:rPr>
                <w:sz w:val="18"/>
                <w:szCs w:val="18"/>
              </w:rPr>
              <w:t>9</w:t>
            </w:r>
            <w:r>
              <w:rPr>
                <w:rFonts w:hint="eastAsia"/>
                <w:sz w:val="18"/>
                <w:szCs w:val="18"/>
              </w:rPr>
              <w:t xml:space="preserve"> </w:t>
            </w:r>
            <w:r>
              <w:rPr>
                <w:sz w:val="18"/>
                <w:szCs w:val="18"/>
              </w:rPr>
              <w:t>非正常工况废气排放情况表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
              <w:gridCol w:w="959"/>
              <w:gridCol w:w="2121"/>
              <w:gridCol w:w="1219"/>
              <w:gridCol w:w="1054"/>
              <w:gridCol w:w="754"/>
              <w:gridCol w:w="6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21" w:type="dxa"/>
                  <w:shd w:val="clear" w:color="auto" w:fill="auto"/>
                  <w:vAlign w:val="center"/>
                </w:tcPr>
                <w:p>
                  <w:pPr>
                    <w:widowControl/>
                    <w:spacing w:line="240" w:lineRule="exact"/>
                    <w:jc w:val="center"/>
                    <w:rPr>
                      <w:kern w:val="0"/>
                      <w:sz w:val="18"/>
                      <w:szCs w:val="18"/>
                    </w:rPr>
                  </w:pPr>
                  <w:r>
                    <w:rPr>
                      <w:kern w:val="0"/>
                      <w:sz w:val="18"/>
                      <w:szCs w:val="18"/>
                    </w:rPr>
                    <w:t>序号</w:t>
                  </w:r>
                </w:p>
              </w:tc>
              <w:tc>
                <w:tcPr>
                  <w:tcW w:w="968" w:type="dxa"/>
                  <w:shd w:val="clear" w:color="auto" w:fill="auto"/>
                  <w:vAlign w:val="center"/>
                </w:tcPr>
                <w:p>
                  <w:pPr>
                    <w:widowControl/>
                    <w:spacing w:line="240" w:lineRule="exact"/>
                    <w:jc w:val="center"/>
                    <w:rPr>
                      <w:kern w:val="0"/>
                      <w:sz w:val="18"/>
                      <w:szCs w:val="18"/>
                    </w:rPr>
                  </w:pPr>
                  <w:r>
                    <w:rPr>
                      <w:kern w:val="0"/>
                      <w:sz w:val="18"/>
                      <w:szCs w:val="18"/>
                    </w:rPr>
                    <w:t>污染源</w:t>
                  </w:r>
                </w:p>
              </w:tc>
              <w:tc>
                <w:tcPr>
                  <w:tcW w:w="2147" w:type="dxa"/>
                  <w:shd w:val="clear" w:color="auto" w:fill="auto"/>
                  <w:vAlign w:val="center"/>
                </w:tcPr>
                <w:p>
                  <w:pPr>
                    <w:widowControl/>
                    <w:spacing w:line="240" w:lineRule="exact"/>
                    <w:jc w:val="center"/>
                    <w:rPr>
                      <w:kern w:val="0"/>
                      <w:sz w:val="18"/>
                      <w:szCs w:val="18"/>
                    </w:rPr>
                  </w:pPr>
                  <w:r>
                    <w:rPr>
                      <w:kern w:val="0"/>
                      <w:sz w:val="18"/>
                      <w:szCs w:val="18"/>
                    </w:rPr>
                    <w:t>非正常排放原因</w:t>
                  </w:r>
                </w:p>
              </w:tc>
              <w:tc>
                <w:tcPr>
                  <w:tcW w:w="1233" w:type="dxa"/>
                  <w:shd w:val="clear" w:color="auto" w:fill="auto"/>
                  <w:vAlign w:val="center"/>
                </w:tcPr>
                <w:p>
                  <w:pPr>
                    <w:widowControl/>
                    <w:spacing w:line="240" w:lineRule="exact"/>
                    <w:jc w:val="center"/>
                    <w:rPr>
                      <w:kern w:val="0"/>
                      <w:sz w:val="18"/>
                      <w:szCs w:val="18"/>
                    </w:rPr>
                  </w:pPr>
                  <w:r>
                    <w:rPr>
                      <w:kern w:val="0"/>
                      <w:sz w:val="18"/>
                      <w:szCs w:val="18"/>
                    </w:rPr>
                    <w:t>污染物</w:t>
                  </w:r>
                </w:p>
              </w:tc>
              <w:tc>
                <w:tcPr>
                  <w:tcW w:w="1063" w:type="dxa"/>
                  <w:shd w:val="clear" w:color="auto" w:fill="auto"/>
                  <w:vAlign w:val="center"/>
                </w:tcPr>
                <w:p>
                  <w:pPr>
                    <w:widowControl/>
                    <w:spacing w:line="240" w:lineRule="exact"/>
                    <w:jc w:val="center"/>
                    <w:rPr>
                      <w:kern w:val="0"/>
                      <w:sz w:val="18"/>
                      <w:szCs w:val="18"/>
                    </w:rPr>
                  </w:pPr>
                  <w:r>
                    <w:rPr>
                      <w:kern w:val="0"/>
                      <w:sz w:val="18"/>
                      <w:szCs w:val="18"/>
                    </w:rPr>
                    <w:t>非正常排放速率kg/h</w:t>
                  </w:r>
                </w:p>
              </w:tc>
              <w:tc>
                <w:tcPr>
                  <w:tcW w:w="760" w:type="dxa"/>
                  <w:shd w:val="clear" w:color="auto" w:fill="auto"/>
                  <w:vAlign w:val="center"/>
                </w:tcPr>
                <w:p>
                  <w:pPr>
                    <w:widowControl/>
                    <w:spacing w:line="240" w:lineRule="exact"/>
                    <w:jc w:val="center"/>
                    <w:rPr>
                      <w:kern w:val="0"/>
                      <w:sz w:val="18"/>
                      <w:szCs w:val="18"/>
                    </w:rPr>
                  </w:pPr>
                  <w:r>
                    <w:rPr>
                      <w:kern w:val="0"/>
                      <w:sz w:val="18"/>
                      <w:szCs w:val="18"/>
                    </w:rPr>
                    <w:t>单次持续时间h</w:t>
                  </w:r>
                </w:p>
              </w:tc>
              <w:tc>
                <w:tcPr>
                  <w:tcW w:w="650" w:type="dxa"/>
                  <w:shd w:val="clear" w:color="auto" w:fill="auto"/>
                  <w:vAlign w:val="center"/>
                </w:tcPr>
                <w:p>
                  <w:pPr>
                    <w:widowControl/>
                    <w:spacing w:line="240" w:lineRule="exact"/>
                    <w:jc w:val="center"/>
                    <w:rPr>
                      <w:kern w:val="0"/>
                      <w:sz w:val="18"/>
                      <w:szCs w:val="18"/>
                    </w:rPr>
                  </w:pPr>
                  <w:r>
                    <w:rPr>
                      <w:kern w:val="0"/>
                      <w:sz w:val="18"/>
                      <w:szCs w:val="18"/>
                    </w:rPr>
                    <w:t>年发生频次</w:t>
                  </w:r>
                </w:p>
              </w:tc>
              <w:tc>
                <w:tcPr>
                  <w:tcW w:w="1257" w:type="dxa"/>
                  <w:shd w:val="clear" w:color="auto" w:fill="auto"/>
                  <w:vAlign w:val="center"/>
                </w:tcPr>
                <w:p>
                  <w:pPr>
                    <w:widowControl/>
                    <w:spacing w:line="240" w:lineRule="exact"/>
                    <w:jc w:val="center"/>
                    <w:rPr>
                      <w:kern w:val="0"/>
                      <w:sz w:val="18"/>
                      <w:szCs w:val="18"/>
                    </w:rPr>
                  </w:pPr>
                  <w:r>
                    <w:rPr>
                      <w:kern w:val="0"/>
                      <w:sz w:val="18"/>
                      <w:szCs w:val="18"/>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421" w:type="dxa"/>
                  <w:shd w:val="clear" w:color="auto" w:fill="auto"/>
                  <w:vAlign w:val="center"/>
                </w:tcPr>
                <w:p>
                  <w:pPr>
                    <w:widowControl/>
                    <w:spacing w:line="240" w:lineRule="exact"/>
                    <w:jc w:val="center"/>
                    <w:rPr>
                      <w:kern w:val="0"/>
                      <w:sz w:val="18"/>
                      <w:szCs w:val="18"/>
                    </w:rPr>
                  </w:pPr>
                  <w:r>
                    <w:rPr>
                      <w:kern w:val="0"/>
                      <w:sz w:val="18"/>
                      <w:szCs w:val="18"/>
                    </w:rPr>
                    <w:t>1</w:t>
                  </w:r>
                </w:p>
              </w:tc>
              <w:tc>
                <w:tcPr>
                  <w:tcW w:w="968" w:type="dxa"/>
                  <w:shd w:val="clear" w:color="auto" w:fill="auto"/>
                  <w:vAlign w:val="center"/>
                </w:tcPr>
                <w:p>
                  <w:pPr>
                    <w:widowControl/>
                    <w:spacing w:line="240" w:lineRule="exact"/>
                    <w:jc w:val="center"/>
                    <w:rPr>
                      <w:kern w:val="0"/>
                      <w:sz w:val="18"/>
                      <w:szCs w:val="18"/>
                    </w:rPr>
                  </w:pPr>
                  <w:r>
                    <w:rPr>
                      <w:sz w:val="18"/>
                      <w:szCs w:val="18"/>
                    </w:rPr>
                    <w:t>油液挥发废气</w:t>
                  </w:r>
                </w:p>
              </w:tc>
              <w:tc>
                <w:tcPr>
                  <w:tcW w:w="2147" w:type="dxa"/>
                  <w:shd w:val="clear" w:color="auto" w:fill="auto"/>
                  <w:vAlign w:val="center"/>
                </w:tcPr>
                <w:p>
                  <w:pPr>
                    <w:widowControl/>
                    <w:spacing w:line="240" w:lineRule="exact"/>
                    <w:jc w:val="center"/>
                    <w:rPr>
                      <w:kern w:val="0"/>
                      <w:sz w:val="18"/>
                      <w:szCs w:val="18"/>
                    </w:rPr>
                  </w:pPr>
                  <w:r>
                    <w:rPr>
                      <w:kern w:val="0"/>
                      <w:sz w:val="18"/>
                      <w:szCs w:val="18"/>
                    </w:rPr>
                    <w:t>生产废气集中处理系统设施故障，效率降低至30%</w:t>
                  </w:r>
                </w:p>
              </w:tc>
              <w:tc>
                <w:tcPr>
                  <w:tcW w:w="1233" w:type="dxa"/>
                  <w:shd w:val="clear" w:color="auto" w:fill="auto"/>
                  <w:vAlign w:val="center"/>
                </w:tcPr>
                <w:p>
                  <w:pPr>
                    <w:widowControl/>
                    <w:spacing w:line="240" w:lineRule="exact"/>
                    <w:jc w:val="center"/>
                    <w:rPr>
                      <w:kern w:val="0"/>
                      <w:sz w:val="18"/>
                      <w:szCs w:val="18"/>
                    </w:rPr>
                  </w:pPr>
                  <w:r>
                    <w:rPr>
                      <w:sz w:val="18"/>
                      <w:szCs w:val="18"/>
                    </w:rPr>
                    <w:t>非甲烷总烃</w:t>
                  </w:r>
                </w:p>
              </w:tc>
              <w:tc>
                <w:tcPr>
                  <w:tcW w:w="1063" w:type="dxa"/>
                  <w:shd w:val="clear" w:color="auto" w:fill="auto"/>
                  <w:vAlign w:val="center"/>
                </w:tcPr>
                <w:p>
                  <w:pPr>
                    <w:widowControl/>
                    <w:spacing w:line="240" w:lineRule="exact"/>
                    <w:jc w:val="center"/>
                    <w:rPr>
                      <w:kern w:val="0"/>
                      <w:sz w:val="18"/>
                      <w:szCs w:val="18"/>
                    </w:rPr>
                  </w:pPr>
                  <w:r>
                    <w:rPr>
                      <w:sz w:val="18"/>
                      <w:szCs w:val="18"/>
                    </w:rPr>
                    <w:t>0.07</w:t>
                  </w:r>
                </w:p>
              </w:tc>
              <w:tc>
                <w:tcPr>
                  <w:tcW w:w="760" w:type="dxa"/>
                  <w:shd w:val="clear" w:color="auto" w:fill="auto"/>
                  <w:vAlign w:val="center"/>
                </w:tcPr>
                <w:p>
                  <w:pPr>
                    <w:widowControl/>
                    <w:spacing w:line="240" w:lineRule="exact"/>
                    <w:jc w:val="center"/>
                    <w:rPr>
                      <w:kern w:val="0"/>
                      <w:sz w:val="18"/>
                      <w:szCs w:val="18"/>
                    </w:rPr>
                  </w:pPr>
                  <w:r>
                    <w:rPr>
                      <w:kern w:val="0"/>
                      <w:sz w:val="18"/>
                      <w:szCs w:val="18"/>
                    </w:rPr>
                    <w:t>1</w:t>
                  </w:r>
                </w:p>
              </w:tc>
              <w:tc>
                <w:tcPr>
                  <w:tcW w:w="650" w:type="dxa"/>
                  <w:shd w:val="clear" w:color="auto" w:fill="auto"/>
                  <w:vAlign w:val="center"/>
                </w:tcPr>
                <w:p>
                  <w:pPr>
                    <w:widowControl/>
                    <w:spacing w:line="240" w:lineRule="exact"/>
                    <w:jc w:val="center"/>
                    <w:rPr>
                      <w:kern w:val="0"/>
                      <w:sz w:val="18"/>
                      <w:szCs w:val="18"/>
                    </w:rPr>
                  </w:pPr>
                  <w:r>
                    <w:rPr>
                      <w:kern w:val="0"/>
                      <w:sz w:val="18"/>
                      <w:szCs w:val="18"/>
                    </w:rPr>
                    <w:t>1</w:t>
                  </w:r>
                </w:p>
              </w:tc>
              <w:tc>
                <w:tcPr>
                  <w:tcW w:w="1257" w:type="dxa"/>
                  <w:shd w:val="clear" w:color="auto" w:fill="auto"/>
                  <w:vAlign w:val="center"/>
                </w:tcPr>
                <w:p>
                  <w:pPr>
                    <w:widowControl/>
                    <w:spacing w:line="240" w:lineRule="exact"/>
                    <w:jc w:val="center"/>
                    <w:rPr>
                      <w:kern w:val="0"/>
                      <w:sz w:val="18"/>
                      <w:szCs w:val="18"/>
                    </w:rPr>
                  </w:pPr>
                  <w:r>
                    <w:rPr>
                      <w:kern w:val="0"/>
                      <w:sz w:val="18"/>
                      <w:szCs w:val="18"/>
                    </w:rPr>
                    <w:t>停止生产，立即维修</w:t>
                  </w:r>
                </w:p>
              </w:tc>
            </w:tr>
          </w:tbl>
          <w:p>
            <w:pPr>
              <w:adjustRightInd w:val="0"/>
              <w:snapToGrid w:val="0"/>
              <w:spacing w:line="360" w:lineRule="auto"/>
              <w:ind w:firstLine="29" w:firstLineChars="12"/>
              <w:rPr>
                <w:b/>
                <w:bCs/>
                <w:sz w:val="24"/>
              </w:rPr>
            </w:pPr>
            <w:r>
              <w:rPr>
                <w:rFonts w:hint="eastAsia"/>
                <w:b/>
                <w:bCs/>
                <w:sz w:val="24"/>
              </w:rPr>
              <w:t>4.2.2废水</w:t>
            </w:r>
          </w:p>
          <w:p>
            <w:pPr>
              <w:adjustRightInd w:val="0"/>
              <w:snapToGrid w:val="0"/>
              <w:spacing w:line="360" w:lineRule="auto"/>
              <w:rPr>
                <w:b/>
                <w:bCs/>
                <w:sz w:val="24"/>
              </w:rPr>
            </w:pPr>
            <w:r>
              <w:rPr>
                <w:rFonts w:hint="eastAsia"/>
                <w:b/>
                <w:bCs/>
                <w:sz w:val="24"/>
              </w:rPr>
              <w:t>4.2.2.1废水源强核算过程</w:t>
            </w:r>
          </w:p>
          <w:p>
            <w:pPr>
              <w:spacing w:line="360" w:lineRule="auto"/>
              <w:ind w:firstLine="480" w:firstLineChars="200"/>
              <w:rPr>
                <w:sz w:val="24"/>
              </w:rPr>
            </w:pPr>
            <w:r>
              <w:rPr>
                <w:sz w:val="24"/>
              </w:rPr>
              <w:t>拟建项目废水主要包括</w:t>
            </w:r>
            <w:r>
              <w:rPr>
                <w:rFonts w:hint="eastAsia"/>
                <w:sz w:val="24"/>
              </w:rPr>
              <w:t>地面清洁废水、生活污水（含食堂废水）和初期雨水</w:t>
            </w:r>
            <w:r>
              <w:rPr>
                <w:sz w:val="24"/>
              </w:rPr>
              <w:t>。</w:t>
            </w:r>
          </w:p>
          <w:p>
            <w:pPr>
              <w:autoSpaceDE w:val="0"/>
              <w:autoSpaceDN w:val="0"/>
              <w:adjustRightInd w:val="0"/>
              <w:spacing w:line="360" w:lineRule="auto"/>
              <w:ind w:firstLine="480" w:firstLineChars="200"/>
              <w:rPr>
                <w:sz w:val="24"/>
              </w:rPr>
            </w:pPr>
            <w:r>
              <w:rPr>
                <w:rFonts w:hint="eastAsia"/>
                <w:sz w:val="24"/>
              </w:rPr>
              <w:t>（</w:t>
            </w:r>
            <w:r>
              <w:rPr>
                <w:sz w:val="24"/>
              </w:rPr>
              <w:t>1</w:t>
            </w:r>
            <w:r>
              <w:rPr>
                <w:rFonts w:hint="eastAsia"/>
                <w:sz w:val="24"/>
              </w:rPr>
              <w:t>）地面清洁</w:t>
            </w:r>
            <w:r>
              <w:rPr>
                <w:sz w:val="24"/>
              </w:rPr>
              <w:t>废水</w:t>
            </w:r>
          </w:p>
          <w:p>
            <w:pPr>
              <w:autoSpaceDE w:val="0"/>
              <w:autoSpaceDN w:val="0"/>
              <w:adjustRightInd w:val="0"/>
              <w:spacing w:line="360" w:lineRule="auto"/>
              <w:ind w:firstLine="480" w:firstLineChars="200"/>
              <w:rPr>
                <w:kern w:val="0"/>
                <w:sz w:val="24"/>
              </w:rPr>
            </w:pPr>
            <w:r>
              <w:rPr>
                <w:rFonts w:hint="eastAsia"/>
                <w:kern w:val="0"/>
                <w:sz w:val="24"/>
              </w:rPr>
              <w:t>车间地坪清洗采用拖地方式进行，平均5天清洁一次，车间需要清洁的地面面积约</w:t>
            </w:r>
            <w:r>
              <w:rPr>
                <w:kern w:val="0"/>
                <w:sz w:val="24"/>
              </w:rPr>
              <w:t>2687.5</w:t>
            </w:r>
            <w:r>
              <w:rPr>
                <w:rFonts w:hint="eastAsia"/>
                <w:kern w:val="0"/>
                <w:sz w:val="24"/>
              </w:rPr>
              <w:t>m</w:t>
            </w:r>
            <w:r>
              <w:rPr>
                <w:rFonts w:hint="eastAsia"/>
                <w:kern w:val="0"/>
                <w:sz w:val="24"/>
                <w:vertAlign w:val="superscript"/>
              </w:rPr>
              <w:t>2</w:t>
            </w:r>
            <w:r>
              <w:rPr>
                <w:rFonts w:hint="eastAsia"/>
                <w:kern w:val="0"/>
                <w:sz w:val="24"/>
              </w:rPr>
              <w:t>，用水量按2L/m</w:t>
            </w:r>
            <w:r>
              <w:rPr>
                <w:rFonts w:hint="eastAsia"/>
                <w:kern w:val="0"/>
                <w:sz w:val="24"/>
                <w:vertAlign w:val="superscript"/>
              </w:rPr>
              <w:t>2</w:t>
            </w:r>
            <w:r>
              <w:rPr>
                <w:rFonts w:hint="eastAsia"/>
                <w:kern w:val="0"/>
                <w:sz w:val="24"/>
              </w:rPr>
              <w:t>计，一次用水量为</w:t>
            </w:r>
            <w:r>
              <w:rPr>
                <w:kern w:val="0"/>
                <w:sz w:val="24"/>
              </w:rPr>
              <w:t>5.38</w:t>
            </w:r>
            <w:r>
              <w:rPr>
                <w:rFonts w:hint="eastAsia"/>
                <w:kern w:val="0"/>
                <w:sz w:val="24"/>
              </w:rPr>
              <w:t>m</w:t>
            </w:r>
            <w:r>
              <w:rPr>
                <w:rFonts w:hint="eastAsia"/>
                <w:kern w:val="0"/>
                <w:sz w:val="24"/>
                <w:vertAlign w:val="superscript"/>
              </w:rPr>
              <w:t>3</w:t>
            </w:r>
            <w:r>
              <w:rPr>
                <w:rFonts w:hint="eastAsia"/>
                <w:kern w:val="0"/>
                <w:sz w:val="24"/>
              </w:rPr>
              <w:t>/次（</w:t>
            </w:r>
            <w:r>
              <w:rPr>
                <w:kern w:val="0"/>
                <w:sz w:val="24"/>
              </w:rPr>
              <w:t>355.08</w:t>
            </w:r>
            <w:r>
              <w:rPr>
                <w:rFonts w:hint="eastAsia"/>
                <w:kern w:val="0"/>
                <w:sz w:val="24"/>
              </w:rPr>
              <w:t>m</w:t>
            </w:r>
            <w:r>
              <w:rPr>
                <w:rFonts w:hint="eastAsia"/>
                <w:kern w:val="0"/>
                <w:sz w:val="24"/>
                <w:vertAlign w:val="superscript"/>
              </w:rPr>
              <w:t>3</w:t>
            </w:r>
            <w:r>
              <w:rPr>
                <w:rFonts w:hint="eastAsia"/>
                <w:kern w:val="0"/>
                <w:sz w:val="24"/>
              </w:rPr>
              <w:t>/a），废水量按其用量的90%计，则地面清洗废水为</w:t>
            </w:r>
            <w:r>
              <w:rPr>
                <w:kern w:val="0"/>
                <w:sz w:val="24"/>
              </w:rPr>
              <w:t>4.84</w:t>
            </w:r>
            <w:r>
              <w:rPr>
                <w:rFonts w:hint="eastAsia"/>
                <w:kern w:val="0"/>
                <w:sz w:val="24"/>
              </w:rPr>
              <w:t>m</w:t>
            </w:r>
            <w:r>
              <w:rPr>
                <w:rFonts w:hint="eastAsia"/>
                <w:kern w:val="0"/>
                <w:sz w:val="24"/>
                <w:vertAlign w:val="superscript"/>
              </w:rPr>
              <w:t>3</w:t>
            </w:r>
            <w:r>
              <w:rPr>
                <w:rFonts w:hint="eastAsia"/>
                <w:kern w:val="0"/>
                <w:sz w:val="24"/>
              </w:rPr>
              <w:t>/次（</w:t>
            </w:r>
            <w:r>
              <w:rPr>
                <w:kern w:val="0"/>
                <w:sz w:val="24"/>
              </w:rPr>
              <w:t>319.44</w:t>
            </w:r>
            <w:r>
              <w:rPr>
                <w:rFonts w:hint="eastAsia"/>
                <w:kern w:val="0"/>
                <w:sz w:val="24"/>
              </w:rPr>
              <w:t>m</w:t>
            </w:r>
            <w:r>
              <w:rPr>
                <w:rFonts w:hint="eastAsia"/>
                <w:kern w:val="0"/>
                <w:sz w:val="24"/>
                <w:vertAlign w:val="superscript"/>
              </w:rPr>
              <w:t>3</w:t>
            </w:r>
            <w:r>
              <w:rPr>
                <w:rFonts w:hint="eastAsia"/>
                <w:kern w:val="0"/>
                <w:sz w:val="24"/>
              </w:rPr>
              <w:t>/a），</w:t>
            </w:r>
            <w:r>
              <w:rPr>
                <w:kern w:val="0"/>
                <w:sz w:val="24"/>
              </w:rPr>
              <w:t>主要污染物浓度分别为：</w:t>
            </w:r>
            <w:r>
              <w:rPr>
                <w:rFonts w:hint="eastAsia"/>
                <w:kern w:val="0"/>
                <w:sz w:val="24"/>
              </w:rPr>
              <w:t>COD 600mg/l、BOD</w:t>
            </w:r>
            <w:r>
              <w:rPr>
                <w:rFonts w:hint="eastAsia"/>
                <w:kern w:val="0"/>
                <w:sz w:val="24"/>
                <w:vertAlign w:val="subscript"/>
              </w:rPr>
              <w:t xml:space="preserve">5 </w:t>
            </w:r>
            <w:r>
              <w:rPr>
                <w:rFonts w:hint="eastAsia"/>
                <w:kern w:val="0"/>
                <w:sz w:val="24"/>
              </w:rPr>
              <w:t>250mg/l、SS 400mg/l、NH</w:t>
            </w:r>
            <w:r>
              <w:rPr>
                <w:rFonts w:hint="eastAsia"/>
                <w:kern w:val="0"/>
                <w:sz w:val="24"/>
                <w:vertAlign w:val="subscript"/>
              </w:rPr>
              <w:t>3</w:t>
            </w:r>
            <w:r>
              <w:rPr>
                <w:rFonts w:hint="eastAsia"/>
                <w:kern w:val="0"/>
                <w:sz w:val="24"/>
              </w:rPr>
              <w:t>-N 20mg/L、石油类</w:t>
            </w:r>
            <w:r>
              <w:rPr>
                <w:kern w:val="0"/>
                <w:sz w:val="24"/>
              </w:rPr>
              <w:t>100</w:t>
            </w:r>
            <w:r>
              <w:rPr>
                <w:rFonts w:hint="eastAsia"/>
                <w:kern w:val="0"/>
                <w:sz w:val="24"/>
              </w:rPr>
              <w:t>mg/L。</w:t>
            </w:r>
          </w:p>
          <w:p>
            <w:pPr>
              <w:autoSpaceDE w:val="0"/>
              <w:autoSpaceDN w:val="0"/>
              <w:adjustRightInd w:val="0"/>
              <w:spacing w:line="360" w:lineRule="auto"/>
              <w:ind w:firstLine="480" w:firstLineChars="200"/>
              <w:rPr>
                <w:kern w:val="0"/>
                <w:sz w:val="24"/>
              </w:rPr>
            </w:pPr>
            <w:r>
              <w:rPr>
                <w:rFonts w:hint="eastAsia"/>
                <w:kern w:val="0"/>
                <w:sz w:val="24"/>
              </w:rPr>
              <w:t>（2）生活污水（含食堂废水）</w:t>
            </w:r>
          </w:p>
          <w:p>
            <w:pPr>
              <w:autoSpaceDE w:val="0"/>
              <w:autoSpaceDN w:val="0"/>
              <w:adjustRightInd w:val="0"/>
              <w:spacing w:line="360" w:lineRule="auto"/>
              <w:ind w:firstLine="480" w:firstLineChars="200"/>
              <w:rPr>
                <w:kern w:val="0"/>
                <w:sz w:val="24"/>
              </w:rPr>
            </w:pPr>
            <w:r>
              <w:rPr>
                <w:rFonts w:hint="eastAsia"/>
                <w:kern w:val="0"/>
                <w:sz w:val="24"/>
              </w:rPr>
              <w:t>拟建项目劳动定员</w:t>
            </w:r>
            <w:r>
              <w:rPr>
                <w:kern w:val="0"/>
                <w:sz w:val="24"/>
              </w:rPr>
              <w:t>100</w:t>
            </w:r>
            <w:r>
              <w:rPr>
                <w:rFonts w:hint="eastAsia"/>
                <w:kern w:val="0"/>
                <w:sz w:val="24"/>
              </w:rPr>
              <w:t>人，生活用水量按100L/人·d计（含食堂用水），产生的污水量按其用量的90%计，则将用水量为</w:t>
            </w:r>
            <w:r>
              <w:rPr>
                <w:kern w:val="0"/>
                <w:sz w:val="24"/>
              </w:rPr>
              <w:t>10</w:t>
            </w:r>
            <w:r>
              <w:rPr>
                <w:rFonts w:hint="eastAsia"/>
                <w:kern w:val="0"/>
                <w:sz w:val="24"/>
              </w:rPr>
              <w:t>m</w:t>
            </w:r>
            <w:r>
              <w:rPr>
                <w:rFonts w:hint="eastAsia"/>
                <w:kern w:val="0"/>
                <w:sz w:val="24"/>
                <w:vertAlign w:val="superscript"/>
              </w:rPr>
              <w:t>3</w:t>
            </w:r>
            <w:r>
              <w:rPr>
                <w:rFonts w:hint="eastAsia"/>
                <w:kern w:val="0"/>
                <w:sz w:val="24"/>
              </w:rPr>
              <w:t>/d（</w:t>
            </w:r>
            <w:r>
              <w:rPr>
                <w:kern w:val="0"/>
                <w:sz w:val="24"/>
              </w:rPr>
              <w:t>330</w:t>
            </w:r>
            <w:r>
              <w:rPr>
                <w:rFonts w:hint="eastAsia"/>
                <w:kern w:val="0"/>
                <w:sz w:val="24"/>
              </w:rPr>
              <w:t>0m</w:t>
            </w:r>
            <w:r>
              <w:rPr>
                <w:rFonts w:hint="eastAsia"/>
                <w:kern w:val="0"/>
                <w:sz w:val="24"/>
                <w:vertAlign w:val="superscript"/>
              </w:rPr>
              <w:t>3</w:t>
            </w:r>
            <w:r>
              <w:rPr>
                <w:rFonts w:hint="eastAsia"/>
                <w:kern w:val="0"/>
                <w:sz w:val="24"/>
              </w:rPr>
              <w:t>/a），排水量为</w:t>
            </w:r>
            <w:r>
              <w:rPr>
                <w:kern w:val="0"/>
                <w:sz w:val="24"/>
              </w:rPr>
              <w:t>9</w:t>
            </w:r>
            <w:r>
              <w:rPr>
                <w:rFonts w:hint="eastAsia"/>
                <w:kern w:val="0"/>
                <w:sz w:val="24"/>
              </w:rPr>
              <w:t>m</w:t>
            </w:r>
            <w:r>
              <w:rPr>
                <w:rFonts w:hint="eastAsia"/>
                <w:kern w:val="0"/>
                <w:sz w:val="24"/>
                <w:vertAlign w:val="superscript"/>
              </w:rPr>
              <w:t>3</w:t>
            </w:r>
            <w:r>
              <w:rPr>
                <w:rFonts w:hint="eastAsia"/>
                <w:kern w:val="0"/>
                <w:sz w:val="24"/>
              </w:rPr>
              <w:t>/d（</w:t>
            </w:r>
            <w:r>
              <w:rPr>
                <w:kern w:val="0"/>
                <w:sz w:val="24"/>
              </w:rPr>
              <w:t>297</w:t>
            </w:r>
            <w:r>
              <w:rPr>
                <w:rFonts w:hint="eastAsia"/>
                <w:kern w:val="0"/>
                <w:sz w:val="24"/>
              </w:rPr>
              <w:t>0m</w:t>
            </w:r>
            <w:r>
              <w:rPr>
                <w:rFonts w:hint="eastAsia"/>
                <w:kern w:val="0"/>
                <w:sz w:val="24"/>
                <w:vertAlign w:val="superscript"/>
              </w:rPr>
              <w:t>3</w:t>
            </w:r>
            <w:r>
              <w:rPr>
                <w:rFonts w:hint="eastAsia"/>
                <w:kern w:val="0"/>
                <w:sz w:val="24"/>
              </w:rPr>
              <w:t>/a），主要污染物为COD 400mg/l、BOD</w:t>
            </w:r>
            <w:r>
              <w:rPr>
                <w:rFonts w:hint="eastAsia"/>
                <w:kern w:val="0"/>
                <w:sz w:val="24"/>
                <w:vertAlign w:val="subscript"/>
              </w:rPr>
              <w:t>5</w:t>
            </w:r>
            <w:r>
              <w:rPr>
                <w:rFonts w:hint="eastAsia"/>
                <w:kern w:val="0"/>
                <w:sz w:val="24"/>
              </w:rPr>
              <w:t xml:space="preserve"> 80mg/l、SS 250mg/l、NH</w:t>
            </w:r>
            <w:r>
              <w:rPr>
                <w:rFonts w:hint="eastAsia"/>
                <w:kern w:val="0"/>
                <w:sz w:val="24"/>
                <w:vertAlign w:val="subscript"/>
              </w:rPr>
              <w:t>3</w:t>
            </w:r>
            <w:r>
              <w:rPr>
                <w:rFonts w:hint="eastAsia"/>
                <w:kern w:val="0"/>
                <w:sz w:val="24"/>
              </w:rPr>
              <w:t>-N 40mg/l、动植物油50mg/l、</w:t>
            </w:r>
            <w:r>
              <w:rPr>
                <w:rFonts w:hint="eastAsia"/>
                <w:sz w:val="24"/>
              </w:rPr>
              <w:t>总氮60</w:t>
            </w:r>
            <w:r>
              <w:rPr>
                <w:sz w:val="24"/>
              </w:rPr>
              <w:t>mg/L</w:t>
            </w:r>
            <w:r>
              <w:rPr>
                <w:rFonts w:hint="eastAsia"/>
                <w:sz w:val="24"/>
              </w:rPr>
              <w:t>，总磷5</w:t>
            </w:r>
            <w:r>
              <w:rPr>
                <w:sz w:val="24"/>
              </w:rPr>
              <w:t>mg/L。</w:t>
            </w:r>
            <w:r>
              <w:rPr>
                <w:rFonts w:hint="eastAsia"/>
                <w:kern w:val="0"/>
                <w:sz w:val="24"/>
              </w:rPr>
              <w:t>食堂废水经隔油处理后和其他生活污水一起作为低浓度废水去公司污水处理站进行处理。</w:t>
            </w:r>
          </w:p>
          <w:p>
            <w:pPr>
              <w:autoSpaceDE w:val="0"/>
              <w:autoSpaceDN w:val="0"/>
              <w:adjustRightInd w:val="0"/>
              <w:spacing w:line="360" w:lineRule="auto"/>
              <w:ind w:firstLine="480" w:firstLineChars="200"/>
              <w:rPr>
                <w:kern w:val="0"/>
                <w:sz w:val="24"/>
              </w:rPr>
            </w:pPr>
            <w:r>
              <w:rPr>
                <w:rFonts w:hint="eastAsia"/>
                <w:kern w:val="0"/>
                <w:sz w:val="24"/>
              </w:rPr>
              <w:t>（3）初期雨水</w:t>
            </w:r>
          </w:p>
          <w:p>
            <w:pPr>
              <w:autoSpaceDE w:val="0"/>
              <w:autoSpaceDN w:val="0"/>
              <w:adjustRightInd w:val="0"/>
              <w:spacing w:line="360" w:lineRule="auto"/>
              <w:ind w:firstLine="480" w:firstLineChars="200"/>
              <w:rPr>
                <w:sz w:val="24"/>
              </w:rPr>
            </w:pPr>
            <w:r>
              <w:rPr>
                <w:rFonts w:hint="eastAsia"/>
                <w:sz w:val="24"/>
              </w:rPr>
              <w:t>本项目整体位于封闭厂房内，厂房及厂区道路地面均进行硬化处理，故本次评价仅考虑厂房四周两侧道路裸露地面的初期雨水收集，该区域初期雨水接触废油等污染物较少。</w:t>
            </w:r>
          </w:p>
          <w:p>
            <w:pPr>
              <w:spacing w:line="480" w:lineRule="exact"/>
              <w:ind w:firstLine="480"/>
              <w:rPr>
                <w:sz w:val="24"/>
              </w:rPr>
            </w:pPr>
            <w:r>
              <w:rPr>
                <w:rFonts w:hint="eastAsia"/>
                <w:sz w:val="24"/>
              </w:rPr>
              <w:t>本评价按最不利的暴雨情况下，前15mim产生的初期雨水计算：</w:t>
            </w:r>
          </w:p>
          <w:p>
            <w:pPr>
              <w:spacing w:line="480" w:lineRule="exact"/>
              <w:ind w:firstLine="480"/>
              <w:jc w:val="center"/>
              <w:rPr>
                <w:sz w:val="24"/>
              </w:rPr>
            </w:pPr>
            <w:r>
              <w:rPr>
                <w:rFonts w:hint="eastAsia"/>
                <w:sz w:val="24"/>
              </w:rPr>
              <w:t>V=Qt</w:t>
            </w:r>
          </w:p>
          <w:p>
            <w:pPr>
              <w:spacing w:line="480" w:lineRule="exact"/>
              <w:ind w:firstLine="480"/>
              <w:jc w:val="center"/>
              <w:rPr>
                <w:sz w:val="24"/>
              </w:rPr>
            </w:pPr>
            <w:r>
              <w:rPr>
                <w:sz w:val="24"/>
              </w:rPr>
              <w:t>Q= qψF</w:t>
            </w:r>
          </w:p>
          <w:p>
            <w:pPr>
              <w:spacing w:line="480" w:lineRule="exact"/>
              <w:ind w:firstLine="480"/>
              <w:rPr>
                <w:sz w:val="24"/>
              </w:rPr>
            </w:pPr>
            <w:r>
              <w:rPr>
                <w:rFonts w:hint="eastAsia"/>
                <w:sz w:val="24"/>
              </w:rPr>
              <w:t>式中：V—发生事故时可能进入该收集系统的降雨量，m</w:t>
            </w:r>
            <w:r>
              <w:rPr>
                <w:rFonts w:hint="eastAsia"/>
                <w:sz w:val="24"/>
                <w:vertAlign w:val="superscript"/>
              </w:rPr>
              <w:t>3</w:t>
            </w:r>
            <w:r>
              <w:rPr>
                <w:rFonts w:hint="eastAsia"/>
                <w:sz w:val="24"/>
              </w:rPr>
              <w:t>。</w:t>
            </w:r>
          </w:p>
          <w:p>
            <w:pPr>
              <w:spacing w:line="480" w:lineRule="exact"/>
              <w:ind w:firstLine="1168" w:firstLineChars="487"/>
              <w:rPr>
                <w:sz w:val="24"/>
              </w:rPr>
            </w:pPr>
            <w:r>
              <w:rPr>
                <w:rFonts w:hint="eastAsia"/>
                <w:sz w:val="24"/>
              </w:rPr>
              <w:t>Q—雨水设计流量（L/s）；</w:t>
            </w:r>
          </w:p>
          <w:p>
            <w:pPr>
              <w:spacing w:line="480" w:lineRule="exact"/>
              <w:ind w:firstLine="1168" w:firstLineChars="487"/>
              <w:rPr>
                <w:sz w:val="24"/>
              </w:rPr>
            </w:pPr>
            <w:r>
              <w:rPr>
                <w:rFonts w:hint="eastAsia"/>
                <w:sz w:val="24"/>
              </w:rPr>
              <w:t>q—设计暴雨强度（L/s•ha）；</w:t>
            </w:r>
          </w:p>
          <w:p>
            <w:pPr>
              <w:spacing w:line="480" w:lineRule="exact"/>
              <w:ind w:firstLine="1168" w:firstLineChars="487"/>
              <w:rPr>
                <w:sz w:val="24"/>
              </w:rPr>
            </w:pPr>
            <w:r>
              <w:rPr>
                <w:rFonts w:hint="eastAsia"/>
                <w:sz w:val="24"/>
              </w:rPr>
              <w:t>ψ—径流系数（0.4-0.9，取0.5）；</w:t>
            </w:r>
          </w:p>
          <w:p>
            <w:pPr>
              <w:spacing w:line="480" w:lineRule="exact"/>
              <w:ind w:firstLine="1168" w:firstLineChars="487"/>
              <w:rPr>
                <w:sz w:val="24"/>
              </w:rPr>
            </w:pPr>
            <w:r>
              <w:rPr>
                <w:rFonts w:hint="eastAsia"/>
                <w:sz w:val="24"/>
              </w:rPr>
              <w:t>F—汇水面积，约</w:t>
            </w:r>
            <w:r>
              <w:rPr>
                <w:sz w:val="24"/>
              </w:rPr>
              <w:t>0.3</w:t>
            </w:r>
            <w:r>
              <w:rPr>
                <w:rFonts w:hint="eastAsia"/>
                <w:sz w:val="24"/>
              </w:rPr>
              <w:t>ha。</w:t>
            </w:r>
          </w:p>
          <w:p>
            <w:pPr>
              <w:spacing w:line="480" w:lineRule="exact"/>
              <w:ind w:firstLine="480"/>
              <w:rPr>
                <w:sz w:val="24"/>
              </w:rPr>
            </w:pPr>
            <w:r>
              <w:rPr>
                <w:rFonts w:hint="eastAsia"/>
                <w:sz w:val="24"/>
              </w:rPr>
              <w:t>根据《重庆市城乡建设委员会关于发布重庆市暴雨强度修订公式及设计暴雨雨型的通知》（渝建〔2017〕443号文），大足区暴雨强度公式如下：</w:t>
            </w:r>
          </w:p>
          <w:p>
            <w:pPr>
              <w:jc w:val="center"/>
              <w:rPr>
                <w:sz w:val="24"/>
              </w:rPr>
            </w:pPr>
            <w:r>
              <w:drawing>
                <wp:inline distT="0" distB="0" distL="0" distR="0">
                  <wp:extent cx="2842895" cy="70612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2843213" cy="706671"/>
                          </a:xfrm>
                          <a:prstGeom prst="rect">
                            <a:avLst/>
                          </a:prstGeom>
                        </pic:spPr>
                      </pic:pic>
                    </a:graphicData>
                  </a:graphic>
                </wp:inline>
              </w:drawing>
            </w:r>
          </w:p>
          <w:p>
            <w:pPr>
              <w:spacing w:line="480" w:lineRule="exact"/>
              <w:ind w:firstLine="480" w:firstLineChars="200"/>
              <w:rPr>
                <w:sz w:val="24"/>
              </w:rPr>
            </w:pPr>
            <w:r>
              <w:rPr>
                <w:rFonts w:hint="eastAsia"/>
                <w:sz w:val="24"/>
              </w:rPr>
              <w:t>式中：重现期P=3年、地面集流时间t=15min，计算得设计暴雨强度q=2</w:t>
            </w:r>
            <w:r>
              <w:rPr>
                <w:sz w:val="24"/>
              </w:rPr>
              <w:t>57.65</w:t>
            </w:r>
            <w:r>
              <w:rPr>
                <w:rFonts w:hint="eastAsia"/>
                <w:sz w:val="24"/>
              </w:rPr>
              <w:t>(升/ 秒•公顷)，雨水设计流量Q=</w:t>
            </w:r>
            <w:r>
              <w:rPr>
                <w:sz w:val="24"/>
              </w:rPr>
              <w:t>38.65</w:t>
            </w:r>
            <w:r>
              <w:rPr>
                <w:rFonts w:hint="eastAsia"/>
                <w:sz w:val="24"/>
              </w:rPr>
              <w:t>（L/s），历时15min，降雨量V=</w:t>
            </w:r>
            <w:r>
              <w:rPr>
                <w:sz w:val="24"/>
              </w:rPr>
              <w:t>34.79</w:t>
            </w:r>
            <w:r>
              <w:rPr>
                <w:rFonts w:hint="eastAsia"/>
                <w:sz w:val="24"/>
              </w:rPr>
              <w:t>m</w:t>
            </w:r>
            <w:r>
              <w:rPr>
                <w:rFonts w:hint="eastAsia"/>
                <w:sz w:val="24"/>
                <w:vertAlign w:val="superscript"/>
              </w:rPr>
              <w:t>3</w:t>
            </w:r>
            <w:r>
              <w:rPr>
                <w:rFonts w:hint="eastAsia"/>
                <w:sz w:val="24"/>
              </w:rPr>
              <w:t>。该初期雨水收集进入厂区事故池后进入污水处理站处理，主要污染物为</w:t>
            </w:r>
            <w:r>
              <w:rPr>
                <w:kern w:val="0"/>
                <w:sz w:val="24"/>
              </w:rPr>
              <w:t>COD、</w:t>
            </w:r>
            <w:r>
              <w:rPr>
                <w:rFonts w:hint="eastAsia"/>
                <w:kern w:val="0"/>
                <w:sz w:val="24"/>
              </w:rPr>
              <w:t>BOD</w:t>
            </w:r>
            <w:r>
              <w:rPr>
                <w:kern w:val="0"/>
                <w:sz w:val="24"/>
                <w:vertAlign w:val="subscript"/>
              </w:rPr>
              <w:t>5</w:t>
            </w:r>
            <w:r>
              <w:rPr>
                <w:rFonts w:hint="eastAsia"/>
                <w:kern w:val="0"/>
                <w:sz w:val="24"/>
              </w:rPr>
              <w:t>、NH</w:t>
            </w:r>
            <w:r>
              <w:rPr>
                <w:rFonts w:hint="eastAsia"/>
                <w:kern w:val="0"/>
                <w:sz w:val="24"/>
                <w:vertAlign w:val="subscript"/>
              </w:rPr>
              <w:t>3</w:t>
            </w:r>
            <w:r>
              <w:rPr>
                <w:rFonts w:hint="eastAsia"/>
                <w:kern w:val="0"/>
                <w:sz w:val="24"/>
              </w:rPr>
              <w:t>-N、</w:t>
            </w:r>
            <w:r>
              <w:rPr>
                <w:kern w:val="0"/>
                <w:sz w:val="24"/>
              </w:rPr>
              <w:t>SS、石油类</w:t>
            </w:r>
            <w:r>
              <w:rPr>
                <w:rFonts w:hint="eastAsia"/>
                <w:sz w:val="24"/>
              </w:rPr>
              <w:t>。项目建设1座事故池（容积约</w:t>
            </w:r>
            <w:r>
              <w:rPr>
                <w:sz w:val="24"/>
              </w:rPr>
              <w:t>550</w:t>
            </w:r>
            <w:r>
              <w:rPr>
                <w:rFonts w:hint="eastAsia"/>
                <w:sz w:val="24"/>
              </w:rPr>
              <w:t>m</w:t>
            </w:r>
            <w:r>
              <w:rPr>
                <w:rFonts w:hint="eastAsia"/>
                <w:sz w:val="24"/>
                <w:vertAlign w:val="superscript"/>
              </w:rPr>
              <w:t>3</w:t>
            </w:r>
            <w:r>
              <w:rPr>
                <w:rFonts w:hint="eastAsia"/>
                <w:sz w:val="24"/>
              </w:rPr>
              <w:t>）配套设置切换阀井用于收集露天地面初期雨水和其余事故废水，按照少量多次的方式排入生产废水处理站统一处理。</w:t>
            </w:r>
          </w:p>
          <w:p>
            <w:pPr>
              <w:adjustRightInd w:val="0"/>
              <w:snapToGrid w:val="0"/>
              <w:spacing w:line="480" w:lineRule="exact"/>
              <w:ind w:firstLine="480" w:firstLineChars="200"/>
              <w:rPr>
                <w:bCs/>
                <w:sz w:val="24"/>
              </w:rPr>
            </w:pPr>
            <w:r>
              <w:rPr>
                <w:rFonts w:hint="eastAsia"/>
                <w:bCs/>
                <w:sz w:val="24"/>
              </w:rPr>
              <w:t>拟建项目废水污染物产生、治理及排放情况见表4.2.2-1。</w:t>
            </w:r>
          </w:p>
          <w:p>
            <w:pPr>
              <w:adjustRightInd w:val="0"/>
              <w:snapToGrid w:val="0"/>
              <w:rPr>
                <w:bCs/>
                <w:sz w:val="24"/>
              </w:rPr>
            </w:pPr>
          </w:p>
        </w:tc>
      </w:tr>
    </w:tbl>
    <w:p>
      <w:pPr>
        <w:pStyle w:val="18"/>
        <w:jc w:val="center"/>
        <w:outlineLvl w:val="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spacing w:line="360" w:lineRule="auto"/>
        <w:jc w:val="center"/>
        <w:rPr>
          <w:bCs/>
          <w:sz w:val="18"/>
          <w:szCs w:val="18"/>
        </w:rPr>
      </w:pPr>
      <w:r>
        <w:rPr>
          <w:bCs/>
          <w:sz w:val="18"/>
          <w:szCs w:val="18"/>
        </w:rPr>
        <w:t>表4.2.</w:t>
      </w:r>
      <w:r>
        <w:rPr>
          <w:rFonts w:hint="eastAsia"/>
          <w:bCs/>
          <w:sz w:val="18"/>
          <w:szCs w:val="18"/>
        </w:rPr>
        <w:t>2-1拟建</w:t>
      </w:r>
      <w:r>
        <w:rPr>
          <w:bCs/>
          <w:sz w:val="18"/>
          <w:szCs w:val="18"/>
        </w:rPr>
        <w:t>项目</w:t>
      </w:r>
      <w:r>
        <w:rPr>
          <w:rFonts w:hint="eastAsia"/>
          <w:bCs/>
          <w:sz w:val="18"/>
          <w:szCs w:val="18"/>
        </w:rPr>
        <w:t>废水</w:t>
      </w:r>
      <w:r>
        <w:rPr>
          <w:bCs/>
          <w:sz w:val="18"/>
          <w:szCs w:val="18"/>
        </w:rPr>
        <w:t>污染物产生、治理及排放情况</w:t>
      </w:r>
    </w:p>
    <w:tbl>
      <w:tblPr>
        <w:tblStyle w:val="21"/>
        <w:tblW w:w="5000" w:type="pct"/>
        <w:tblInd w:w="0" w:type="dxa"/>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332"/>
        <w:gridCol w:w="1616"/>
        <w:gridCol w:w="1332"/>
        <w:gridCol w:w="909"/>
        <w:gridCol w:w="2037"/>
        <w:gridCol w:w="1261"/>
        <w:gridCol w:w="967"/>
        <w:gridCol w:w="871"/>
        <w:gridCol w:w="1081"/>
        <w:gridCol w:w="1230"/>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restart"/>
            <w:shd w:val="clear" w:color="auto" w:fill="auto"/>
            <w:vAlign w:val="center"/>
          </w:tcPr>
          <w:p>
            <w:pPr>
              <w:widowControl/>
              <w:jc w:val="center"/>
              <w:rPr>
                <w:kern w:val="0"/>
                <w:sz w:val="18"/>
                <w:szCs w:val="18"/>
              </w:rPr>
            </w:pPr>
            <w:r>
              <w:rPr>
                <w:kern w:val="0"/>
                <w:sz w:val="18"/>
                <w:szCs w:val="18"/>
              </w:rPr>
              <w:t>污染源</w:t>
            </w:r>
          </w:p>
        </w:tc>
        <w:tc>
          <w:tcPr>
            <w:tcW w:w="488" w:type="pct"/>
            <w:vMerge w:val="restart"/>
            <w:shd w:val="clear" w:color="auto" w:fill="auto"/>
            <w:vAlign w:val="center"/>
          </w:tcPr>
          <w:p>
            <w:pPr>
              <w:widowControl/>
              <w:jc w:val="center"/>
              <w:rPr>
                <w:kern w:val="0"/>
                <w:sz w:val="18"/>
                <w:szCs w:val="18"/>
              </w:rPr>
            </w:pPr>
            <w:r>
              <w:rPr>
                <w:kern w:val="0"/>
                <w:sz w:val="18"/>
                <w:szCs w:val="18"/>
              </w:rPr>
              <w:t>废水排放量（m</w:t>
            </w:r>
            <w:r>
              <w:rPr>
                <w:kern w:val="0"/>
                <w:sz w:val="18"/>
                <w:szCs w:val="18"/>
                <w:vertAlign w:val="superscript"/>
              </w:rPr>
              <w:t>3</w:t>
            </w:r>
            <w:r>
              <w:rPr>
                <w:kern w:val="0"/>
                <w:sz w:val="18"/>
                <w:szCs w:val="18"/>
              </w:rPr>
              <w:t>/d）</w:t>
            </w:r>
          </w:p>
        </w:tc>
        <w:tc>
          <w:tcPr>
            <w:tcW w:w="1413" w:type="pct"/>
            <w:gridSpan w:val="3"/>
            <w:shd w:val="clear" w:color="auto" w:fill="auto"/>
            <w:vAlign w:val="center"/>
          </w:tcPr>
          <w:p>
            <w:pPr>
              <w:widowControl/>
              <w:jc w:val="center"/>
              <w:rPr>
                <w:kern w:val="0"/>
                <w:sz w:val="18"/>
                <w:szCs w:val="18"/>
              </w:rPr>
            </w:pPr>
            <w:r>
              <w:rPr>
                <w:kern w:val="0"/>
                <w:sz w:val="18"/>
                <w:szCs w:val="18"/>
              </w:rPr>
              <w:t>污染物</w:t>
            </w:r>
          </w:p>
        </w:tc>
        <w:tc>
          <w:tcPr>
            <w:tcW w:w="746" w:type="pct"/>
            <w:vMerge w:val="restart"/>
            <w:shd w:val="clear" w:color="auto" w:fill="auto"/>
            <w:vAlign w:val="center"/>
          </w:tcPr>
          <w:p>
            <w:pPr>
              <w:widowControl/>
              <w:jc w:val="center"/>
              <w:rPr>
                <w:kern w:val="0"/>
                <w:sz w:val="18"/>
                <w:szCs w:val="18"/>
              </w:rPr>
            </w:pPr>
            <w:r>
              <w:rPr>
                <w:kern w:val="0"/>
                <w:sz w:val="18"/>
                <w:szCs w:val="18"/>
              </w:rPr>
              <w:t>处理措施</w:t>
            </w:r>
          </w:p>
        </w:tc>
        <w:tc>
          <w:tcPr>
            <w:tcW w:w="1135" w:type="pct"/>
            <w:gridSpan w:val="3"/>
            <w:shd w:val="clear" w:color="auto" w:fill="auto"/>
            <w:vAlign w:val="center"/>
          </w:tcPr>
          <w:p>
            <w:pPr>
              <w:widowControl/>
              <w:jc w:val="center"/>
              <w:rPr>
                <w:kern w:val="0"/>
                <w:sz w:val="18"/>
                <w:szCs w:val="18"/>
              </w:rPr>
            </w:pPr>
            <w:r>
              <w:rPr>
                <w:rFonts w:hint="eastAsia"/>
                <w:kern w:val="0"/>
                <w:sz w:val="18"/>
                <w:szCs w:val="18"/>
              </w:rPr>
              <w:t>厂区内污水处理设施处理后</w:t>
            </w:r>
          </w:p>
        </w:tc>
        <w:tc>
          <w:tcPr>
            <w:tcW w:w="846" w:type="pct"/>
            <w:gridSpan w:val="2"/>
            <w:shd w:val="clear" w:color="auto" w:fill="auto"/>
            <w:vAlign w:val="center"/>
          </w:tcPr>
          <w:p>
            <w:pPr>
              <w:widowControl/>
              <w:jc w:val="center"/>
              <w:rPr>
                <w:kern w:val="0"/>
                <w:sz w:val="18"/>
                <w:szCs w:val="18"/>
              </w:rPr>
            </w:pPr>
            <w:r>
              <w:rPr>
                <w:rFonts w:hint="eastAsia"/>
                <w:kern w:val="0"/>
                <w:sz w:val="18"/>
                <w:szCs w:val="18"/>
              </w:rPr>
              <w:t>污水处理厂处理后</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kern w:val="0"/>
                <w:sz w:val="18"/>
                <w:szCs w:val="18"/>
              </w:rPr>
              <w:t>污染因子</w:t>
            </w:r>
          </w:p>
        </w:tc>
        <w:tc>
          <w:tcPr>
            <w:tcW w:w="488" w:type="pct"/>
            <w:shd w:val="clear" w:color="auto" w:fill="auto"/>
            <w:vAlign w:val="center"/>
          </w:tcPr>
          <w:p>
            <w:pPr>
              <w:jc w:val="center"/>
              <w:rPr>
                <w:kern w:val="0"/>
                <w:sz w:val="18"/>
                <w:szCs w:val="18"/>
              </w:rPr>
            </w:pPr>
            <w:r>
              <w:rPr>
                <w:kern w:val="0"/>
                <w:sz w:val="18"/>
                <w:szCs w:val="18"/>
              </w:rPr>
              <w:t>浓度（mg/L）</w:t>
            </w:r>
          </w:p>
        </w:tc>
        <w:tc>
          <w:tcPr>
            <w:tcW w:w="333" w:type="pct"/>
            <w:shd w:val="clear" w:color="auto" w:fill="auto"/>
            <w:vAlign w:val="center"/>
          </w:tcPr>
          <w:p>
            <w:pPr>
              <w:widowControl/>
              <w:jc w:val="center"/>
              <w:rPr>
                <w:kern w:val="0"/>
                <w:sz w:val="18"/>
                <w:szCs w:val="18"/>
              </w:rPr>
            </w:pPr>
            <w:r>
              <w:rPr>
                <w:kern w:val="0"/>
                <w:sz w:val="18"/>
                <w:szCs w:val="18"/>
              </w:rPr>
              <w:t>产生量（</w:t>
            </w:r>
            <w:r>
              <w:rPr>
                <w:rFonts w:hint="eastAsia"/>
                <w:kern w:val="0"/>
                <w:sz w:val="18"/>
                <w:szCs w:val="18"/>
              </w:rPr>
              <w:t>t/a</w:t>
            </w:r>
            <w:r>
              <w:rPr>
                <w:kern w:val="0"/>
                <w:sz w:val="18"/>
                <w:szCs w:val="18"/>
              </w:rPr>
              <w:t>）</w:t>
            </w:r>
          </w:p>
        </w:tc>
        <w:tc>
          <w:tcPr>
            <w:tcW w:w="746" w:type="pct"/>
            <w:vMerge w:val="continue"/>
            <w:vAlign w:val="center"/>
          </w:tcPr>
          <w:p>
            <w:pPr>
              <w:widowControl/>
              <w:jc w:val="center"/>
              <w:rPr>
                <w:kern w:val="0"/>
                <w:sz w:val="18"/>
                <w:szCs w:val="18"/>
              </w:rPr>
            </w:pPr>
          </w:p>
        </w:tc>
        <w:tc>
          <w:tcPr>
            <w:tcW w:w="462" w:type="pct"/>
            <w:shd w:val="clear" w:color="auto" w:fill="auto"/>
            <w:vAlign w:val="center"/>
          </w:tcPr>
          <w:p>
            <w:pPr>
              <w:widowControl/>
              <w:jc w:val="center"/>
              <w:rPr>
                <w:kern w:val="0"/>
                <w:sz w:val="18"/>
                <w:szCs w:val="18"/>
              </w:rPr>
            </w:pPr>
            <w:r>
              <w:rPr>
                <w:kern w:val="0"/>
                <w:sz w:val="18"/>
                <w:szCs w:val="18"/>
              </w:rPr>
              <w:t>污染</w:t>
            </w:r>
          </w:p>
          <w:p>
            <w:pPr>
              <w:widowControl/>
              <w:jc w:val="center"/>
              <w:rPr>
                <w:kern w:val="0"/>
                <w:sz w:val="18"/>
                <w:szCs w:val="18"/>
              </w:rPr>
            </w:pPr>
            <w:r>
              <w:rPr>
                <w:kern w:val="0"/>
                <w:sz w:val="18"/>
                <w:szCs w:val="18"/>
              </w:rPr>
              <w:t>因子</w:t>
            </w:r>
          </w:p>
        </w:tc>
        <w:tc>
          <w:tcPr>
            <w:tcW w:w="354" w:type="pct"/>
            <w:shd w:val="clear" w:color="auto" w:fill="auto"/>
            <w:vAlign w:val="center"/>
          </w:tcPr>
          <w:p>
            <w:pPr>
              <w:widowControl/>
              <w:jc w:val="center"/>
              <w:rPr>
                <w:kern w:val="0"/>
                <w:sz w:val="18"/>
                <w:szCs w:val="18"/>
              </w:rPr>
            </w:pPr>
            <w:r>
              <w:rPr>
                <w:kern w:val="0"/>
                <w:sz w:val="18"/>
                <w:szCs w:val="18"/>
              </w:rPr>
              <w:t>浓度</w:t>
            </w:r>
          </w:p>
          <w:p>
            <w:pPr>
              <w:widowControl/>
              <w:jc w:val="center"/>
              <w:rPr>
                <w:kern w:val="0"/>
                <w:sz w:val="18"/>
                <w:szCs w:val="18"/>
              </w:rPr>
            </w:pPr>
            <w:r>
              <w:rPr>
                <w:kern w:val="0"/>
                <w:sz w:val="18"/>
                <w:szCs w:val="18"/>
              </w:rPr>
              <w:t>（mg/L）</w:t>
            </w:r>
          </w:p>
        </w:tc>
        <w:tc>
          <w:tcPr>
            <w:tcW w:w="319" w:type="pct"/>
            <w:shd w:val="clear" w:color="auto" w:fill="auto"/>
            <w:vAlign w:val="center"/>
          </w:tcPr>
          <w:p>
            <w:pPr>
              <w:widowControl/>
              <w:jc w:val="center"/>
              <w:rPr>
                <w:kern w:val="0"/>
                <w:sz w:val="18"/>
                <w:szCs w:val="18"/>
              </w:rPr>
            </w:pPr>
            <w:r>
              <w:rPr>
                <w:kern w:val="0"/>
                <w:sz w:val="18"/>
                <w:szCs w:val="18"/>
              </w:rPr>
              <w:t>排放量</w:t>
            </w:r>
          </w:p>
          <w:p>
            <w:pPr>
              <w:widowControl/>
              <w:jc w:val="center"/>
              <w:rPr>
                <w:kern w:val="0"/>
                <w:sz w:val="18"/>
                <w:szCs w:val="18"/>
              </w:rPr>
            </w:pPr>
            <w:r>
              <w:rPr>
                <w:kern w:val="0"/>
                <w:sz w:val="18"/>
                <w:szCs w:val="18"/>
              </w:rPr>
              <w:t>（t/a)</w:t>
            </w:r>
          </w:p>
        </w:tc>
        <w:tc>
          <w:tcPr>
            <w:tcW w:w="396" w:type="pct"/>
            <w:shd w:val="clear" w:color="auto" w:fill="auto"/>
            <w:vAlign w:val="center"/>
          </w:tcPr>
          <w:p>
            <w:pPr>
              <w:widowControl/>
              <w:jc w:val="center"/>
              <w:rPr>
                <w:kern w:val="0"/>
                <w:sz w:val="18"/>
                <w:szCs w:val="18"/>
              </w:rPr>
            </w:pPr>
            <w:r>
              <w:rPr>
                <w:kern w:val="0"/>
                <w:sz w:val="18"/>
                <w:szCs w:val="18"/>
              </w:rPr>
              <w:t>浓度</w:t>
            </w:r>
          </w:p>
          <w:p>
            <w:pPr>
              <w:widowControl/>
              <w:jc w:val="center"/>
              <w:rPr>
                <w:kern w:val="0"/>
                <w:sz w:val="18"/>
                <w:szCs w:val="18"/>
              </w:rPr>
            </w:pPr>
            <w:r>
              <w:rPr>
                <w:kern w:val="0"/>
                <w:sz w:val="18"/>
                <w:szCs w:val="18"/>
              </w:rPr>
              <w:t>（mg/L）</w:t>
            </w:r>
          </w:p>
        </w:tc>
        <w:tc>
          <w:tcPr>
            <w:tcW w:w="450" w:type="pct"/>
            <w:shd w:val="clear" w:color="auto" w:fill="auto"/>
            <w:vAlign w:val="center"/>
          </w:tcPr>
          <w:p>
            <w:pPr>
              <w:widowControl/>
              <w:jc w:val="center"/>
              <w:rPr>
                <w:kern w:val="0"/>
                <w:sz w:val="18"/>
                <w:szCs w:val="18"/>
              </w:rPr>
            </w:pPr>
            <w:r>
              <w:rPr>
                <w:kern w:val="0"/>
                <w:sz w:val="18"/>
                <w:szCs w:val="18"/>
              </w:rPr>
              <w:t>排放量</w:t>
            </w:r>
          </w:p>
          <w:p>
            <w:pPr>
              <w:widowControl/>
              <w:jc w:val="center"/>
              <w:rPr>
                <w:kern w:val="0"/>
                <w:sz w:val="18"/>
                <w:szCs w:val="18"/>
              </w:rPr>
            </w:pPr>
            <w:r>
              <w:rPr>
                <w:kern w:val="0"/>
                <w:sz w:val="18"/>
                <w:szCs w:val="18"/>
              </w:rPr>
              <w:t>（t/a)</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restart"/>
            <w:vAlign w:val="center"/>
          </w:tcPr>
          <w:p>
            <w:pPr>
              <w:widowControl/>
              <w:jc w:val="center"/>
              <w:rPr>
                <w:kern w:val="0"/>
                <w:sz w:val="18"/>
                <w:szCs w:val="18"/>
              </w:rPr>
            </w:pPr>
            <w:r>
              <w:rPr>
                <w:rFonts w:hint="eastAsia"/>
                <w:kern w:val="0"/>
                <w:sz w:val="18"/>
                <w:szCs w:val="18"/>
              </w:rPr>
              <w:t>地面清洁废水</w:t>
            </w:r>
          </w:p>
        </w:tc>
        <w:tc>
          <w:tcPr>
            <w:tcW w:w="488" w:type="pct"/>
            <w:vMerge w:val="restart"/>
            <w:shd w:val="clear" w:color="auto" w:fill="auto"/>
            <w:vAlign w:val="center"/>
          </w:tcPr>
          <w:p>
            <w:pPr>
              <w:widowControl/>
              <w:jc w:val="center"/>
              <w:rPr>
                <w:kern w:val="0"/>
                <w:sz w:val="18"/>
                <w:szCs w:val="18"/>
              </w:rPr>
            </w:pPr>
            <w:r>
              <w:rPr>
                <w:rFonts w:hint="eastAsia"/>
                <w:kern w:val="0"/>
                <w:sz w:val="18"/>
                <w:szCs w:val="18"/>
              </w:rPr>
              <w:t>4</w:t>
            </w:r>
            <w:r>
              <w:rPr>
                <w:kern w:val="0"/>
                <w:sz w:val="18"/>
                <w:szCs w:val="18"/>
              </w:rPr>
              <w:t>.84</w:t>
            </w:r>
          </w:p>
          <w:p>
            <w:pPr>
              <w:widowControl/>
              <w:jc w:val="center"/>
              <w:rPr>
                <w:kern w:val="0"/>
                <w:sz w:val="18"/>
                <w:szCs w:val="18"/>
              </w:rPr>
            </w:pPr>
            <w:r>
              <w:rPr>
                <w:rFonts w:hint="eastAsia"/>
                <w:kern w:val="0"/>
                <w:sz w:val="18"/>
                <w:szCs w:val="18"/>
              </w:rPr>
              <w:t>3</w:t>
            </w:r>
            <w:r>
              <w:rPr>
                <w:kern w:val="0"/>
                <w:sz w:val="18"/>
                <w:szCs w:val="18"/>
              </w:rPr>
              <w:t>19.44（m</w:t>
            </w:r>
            <w:r>
              <w:rPr>
                <w:kern w:val="0"/>
                <w:sz w:val="18"/>
                <w:szCs w:val="18"/>
                <w:vertAlign w:val="superscript"/>
              </w:rPr>
              <w:t>3</w:t>
            </w:r>
            <w:r>
              <w:rPr>
                <w:kern w:val="0"/>
                <w:sz w:val="18"/>
                <w:szCs w:val="18"/>
              </w:rPr>
              <w:t>/</w:t>
            </w:r>
            <w:r>
              <w:rPr>
                <w:rFonts w:hint="eastAsia"/>
                <w:kern w:val="0"/>
                <w:sz w:val="18"/>
                <w:szCs w:val="18"/>
              </w:rPr>
              <w:t>a</w:t>
            </w:r>
            <w:r>
              <w:rPr>
                <w:kern w:val="0"/>
                <w:sz w:val="18"/>
                <w:szCs w:val="18"/>
              </w:rPr>
              <w:t>）</w:t>
            </w:r>
          </w:p>
        </w:tc>
        <w:tc>
          <w:tcPr>
            <w:tcW w:w="592" w:type="pct"/>
            <w:shd w:val="clear" w:color="auto" w:fill="auto"/>
            <w:vAlign w:val="center"/>
          </w:tcPr>
          <w:p>
            <w:pPr>
              <w:jc w:val="center"/>
              <w:rPr>
                <w:kern w:val="0"/>
                <w:sz w:val="18"/>
                <w:szCs w:val="18"/>
              </w:rPr>
            </w:pPr>
            <w:r>
              <w:rPr>
                <w:rFonts w:hint="eastAsia"/>
                <w:sz w:val="18"/>
                <w:szCs w:val="18"/>
              </w:rPr>
              <w:t>pH</w:t>
            </w:r>
          </w:p>
        </w:tc>
        <w:tc>
          <w:tcPr>
            <w:tcW w:w="488" w:type="pct"/>
            <w:shd w:val="clear" w:color="auto" w:fill="auto"/>
            <w:vAlign w:val="center"/>
          </w:tcPr>
          <w:p>
            <w:pPr>
              <w:jc w:val="center"/>
              <w:rPr>
                <w:kern w:val="0"/>
                <w:sz w:val="18"/>
                <w:szCs w:val="18"/>
              </w:rPr>
            </w:pPr>
            <w:r>
              <w:rPr>
                <w:rFonts w:hint="eastAsia"/>
                <w:kern w:val="0"/>
                <w:sz w:val="18"/>
                <w:szCs w:val="18"/>
              </w:rPr>
              <w:t>6~9（无量纲）</w:t>
            </w:r>
          </w:p>
        </w:tc>
        <w:tc>
          <w:tcPr>
            <w:tcW w:w="333" w:type="pct"/>
            <w:shd w:val="clear" w:color="auto" w:fill="auto"/>
            <w:vAlign w:val="center"/>
          </w:tcPr>
          <w:p>
            <w:pPr>
              <w:widowControl/>
              <w:jc w:val="center"/>
              <w:rPr>
                <w:kern w:val="0"/>
                <w:sz w:val="18"/>
                <w:szCs w:val="18"/>
              </w:rPr>
            </w:pPr>
            <w:r>
              <w:rPr>
                <w:rFonts w:hint="eastAsia"/>
                <w:kern w:val="0"/>
                <w:sz w:val="18"/>
                <w:szCs w:val="18"/>
              </w:rPr>
              <w:t>/</w:t>
            </w:r>
          </w:p>
        </w:tc>
        <w:tc>
          <w:tcPr>
            <w:tcW w:w="746" w:type="pct"/>
            <w:vMerge w:val="restart"/>
            <w:vAlign w:val="center"/>
          </w:tcPr>
          <w:p>
            <w:pPr>
              <w:widowControl/>
              <w:jc w:val="center"/>
              <w:rPr>
                <w:kern w:val="0"/>
                <w:sz w:val="18"/>
                <w:szCs w:val="18"/>
              </w:rPr>
            </w:pPr>
            <w:r>
              <w:rPr>
                <w:rFonts w:hint="eastAsia"/>
                <w:kern w:val="0"/>
                <w:sz w:val="18"/>
                <w:szCs w:val="18"/>
              </w:rPr>
              <w:t>厂区内所有废水一并</w:t>
            </w:r>
            <w:r>
              <w:rPr>
                <w:kern w:val="0"/>
                <w:sz w:val="18"/>
                <w:szCs w:val="18"/>
              </w:rPr>
              <w:t>进入厂区内新建污水处理站处理达</w:t>
            </w:r>
            <w:r>
              <w:rPr>
                <w:rFonts w:hint="eastAsia"/>
                <w:kern w:val="0"/>
                <w:sz w:val="18"/>
                <w:szCs w:val="18"/>
              </w:rPr>
              <w:t>《污水综合排放标准》（GB8978-1996）三级排放标准（其中氨氮、总氮、总磷参照执行《污水排入城镇下水道水质标准》（GB/T31962-2015））后进入双桥园区污水处理厂近期进一步处理达《城镇污水处理厂污染物排放标准》（GB18918-2002）一级B标后排入苦水河，远期待园区污水处理厂提标改造后进一步处理达《城镇污水处理厂污染物排放标准》（GB18918-2002）一级A标后排入苦水河。</w:t>
            </w:r>
          </w:p>
        </w:tc>
        <w:tc>
          <w:tcPr>
            <w:tcW w:w="462" w:type="pct"/>
            <w:vMerge w:val="restart"/>
            <w:shd w:val="clear" w:color="auto" w:fill="auto"/>
            <w:vAlign w:val="center"/>
          </w:tcPr>
          <w:p>
            <w:pPr>
              <w:widowControl/>
              <w:jc w:val="center"/>
              <w:rPr>
                <w:kern w:val="0"/>
                <w:sz w:val="18"/>
                <w:szCs w:val="18"/>
              </w:rPr>
            </w:pPr>
            <w:r>
              <w:rPr>
                <w:rFonts w:hint="eastAsia"/>
                <w:sz w:val="18"/>
                <w:szCs w:val="18"/>
              </w:rPr>
              <w:t>pH</w:t>
            </w:r>
          </w:p>
          <w:p>
            <w:pPr>
              <w:widowControl/>
              <w:jc w:val="center"/>
              <w:rPr>
                <w:kern w:val="0"/>
                <w:sz w:val="18"/>
                <w:szCs w:val="18"/>
              </w:rPr>
            </w:pPr>
            <w:r>
              <w:rPr>
                <w:sz w:val="18"/>
                <w:szCs w:val="18"/>
              </w:rPr>
              <w:t>COD</w:t>
            </w:r>
          </w:p>
          <w:p>
            <w:pPr>
              <w:widowControl/>
              <w:jc w:val="center"/>
              <w:rPr>
                <w:kern w:val="0"/>
                <w:sz w:val="18"/>
                <w:szCs w:val="18"/>
              </w:rPr>
            </w:pPr>
            <w:r>
              <w:rPr>
                <w:sz w:val="18"/>
                <w:szCs w:val="18"/>
              </w:rPr>
              <w:t>BOD</w:t>
            </w:r>
            <w:r>
              <w:rPr>
                <w:sz w:val="18"/>
                <w:szCs w:val="18"/>
                <w:vertAlign w:val="subscript"/>
              </w:rPr>
              <w:t>5</w:t>
            </w:r>
          </w:p>
          <w:p>
            <w:pPr>
              <w:widowControl/>
              <w:jc w:val="center"/>
              <w:rPr>
                <w:kern w:val="0"/>
                <w:sz w:val="18"/>
                <w:szCs w:val="18"/>
              </w:rPr>
            </w:pPr>
            <w:r>
              <w:rPr>
                <w:sz w:val="18"/>
                <w:szCs w:val="18"/>
              </w:rPr>
              <w:t>SS</w:t>
            </w:r>
          </w:p>
          <w:p>
            <w:pPr>
              <w:widowControl/>
              <w:jc w:val="center"/>
              <w:rPr>
                <w:kern w:val="0"/>
                <w:sz w:val="18"/>
                <w:szCs w:val="18"/>
              </w:rPr>
            </w:pPr>
            <w:r>
              <w:rPr>
                <w:sz w:val="18"/>
                <w:szCs w:val="18"/>
              </w:rPr>
              <w:t>NH</w:t>
            </w:r>
            <w:r>
              <w:rPr>
                <w:sz w:val="18"/>
                <w:szCs w:val="18"/>
                <w:vertAlign w:val="subscript"/>
              </w:rPr>
              <w:t>3</w:t>
            </w:r>
            <w:r>
              <w:rPr>
                <w:sz w:val="18"/>
                <w:szCs w:val="18"/>
              </w:rPr>
              <w:t>-N</w:t>
            </w:r>
          </w:p>
          <w:p>
            <w:pPr>
              <w:widowControl/>
              <w:jc w:val="center"/>
              <w:rPr>
                <w:kern w:val="0"/>
                <w:sz w:val="18"/>
                <w:szCs w:val="18"/>
              </w:rPr>
            </w:pPr>
            <w:r>
              <w:rPr>
                <w:rFonts w:hint="eastAsia"/>
                <w:sz w:val="18"/>
                <w:szCs w:val="18"/>
              </w:rPr>
              <w:t>动植物油</w:t>
            </w:r>
          </w:p>
          <w:p>
            <w:pPr>
              <w:widowControl/>
              <w:jc w:val="center"/>
              <w:rPr>
                <w:kern w:val="0"/>
                <w:sz w:val="18"/>
                <w:szCs w:val="18"/>
              </w:rPr>
            </w:pPr>
            <w:r>
              <w:rPr>
                <w:rFonts w:hint="eastAsia"/>
                <w:sz w:val="18"/>
                <w:szCs w:val="18"/>
              </w:rPr>
              <w:t>总氮</w:t>
            </w:r>
          </w:p>
          <w:p>
            <w:pPr>
              <w:widowControl/>
              <w:jc w:val="center"/>
              <w:rPr>
                <w:kern w:val="0"/>
                <w:sz w:val="18"/>
                <w:szCs w:val="18"/>
              </w:rPr>
            </w:pPr>
            <w:r>
              <w:rPr>
                <w:rFonts w:hint="eastAsia"/>
                <w:sz w:val="18"/>
                <w:szCs w:val="18"/>
              </w:rPr>
              <w:t>总磷</w:t>
            </w:r>
          </w:p>
          <w:p>
            <w:pPr>
              <w:jc w:val="center"/>
              <w:rPr>
                <w:kern w:val="0"/>
                <w:sz w:val="18"/>
                <w:szCs w:val="18"/>
              </w:rPr>
            </w:pPr>
            <w:r>
              <w:rPr>
                <w:rFonts w:hint="eastAsia"/>
                <w:sz w:val="18"/>
                <w:szCs w:val="18"/>
              </w:rPr>
              <w:t>石油类</w:t>
            </w:r>
          </w:p>
        </w:tc>
        <w:tc>
          <w:tcPr>
            <w:tcW w:w="354" w:type="pct"/>
            <w:vMerge w:val="restart"/>
            <w:shd w:val="clear" w:color="auto" w:fill="auto"/>
            <w:vAlign w:val="center"/>
          </w:tcPr>
          <w:p>
            <w:pPr>
              <w:widowControl/>
              <w:jc w:val="center"/>
              <w:rPr>
                <w:kern w:val="0"/>
                <w:sz w:val="18"/>
                <w:szCs w:val="18"/>
              </w:rPr>
            </w:pPr>
            <w:r>
              <w:rPr>
                <w:rFonts w:hint="eastAsia"/>
                <w:kern w:val="0"/>
                <w:sz w:val="18"/>
                <w:szCs w:val="18"/>
              </w:rPr>
              <w:t>6~9（无量纲）</w:t>
            </w:r>
          </w:p>
          <w:p>
            <w:pPr>
              <w:widowControl/>
              <w:jc w:val="center"/>
              <w:rPr>
                <w:kern w:val="0"/>
                <w:sz w:val="18"/>
                <w:szCs w:val="18"/>
              </w:rPr>
            </w:pPr>
            <w:r>
              <w:rPr>
                <w:rFonts w:hint="eastAsia"/>
                <w:sz w:val="18"/>
                <w:szCs w:val="18"/>
              </w:rPr>
              <w:t>420</w:t>
            </w:r>
          </w:p>
          <w:p>
            <w:pPr>
              <w:widowControl/>
              <w:jc w:val="center"/>
              <w:rPr>
                <w:kern w:val="0"/>
                <w:sz w:val="18"/>
                <w:szCs w:val="18"/>
              </w:rPr>
            </w:pPr>
            <w:r>
              <w:rPr>
                <w:rFonts w:hint="eastAsia"/>
                <w:sz w:val="18"/>
                <w:szCs w:val="18"/>
              </w:rPr>
              <w:t>97</w:t>
            </w:r>
          </w:p>
          <w:p>
            <w:pPr>
              <w:widowControl/>
              <w:jc w:val="center"/>
              <w:rPr>
                <w:kern w:val="0"/>
                <w:sz w:val="18"/>
                <w:szCs w:val="18"/>
              </w:rPr>
            </w:pPr>
            <w:r>
              <w:rPr>
                <w:rFonts w:hint="eastAsia"/>
                <w:sz w:val="18"/>
                <w:szCs w:val="18"/>
              </w:rPr>
              <w:t>264</w:t>
            </w:r>
          </w:p>
          <w:p>
            <w:pPr>
              <w:widowControl/>
              <w:jc w:val="center"/>
              <w:rPr>
                <w:kern w:val="0"/>
                <w:sz w:val="18"/>
                <w:szCs w:val="18"/>
              </w:rPr>
            </w:pPr>
            <w:r>
              <w:rPr>
                <w:rFonts w:hint="eastAsia"/>
                <w:sz w:val="18"/>
                <w:szCs w:val="18"/>
              </w:rPr>
              <w:t>40</w:t>
            </w:r>
          </w:p>
          <w:p>
            <w:pPr>
              <w:widowControl/>
              <w:jc w:val="center"/>
              <w:rPr>
                <w:kern w:val="0"/>
                <w:sz w:val="18"/>
                <w:szCs w:val="18"/>
              </w:rPr>
            </w:pPr>
            <w:r>
              <w:rPr>
                <w:rFonts w:hint="eastAsia"/>
                <w:sz w:val="18"/>
                <w:szCs w:val="18"/>
              </w:rPr>
              <w:t>55</w:t>
            </w:r>
          </w:p>
          <w:p>
            <w:pPr>
              <w:widowControl/>
              <w:jc w:val="center"/>
              <w:rPr>
                <w:kern w:val="0"/>
                <w:sz w:val="18"/>
                <w:szCs w:val="18"/>
              </w:rPr>
            </w:pPr>
            <w:r>
              <w:rPr>
                <w:rFonts w:hint="eastAsia"/>
                <w:sz w:val="18"/>
                <w:szCs w:val="18"/>
              </w:rPr>
              <w:t>55</w:t>
            </w:r>
          </w:p>
          <w:p>
            <w:pPr>
              <w:widowControl/>
              <w:jc w:val="center"/>
              <w:rPr>
                <w:kern w:val="0"/>
                <w:sz w:val="18"/>
                <w:szCs w:val="18"/>
              </w:rPr>
            </w:pPr>
            <w:r>
              <w:rPr>
                <w:rFonts w:hint="eastAsia"/>
                <w:sz w:val="18"/>
                <w:szCs w:val="18"/>
              </w:rPr>
              <w:t>3</w:t>
            </w:r>
          </w:p>
          <w:p>
            <w:pPr>
              <w:jc w:val="center"/>
              <w:rPr>
                <w:kern w:val="0"/>
                <w:sz w:val="18"/>
                <w:szCs w:val="18"/>
              </w:rPr>
            </w:pPr>
            <w:r>
              <w:rPr>
                <w:rFonts w:hint="eastAsia"/>
                <w:sz w:val="18"/>
                <w:szCs w:val="18"/>
              </w:rPr>
              <w:t>9</w:t>
            </w:r>
          </w:p>
        </w:tc>
        <w:tc>
          <w:tcPr>
            <w:tcW w:w="319" w:type="pct"/>
            <w:vMerge w:val="restart"/>
            <w:shd w:val="clear" w:color="auto" w:fill="auto"/>
            <w:vAlign w:val="center"/>
          </w:tcPr>
          <w:p>
            <w:pPr>
              <w:widowControl/>
              <w:jc w:val="center"/>
              <w:rPr>
                <w:kern w:val="0"/>
                <w:sz w:val="18"/>
                <w:szCs w:val="18"/>
              </w:rPr>
            </w:pPr>
            <w:r>
              <w:rPr>
                <w:rFonts w:hint="eastAsia"/>
                <w:kern w:val="0"/>
                <w:sz w:val="18"/>
                <w:szCs w:val="18"/>
              </w:rPr>
              <w:t>/</w:t>
            </w:r>
          </w:p>
          <w:p>
            <w:pPr>
              <w:widowControl/>
              <w:jc w:val="center"/>
              <w:rPr>
                <w:kern w:val="0"/>
                <w:sz w:val="18"/>
                <w:szCs w:val="18"/>
              </w:rPr>
            </w:pPr>
            <w:r>
              <w:rPr>
                <w:rFonts w:hint="eastAsia"/>
                <w:sz w:val="18"/>
                <w:szCs w:val="18"/>
              </w:rPr>
              <w:t>1.38</w:t>
            </w:r>
          </w:p>
          <w:p>
            <w:pPr>
              <w:widowControl/>
              <w:jc w:val="center"/>
              <w:rPr>
                <w:kern w:val="0"/>
                <w:sz w:val="18"/>
                <w:szCs w:val="18"/>
              </w:rPr>
            </w:pPr>
            <w:r>
              <w:rPr>
                <w:rFonts w:hint="eastAsia"/>
                <w:sz w:val="18"/>
                <w:szCs w:val="18"/>
              </w:rPr>
              <w:t>0.32</w:t>
            </w:r>
          </w:p>
          <w:p>
            <w:pPr>
              <w:widowControl/>
              <w:jc w:val="center"/>
              <w:rPr>
                <w:kern w:val="0"/>
                <w:sz w:val="18"/>
                <w:szCs w:val="18"/>
              </w:rPr>
            </w:pPr>
            <w:r>
              <w:rPr>
                <w:rFonts w:hint="eastAsia"/>
                <w:sz w:val="18"/>
                <w:szCs w:val="18"/>
              </w:rPr>
              <w:t>0.87</w:t>
            </w:r>
          </w:p>
          <w:p>
            <w:pPr>
              <w:widowControl/>
              <w:jc w:val="center"/>
              <w:rPr>
                <w:kern w:val="0"/>
                <w:sz w:val="18"/>
                <w:szCs w:val="18"/>
              </w:rPr>
            </w:pPr>
            <w:r>
              <w:rPr>
                <w:rFonts w:hint="eastAsia"/>
                <w:sz w:val="18"/>
                <w:szCs w:val="18"/>
              </w:rPr>
              <w:t>0.13</w:t>
            </w:r>
          </w:p>
          <w:p>
            <w:pPr>
              <w:widowControl/>
              <w:jc w:val="center"/>
              <w:rPr>
                <w:kern w:val="0"/>
                <w:sz w:val="18"/>
                <w:szCs w:val="18"/>
              </w:rPr>
            </w:pPr>
            <w:r>
              <w:rPr>
                <w:rFonts w:hint="eastAsia"/>
                <w:sz w:val="18"/>
                <w:szCs w:val="18"/>
              </w:rPr>
              <w:t>0.18</w:t>
            </w:r>
          </w:p>
          <w:p>
            <w:pPr>
              <w:widowControl/>
              <w:jc w:val="center"/>
              <w:rPr>
                <w:kern w:val="0"/>
                <w:sz w:val="18"/>
                <w:szCs w:val="18"/>
              </w:rPr>
            </w:pPr>
            <w:r>
              <w:rPr>
                <w:rFonts w:hint="eastAsia"/>
                <w:sz w:val="18"/>
                <w:szCs w:val="18"/>
              </w:rPr>
              <w:t>0.18</w:t>
            </w:r>
          </w:p>
          <w:p>
            <w:pPr>
              <w:widowControl/>
              <w:jc w:val="center"/>
              <w:rPr>
                <w:kern w:val="0"/>
                <w:sz w:val="18"/>
                <w:szCs w:val="18"/>
              </w:rPr>
            </w:pPr>
            <w:r>
              <w:rPr>
                <w:rFonts w:hint="eastAsia"/>
                <w:sz w:val="18"/>
                <w:szCs w:val="18"/>
              </w:rPr>
              <w:t>0.01</w:t>
            </w:r>
          </w:p>
          <w:p>
            <w:pPr>
              <w:jc w:val="center"/>
              <w:rPr>
                <w:kern w:val="0"/>
                <w:sz w:val="18"/>
                <w:szCs w:val="18"/>
              </w:rPr>
            </w:pPr>
            <w:r>
              <w:rPr>
                <w:rFonts w:hint="eastAsia"/>
                <w:sz w:val="18"/>
                <w:szCs w:val="18"/>
              </w:rPr>
              <w:t>0.03</w:t>
            </w:r>
          </w:p>
        </w:tc>
        <w:tc>
          <w:tcPr>
            <w:tcW w:w="396" w:type="pct"/>
            <w:vMerge w:val="restart"/>
            <w:shd w:val="clear" w:color="auto" w:fill="auto"/>
            <w:vAlign w:val="center"/>
          </w:tcPr>
          <w:p>
            <w:pPr>
              <w:widowControl/>
              <w:jc w:val="center"/>
              <w:rPr>
                <w:kern w:val="0"/>
                <w:sz w:val="18"/>
                <w:szCs w:val="18"/>
              </w:rPr>
            </w:pPr>
            <w:r>
              <w:rPr>
                <w:rFonts w:hint="eastAsia"/>
                <w:kern w:val="0"/>
                <w:sz w:val="18"/>
                <w:szCs w:val="18"/>
              </w:rPr>
              <w:t>6~9（无量纲）</w:t>
            </w:r>
          </w:p>
          <w:p>
            <w:pPr>
              <w:widowControl/>
              <w:jc w:val="center"/>
              <w:rPr>
                <w:kern w:val="0"/>
                <w:sz w:val="18"/>
                <w:szCs w:val="18"/>
              </w:rPr>
            </w:pPr>
            <w:r>
              <w:rPr>
                <w:rFonts w:hint="eastAsia"/>
                <w:sz w:val="18"/>
                <w:szCs w:val="18"/>
              </w:rPr>
              <w:t>60/</w:t>
            </w:r>
            <w:r>
              <w:rPr>
                <w:sz w:val="18"/>
                <w:szCs w:val="18"/>
              </w:rPr>
              <w:t>50</w:t>
            </w:r>
          </w:p>
          <w:p>
            <w:pPr>
              <w:widowControl/>
              <w:jc w:val="center"/>
              <w:rPr>
                <w:kern w:val="0"/>
                <w:sz w:val="18"/>
                <w:szCs w:val="18"/>
              </w:rPr>
            </w:pPr>
            <w:r>
              <w:rPr>
                <w:rFonts w:hint="eastAsia"/>
                <w:sz w:val="18"/>
                <w:szCs w:val="18"/>
              </w:rPr>
              <w:t>20</w:t>
            </w:r>
            <w:r>
              <w:rPr>
                <w:sz w:val="18"/>
                <w:szCs w:val="18"/>
              </w:rPr>
              <w:t>/10</w:t>
            </w:r>
          </w:p>
          <w:p>
            <w:pPr>
              <w:widowControl/>
              <w:jc w:val="center"/>
              <w:rPr>
                <w:kern w:val="0"/>
                <w:sz w:val="18"/>
                <w:szCs w:val="18"/>
              </w:rPr>
            </w:pPr>
            <w:r>
              <w:rPr>
                <w:rFonts w:hint="eastAsia"/>
                <w:sz w:val="18"/>
                <w:szCs w:val="18"/>
              </w:rPr>
              <w:t>20</w:t>
            </w:r>
            <w:r>
              <w:rPr>
                <w:sz w:val="18"/>
                <w:szCs w:val="18"/>
              </w:rPr>
              <w:t>/10</w:t>
            </w:r>
          </w:p>
          <w:p>
            <w:pPr>
              <w:widowControl/>
              <w:jc w:val="center"/>
              <w:rPr>
                <w:kern w:val="0"/>
                <w:sz w:val="18"/>
                <w:szCs w:val="18"/>
              </w:rPr>
            </w:pPr>
            <w:r>
              <w:rPr>
                <w:rFonts w:hint="eastAsia"/>
                <w:sz w:val="18"/>
                <w:szCs w:val="18"/>
              </w:rPr>
              <w:t>8</w:t>
            </w:r>
            <w:r>
              <w:rPr>
                <w:sz w:val="18"/>
                <w:szCs w:val="18"/>
              </w:rPr>
              <w:t>/5</w:t>
            </w:r>
          </w:p>
          <w:p>
            <w:pPr>
              <w:widowControl/>
              <w:jc w:val="center"/>
              <w:rPr>
                <w:kern w:val="0"/>
                <w:sz w:val="18"/>
                <w:szCs w:val="18"/>
              </w:rPr>
            </w:pPr>
            <w:r>
              <w:rPr>
                <w:rFonts w:hint="eastAsia"/>
                <w:sz w:val="18"/>
                <w:szCs w:val="18"/>
              </w:rPr>
              <w:t>3</w:t>
            </w:r>
            <w:r>
              <w:rPr>
                <w:sz w:val="18"/>
                <w:szCs w:val="18"/>
              </w:rPr>
              <w:t>/1</w:t>
            </w:r>
          </w:p>
          <w:p>
            <w:pPr>
              <w:widowControl/>
              <w:jc w:val="center"/>
              <w:rPr>
                <w:kern w:val="0"/>
                <w:sz w:val="18"/>
                <w:szCs w:val="18"/>
              </w:rPr>
            </w:pPr>
            <w:r>
              <w:rPr>
                <w:rFonts w:hint="eastAsia"/>
                <w:sz w:val="18"/>
                <w:szCs w:val="18"/>
              </w:rPr>
              <w:t>20</w:t>
            </w:r>
            <w:r>
              <w:rPr>
                <w:sz w:val="18"/>
                <w:szCs w:val="18"/>
              </w:rPr>
              <w:t>/15</w:t>
            </w:r>
          </w:p>
          <w:p>
            <w:pPr>
              <w:widowControl/>
              <w:jc w:val="center"/>
              <w:rPr>
                <w:kern w:val="0"/>
                <w:sz w:val="18"/>
                <w:szCs w:val="18"/>
              </w:rPr>
            </w:pPr>
            <w:r>
              <w:rPr>
                <w:rFonts w:hint="eastAsia"/>
                <w:sz w:val="18"/>
                <w:szCs w:val="18"/>
              </w:rPr>
              <w:t>1</w:t>
            </w:r>
            <w:r>
              <w:rPr>
                <w:sz w:val="18"/>
                <w:szCs w:val="18"/>
              </w:rPr>
              <w:t>/0.5</w:t>
            </w:r>
          </w:p>
          <w:p>
            <w:pPr>
              <w:jc w:val="center"/>
              <w:rPr>
                <w:kern w:val="0"/>
                <w:sz w:val="18"/>
                <w:szCs w:val="18"/>
              </w:rPr>
            </w:pPr>
            <w:r>
              <w:rPr>
                <w:rFonts w:hint="eastAsia"/>
                <w:sz w:val="18"/>
                <w:szCs w:val="18"/>
              </w:rPr>
              <w:t>3</w:t>
            </w:r>
            <w:r>
              <w:rPr>
                <w:sz w:val="18"/>
                <w:szCs w:val="18"/>
              </w:rPr>
              <w:t>/1</w:t>
            </w:r>
          </w:p>
        </w:tc>
        <w:tc>
          <w:tcPr>
            <w:tcW w:w="450" w:type="pct"/>
            <w:vMerge w:val="restart"/>
            <w:shd w:val="clear" w:color="auto" w:fill="auto"/>
            <w:vAlign w:val="center"/>
          </w:tcPr>
          <w:p>
            <w:pPr>
              <w:widowControl/>
              <w:jc w:val="center"/>
              <w:rPr>
                <w:kern w:val="0"/>
                <w:sz w:val="18"/>
                <w:szCs w:val="18"/>
              </w:rPr>
            </w:pPr>
            <w:r>
              <w:rPr>
                <w:rFonts w:hint="eastAsia"/>
                <w:kern w:val="0"/>
                <w:sz w:val="18"/>
                <w:szCs w:val="18"/>
              </w:rPr>
              <w:t>/</w:t>
            </w:r>
          </w:p>
          <w:p>
            <w:pPr>
              <w:widowControl/>
              <w:jc w:val="center"/>
              <w:rPr>
                <w:kern w:val="0"/>
                <w:sz w:val="18"/>
                <w:szCs w:val="18"/>
              </w:rPr>
            </w:pPr>
            <w:r>
              <w:rPr>
                <w:rFonts w:hint="eastAsia"/>
                <w:sz w:val="18"/>
                <w:szCs w:val="18"/>
              </w:rPr>
              <w:t>0.2</w:t>
            </w:r>
            <w:r>
              <w:rPr>
                <w:sz w:val="18"/>
                <w:szCs w:val="18"/>
              </w:rPr>
              <w:t>/0.16</w:t>
            </w:r>
          </w:p>
          <w:p>
            <w:pPr>
              <w:widowControl/>
              <w:jc w:val="center"/>
              <w:rPr>
                <w:kern w:val="0"/>
                <w:sz w:val="18"/>
                <w:szCs w:val="18"/>
              </w:rPr>
            </w:pPr>
            <w:r>
              <w:rPr>
                <w:rFonts w:hint="eastAsia"/>
                <w:sz w:val="18"/>
                <w:szCs w:val="18"/>
              </w:rPr>
              <w:t>0.07</w:t>
            </w:r>
            <w:r>
              <w:rPr>
                <w:sz w:val="18"/>
                <w:szCs w:val="18"/>
              </w:rPr>
              <w:t>/0.03</w:t>
            </w:r>
          </w:p>
          <w:p>
            <w:pPr>
              <w:widowControl/>
              <w:jc w:val="center"/>
              <w:rPr>
                <w:kern w:val="0"/>
                <w:sz w:val="18"/>
                <w:szCs w:val="18"/>
              </w:rPr>
            </w:pPr>
            <w:r>
              <w:rPr>
                <w:rFonts w:hint="eastAsia"/>
                <w:sz w:val="18"/>
                <w:szCs w:val="18"/>
              </w:rPr>
              <w:t>0.07</w:t>
            </w:r>
            <w:r>
              <w:rPr>
                <w:sz w:val="18"/>
                <w:szCs w:val="18"/>
              </w:rPr>
              <w:t>/0.03</w:t>
            </w:r>
          </w:p>
          <w:p>
            <w:pPr>
              <w:widowControl/>
              <w:jc w:val="center"/>
              <w:rPr>
                <w:kern w:val="0"/>
                <w:sz w:val="18"/>
                <w:szCs w:val="18"/>
              </w:rPr>
            </w:pPr>
            <w:r>
              <w:rPr>
                <w:rFonts w:hint="eastAsia"/>
                <w:sz w:val="18"/>
                <w:szCs w:val="18"/>
              </w:rPr>
              <w:t>0.03</w:t>
            </w:r>
            <w:r>
              <w:rPr>
                <w:sz w:val="18"/>
                <w:szCs w:val="18"/>
              </w:rPr>
              <w:t>/0.02</w:t>
            </w:r>
          </w:p>
          <w:p>
            <w:pPr>
              <w:widowControl/>
              <w:jc w:val="center"/>
              <w:rPr>
                <w:kern w:val="0"/>
                <w:sz w:val="18"/>
                <w:szCs w:val="18"/>
              </w:rPr>
            </w:pPr>
            <w:r>
              <w:rPr>
                <w:rFonts w:hint="eastAsia"/>
                <w:sz w:val="18"/>
                <w:szCs w:val="18"/>
              </w:rPr>
              <w:t>0.01</w:t>
            </w:r>
            <w:r>
              <w:rPr>
                <w:sz w:val="18"/>
                <w:szCs w:val="18"/>
              </w:rPr>
              <w:t>/0.003</w:t>
            </w:r>
          </w:p>
          <w:p>
            <w:pPr>
              <w:widowControl/>
              <w:jc w:val="center"/>
              <w:rPr>
                <w:kern w:val="0"/>
                <w:sz w:val="18"/>
                <w:szCs w:val="18"/>
              </w:rPr>
            </w:pPr>
            <w:r>
              <w:rPr>
                <w:rFonts w:hint="eastAsia"/>
                <w:sz w:val="18"/>
                <w:szCs w:val="18"/>
              </w:rPr>
              <w:t>0.07</w:t>
            </w:r>
            <w:r>
              <w:rPr>
                <w:sz w:val="18"/>
                <w:szCs w:val="18"/>
              </w:rPr>
              <w:t>/0.05</w:t>
            </w:r>
          </w:p>
          <w:p>
            <w:pPr>
              <w:widowControl/>
              <w:jc w:val="center"/>
              <w:rPr>
                <w:kern w:val="0"/>
                <w:sz w:val="18"/>
                <w:szCs w:val="18"/>
              </w:rPr>
            </w:pPr>
            <w:r>
              <w:rPr>
                <w:rFonts w:hint="eastAsia"/>
                <w:sz w:val="18"/>
                <w:szCs w:val="18"/>
              </w:rPr>
              <w:t>0.003</w:t>
            </w:r>
            <w:r>
              <w:rPr>
                <w:sz w:val="18"/>
                <w:szCs w:val="18"/>
              </w:rPr>
              <w:t>/0.002</w:t>
            </w:r>
          </w:p>
          <w:p>
            <w:pPr>
              <w:jc w:val="center"/>
              <w:rPr>
                <w:kern w:val="0"/>
                <w:sz w:val="18"/>
                <w:szCs w:val="18"/>
              </w:rPr>
            </w:pPr>
            <w:r>
              <w:rPr>
                <w:rFonts w:hint="eastAsia"/>
                <w:sz w:val="18"/>
                <w:szCs w:val="18"/>
              </w:rPr>
              <w:t>0.01</w:t>
            </w:r>
            <w:r>
              <w:rPr>
                <w:sz w:val="18"/>
                <w:szCs w:val="18"/>
              </w:rPr>
              <w:t>/0.003</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COD</w:t>
            </w:r>
          </w:p>
        </w:tc>
        <w:tc>
          <w:tcPr>
            <w:tcW w:w="488" w:type="pct"/>
            <w:shd w:val="clear" w:color="auto" w:fill="auto"/>
            <w:vAlign w:val="center"/>
          </w:tcPr>
          <w:p>
            <w:pPr>
              <w:jc w:val="center"/>
              <w:rPr>
                <w:kern w:val="0"/>
                <w:sz w:val="18"/>
                <w:szCs w:val="18"/>
              </w:rPr>
            </w:pPr>
            <w:r>
              <w:rPr>
                <w:rFonts w:hint="eastAsia"/>
                <w:sz w:val="18"/>
                <w:szCs w:val="18"/>
              </w:rPr>
              <w:t>600</w:t>
            </w:r>
          </w:p>
        </w:tc>
        <w:tc>
          <w:tcPr>
            <w:tcW w:w="333" w:type="pct"/>
            <w:shd w:val="clear" w:color="auto" w:fill="auto"/>
            <w:vAlign w:val="center"/>
          </w:tcPr>
          <w:p>
            <w:pPr>
              <w:widowControl/>
              <w:jc w:val="center"/>
              <w:rPr>
                <w:kern w:val="0"/>
                <w:sz w:val="18"/>
                <w:szCs w:val="18"/>
              </w:rPr>
            </w:pPr>
            <w:r>
              <w:rPr>
                <w:rFonts w:hint="eastAsia"/>
                <w:sz w:val="18"/>
                <w:szCs w:val="18"/>
              </w:rPr>
              <w:t>0.19</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BOD</w:t>
            </w:r>
            <w:r>
              <w:rPr>
                <w:sz w:val="18"/>
                <w:szCs w:val="18"/>
                <w:vertAlign w:val="subscript"/>
              </w:rPr>
              <w:t>5</w:t>
            </w:r>
          </w:p>
        </w:tc>
        <w:tc>
          <w:tcPr>
            <w:tcW w:w="488" w:type="pct"/>
            <w:shd w:val="clear" w:color="auto" w:fill="auto"/>
            <w:vAlign w:val="center"/>
          </w:tcPr>
          <w:p>
            <w:pPr>
              <w:jc w:val="center"/>
              <w:rPr>
                <w:kern w:val="0"/>
                <w:sz w:val="18"/>
                <w:szCs w:val="18"/>
              </w:rPr>
            </w:pPr>
            <w:r>
              <w:rPr>
                <w:rFonts w:hint="eastAsia"/>
                <w:sz w:val="18"/>
                <w:szCs w:val="18"/>
              </w:rPr>
              <w:t>250</w:t>
            </w:r>
          </w:p>
        </w:tc>
        <w:tc>
          <w:tcPr>
            <w:tcW w:w="333" w:type="pct"/>
            <w:shd w:val="clear" w:color="auto" w:fill="auto"/>
            <w:vAlign w:val="center"/>
          </w:tcPr>
          <w:p>
            <w:pPr>
              <w:widowControl/>
              <w:jc w:val="center"/>
              <w:rPr>
                <w:kern w:val="0"/>
                <w:sz w:val="18"/>
                <w:szCs w:val="18"/>
              </w:rPr>
            </w:pPr>
            <w:r>
              <w:rPr>
                <w:rFonts w:hint="eastAsia"/>
                <w:sz w:val="18"/>
                <w:szCs w:val="18"/>
              </w:rPr>
              <w:t>0.08</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SS</w:t>
            </w:r>
          </w:p>
        </w:tc>
        <w:tc>
          <w:tcPr>
            <w:tcW w:w="488" w:type="pct"/>
            <w:shd w:val="clear" w:color="auto" w:fill="auto"/>
            <w:vAlign w:val="center"/>
          </w:tcPr>
          <w:p>
            <w:pPr>
              <w:jc w:val="center"/>
              <w:rPr>
                <w:kern w:val="0"/>
                <w:sz w:val="18"/>
                <w:szCs w:val="18"/>
              </w:rPr>
            </w:pPr>
            <w:r>
              <w:rPr>
                <w:rFonts w:hint="eastAsia"/>
                <w:sz w:val="18"/>
                <w:szCs w:val="18"/>
              </w:rPr>
              <w:t>400</w:t>
            </w:r>
          </w:p>
        </w:tc>
        <w:tc>
          <w:tcPr>
            <w:tcW w:w="333" w:type="pct"/>
            <w:shd w:val="clear" w:color="auto" w:fill="auto"/>
            <w:vAlign w:val="center"/>
          </w:tcPr>
          <w:p>
            <w:pPr>
              <w:widowControl/>
              <w:jc w:val="center"/>
              <w:rPr>
                <w:kern w:val="0"/>
                <w:sz w:val="18"/>
                <w:szCs w:val="18"/>
              </w:rPr>
            </w:pPr>
            <w:r>
              <w:rPr>
                <w:rFonts w:hint="eastAsia"/>
                <w:sz w:val="18"/>
                <w:szCs w:val="18"/>
              </w:rPr>
              <w:t>0.13</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NH</w:t>
            </w:r>
            <w:r>
              <w:rPr>
                <w:sz w:val="18"/>
                <w:szCs w:val="18"/>
                <w:vertAlign w:val="subscript"/>
              </w:rPr>
              <w:t>3</w:t>
            </w:r>
            <w:r>
              <w:rPr>
                <w:sz w:val="18"/>
                <w:szCs w:val="18"/>
              </w:rPr>
              <w:t>-N</w:t>
            </w:r>
          </w:p>
        </w:tc>
        <w:tc>
          <w:tcPr>
            <w:tcW w:w="488" w:type="pct"/>
            <w:shd w:val="clear" w:color="auto" w:fill="auto"/>
            <w:vAlign w:val="center"/>
          </w:tcPr>
          <w:p>
            <w:pPr>
              <w:jc w:val="center"/>
              <w:rPr>
                <w:kern w:val="0"/>
                <w:sz w:val="18"/>
                <w:szCs w:val="18"/>
              </w:rPr>
            </w:pPr>
            <w:r>
              <w:rPr>
                <w:rFonts w:hint="eastAsia"/>
                <w:sz w:val="18"/>
                <w:szCs w:val="18"/>
              </w:rPr>
              <w:t>20</w:t>
            </w:r>
          </w:p>
        </w:tc>
        <w:tc>
          <w:tcPr>
            <w:tcW w:w="333" w:type="pct"/>
            <w:shd w:val="clear" w:color="auto" w:fill="auto"/>
            <w:vAlign w:val="center"/>
          </w:tcPr>
          <w:p>
            <w:pPr>
              <w:widowControl/>
              <w:jc w:val="center"/>
              <w:rPr>
                <w:kern w:val="0"/>
                <w:sz w:val="18"/>
                <w:szCs w:val="18"/>
              </w:rPr>
            </w:pPr>
            <w:r>
              <w:rPr>
                <w:rFonts w:hint="eastAsia"/>
                <w:sz w:val="18"/>
                <w:szCs w:val="18"/>
              </w:rPr>
              <w:t>0.01</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rFonts w:hint="eastAsia"/>
                <w:sz w:val="18"/>
                <w:szCs w:val="18"/>
              </w:rPr>
              <w:t>石油类</w:t>
            </w:r>
          </w:p>
        </w:tc>
        <w:tc>
          <w:tcPr>
            <w:tcW w:w="488" w:type="pct"/>
            <w:shd w:val="clear" w:color="auto" w:fill="auto"/>
            <w:vAlign w:val="center"/>
          </w:tcPr>
          <w:p>
            <w:pPr>
              <w:jc w:val="center"/>
              <w:rPr>
                <w:kern w:val="0"/>
                <w:sz w:val="18"/>
                <w:szCs w:val="18"/>
              </w:rPr>
            </w:pPr>
            <w:r>
              <w:rPr>
                <w:rFonts w:hint="eastAsia"/>
                <w:sz w:val="18"/>
                <w:szCs w:val="18"/>
              </w:rPr>
              <w:t>100</w:t>
            </w:r>
          </w:p>
        </w:tc>
        <w:tc>
          <w:tcPr>
            <w:tcW w:w="333" w:type="pct"/>
            <w:shd w:val="clear" w:color="auto" w:fill="auto"/>
            <w:vAlign w:val="center"/>
          </w:tcPr>
          <w:p>
            <w:pPr>
              <w:widowControl/>
              <w:jc w:val="center"/>
              <w:rPr>
                <w:kern w:val="0"/>
                <w:sz w:val="18"/>
                <w:szCs w:val="18"/>
              </w:rPr>
            </w:pPr>
            <w:r>
              <w:rPr>
                <w:rFonts w:hint="eastAsia"/>
                <w:sz w:val="18"/>
                <w:szCs w:val="18"/>
              </w:rPr>
              <w:t>0.03</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restart"/>
            <w:vAlign w:val="center"/>
          </w:tcPr>
          <w:p>
            <w:pPr>
              <w:widowControl/>
              <w:jc w:val="center"/>
              <w:rPr>
                <w:kern w:val="0"/>
                <w:sz w:val="18"/>
                <w:szCs w:val="18"/>
              </w:rPr>
            </w:pPr>
            <w:r>
              <w:rPr>
                <w:rFonts w:hint="eastAsia"/>
                <w:kern w:val="0"/>
                <w:sz w:val="18"/>
                <w:szCs w:val="18"/>
              </w:rPr>
              <w:t>生活废水（包含餐饮废水）</w:t>
            </w:r>
          </w:p>
        </w:tc>
        <w:tc>
          <w:tcPr>
            <w:tcW w:w="488" w:type="pct"/>
            <w:vMerge w:val="restart"/>
            <w:shd w:val="clear" w:color="auto" w:fill="auto"/>
            <w:vAlign w:val="center"/>
          </w:tcPr>
          <w:p>
            <w:pPr>
              <w:widowControl/>
              <w:jc w:val="center"/>
              <w:rPr>
                <w:kern w:val="0"/>
                <w:sz w:val="18"/>
                <w:szCs w:val="18"/>
              </w:rPr>
            </w:pPr>
            <w:r>
              <w:rPr>
                <w:kern w:val="0"/>
                <w:sz w:val="18"/>
                <w:szCs w:val="18"/>
              </w:rPr>
              <w:t>9</w:t>
            </w:r>
          </w:p>
          <w:p>
            <w:pPr>
              <w:widowControl/>
              <w:jc w:val="center"/>
              <w:rPr>
                <w:kern w:val="0"/>
                <w:sz w:val="18"/>
                <w:szCs w:val="18"/>
              </w:rPr>
            </w:pPr>
            <w:r>
              <w:rPr>
                <w:kern w:val="0"/>
                <w:sz w:val="18"/>
                <w:szCs w:val="18"/>
              </w:rPr>
              <w:t>2970（m</w:t>
            </w:r>
            <w:r>
              <w:rPr>
                <w:kern w:val="0"/>
                <w:sz w:val="18"/>
                <w:szCs w:val="18"/>
                <w:vertAlign w:val="superscript"/>
              </w:rPr>
              <w:t>3</w:t>
            </w:r>
            <w:r>
              <w:rPr>
                <w:kern w:val="0"/>
                <w:sz w:val="18"/>
                <w:szCs w:val="18"/>
              </w:rPr>
              <w:t>/</w:t>
            </w:r>
            <w:r>
              <w:rPr>
                <w:rFonts w:hint="eastAsia"/>
                <w:kern w:val="0"/>
                <w:sz w:val="18"/>
                <w:szCs w:val="18"/>
              </w:rPr>
              <w:t>a</w:t>
            </w:r>
            <w:r>
              <w:rPr>
                <w:kern w:val="0"/>
                <w:sz w:val="18"/>
                <w:szCs w:val="18"/>
              </w:rPr>
              <w:t>）</w:t>
            </w:r>
          </w:p>
        </w:tc>
        <w:tc>
          <w:tcPr>
            <w:tcW w:w="592" w:type="pct"/>
            <w:shd w:val="clear" w:color="auto" w:fill="auto"/>
            <w:vAlign w:val="center"/>
          </w:tcPr>
          <w:p>
            <w:pPr>
              <w:jc w:val="center"/>
              <w:rPr>
                <w:kern w:val="0"/>
                <w:sz w:val="18"/>
                <w:szCs w:val="18"/>
              </w:rPr>
            </w:pPr>
            <w:r>
              <w:rPr>
                <w:rFonts w:hint="eastAsia"/>
                <w:sz w:val="18"/>
                <w:szCs w:val="18"/>
              </w:rPr>
              <w:t>pH</w:t>
            </w:r>
          </w:p>
        </w:tc>
        <w:tc>
          <w:tcPr>
            <w:tcW w:w="488" w:type="pct"/>
            <w:shd w:val="clear" w:color="auto" w:fill="auto"/>
            <w:vAlign w:val="center"/>
          </w:tcPr>
          <w:p>
            <w:pPr>
              <w:jc w:val="center"/>
              <w:rPr>
                <w:kern w:val="0"/>
                <w:sz w:val="18"/>
                <w:szCs w:val="18"/>
              </w:rPr>
            </w:pPr>
            <w:r>
              <w:rPr>
                <w:rFonts w:hint="eastAsia"/>
                <w:kern w:val="0"/>
                <w:sz w:val="18"/>
                <w:szCs w:val="18"/>
              </w:rPr>
              <w:t>6~9（无量纲）</w:t>
            </w:r>
          </w:p>
        </w:tc>
        <w:tc>
          <w:tcPr>
            <w:tcW w:w="333" w:type="pct"/>
            <w:shd w:val="clear" w:color="auto" w:fill="auto"/>
            <w:vAlign w:val="center"/>
          </w:tcPr>
          <w:p>
            <w:pPr>
              <w:widowControl/>
              <w:jc w:val="center"/>
              <w:rPr>
                <w:kern w:val="0"/>
                <w:sz w:val="18"/>
                <w:szCs w:val="18"/>
              </w:rPr>
            </w:pPr>
            <w:r>
              <w:rPr>
                <w:rFonts w:hint="eastAsia"/>
                <w:kern w:val="0"/>
                <w:sz w:val="18"/>
                <w:szCs w:val="18"/>
              </w:rPr>
              <w:t>/</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COD</w:t>
            </w:r>
          </w:p>
        </w:tc>
        <w:tc>
          <w:tcPr>
            <w:tcW w:w="488" w:type="pct"/>
            <w:shd w:val="clear" w:color="auto" w:fill="auto"/>
            <w:vAlign w:val="center"/>
          </w:tcPr>
          <w:p>
            <w:pPr>
              <w:jc w:val="center"/>
              <w:rPr>
                <w:kern w:val="0"/>
                <w:sz w:val="18"/>
                <w:szCs w:val="18"/>
              </w:rPr>
            </w:pPr>
            <w:r>
              <w:rPr>
                <w:rFonts w:hint="eastAsia"/>
                <w:sz w:val="18"/>
                <w:szCs w:val="18"/>
              </w:rPr>
              <w:t>400</w:t>
            </w:r>
          </w:p>
        </w:tc>
        <w:tc>
          <w:tcPr>
            <w:tcW w:w="333" w:type="pct"/>
            <w:shd w:val="clear" w:color="auto" w:fill="auto"/>
            <w:vAlign w:val="center"/>
          </w:tcPr>
          <w:p>
            <w:pPr>
              <w:widowControl/>
              <w:jc w:val="center"/>
              <w:rPr>
                <w:kern w:val="0"/>
                <w:sz w:val="18"/>
                <w:szCs w:val="18"/>
              </w:rPr>
            </w:pPr>
            <w:r>
              <w:rPr>
                <w:rFonts w:hint="eastAsia"/>
                <w:sz w:val="18"/>
                <w:szCs w:val="18"/>
              </w:rPr>
              <w:t>1.19</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jc w:val="center"/>
              <w:rPr>
                <w:kern w:val="0"/>
                <w:sz w:val="18"/>
                <w:szCs w:val="18"/>
              </w:rPr>
            </w:pPr>
          </w:p>
        </w:tc>
        <w:tc>
          <w:tcPr>
            <w:tcW w:w="354" w:type="pct"/>
            <w:vMerge w:val="continue"/>
            <w:shd w:val="clear" w:color="auto" w:fill="auto"/>
            <w:vAlign w:val="center"/>
          </w:tcPr>
          <w:p>
            <w:pPr>
              <w:jc w:val="center"/>
              <w:rPr>
                <w:kern w:val="0"/>
                <w:sz w:val="18"/>
                <w:szCs w:val="18"/>
              </w:rPr>
            </w:pPr>
          </w:p>
        </w:tc>
        <w:tc>
          <w:tcPr>
            <w:tcW w:w="319" w:type="pct"/>
            <w:vMerge w:val="continue"/>
            <w:shd w:val="clear" w:color="auto" w:fill="auto"/>
            <w:vAlign w:val="center"/>
          </w:tcPr>
          <w:p>
            <w:pPr>
              <w:jc w:val="center"/>
              <w:rPr>
                <w:kern w:val="0"/>
                <w:sz w:val="18"/>
                <w:szCs w:val="18"/>
              </w:rPr>
            </w:pPr>
          </w:p>
        </w:tc>
        <w:tc>
          <w:tcPr>
            <w:tcW w:w="396" w:type="pct"/>
            <w:vMerge w:val="continue"/>
            <w:shd w:val="clear" w:color="auto" w:fill="auto"/>
            <w:vAlign w:val="center"/>
          </w:tcPr>
          <w:p>
            <w:pPr>
              <w:jc w:val="center"/>
              <w:rPr>
                <w:kern w:val="0"/>
                <w:sz w:val="18"/>
                <w:szCs w:val="18"/>
              </w:rPr>
            </w:pPr>
          </w:p>
        </w:tc>
        <w:tc>
          <w:tcPr>
            <w:tcW w:w="450" w:type="pct"/>
            <w:vMerge w:val="continue"/>
            <w:shd w:val="clear" w:color="auto" w:fill="auto"/>
            <w:vAlign w:val="center"/>
          </w:tcPr>
          <w:p>
            <w:pPr>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BOD</w:t>
            </w:r>
            <w:r>
              <w:rPr>
                <w:sz w:val="18"/>
                <w:szCs w:val="18"/>
                <w:vertAlign w:val="subscript"/>
              </w:rPr>
              <w:t>5</w:t>
            </w:r>
          </w:p>
        </w:tc>
        <w:tc>
          <w:tcPr>
            <w:tcW w:w="488" w:type="pct"/>
            <w:shd w:val="clear" w:color="auto" w:fill="auto"/>
            <w:vAlign w:val="center"/>
          </w:tcPr>
          <w:p>
            <w:pPr>
              <w:jc w:val="center"/>
              <w:rPr>
                <w:kern w:val="0"/>
                <w:sz w:val="18"/>
                <w:szCs w:val="18"/>
              </w:rPr>
            </w:pPr>
            <w:r>
              <w:rPr>
                <w:rFonts w:hint="eastAsia"/>
                <w:sz w:val="18"/>
                <w:szCs w:val="18"/>
              </w:rPr>
              <w:t>80</w:t>
            </w:r>
          </w:p>
        </w:tc>
        <w:tc>
          <w:tcPr>
            <w:tcW w:w="333" w:type="pct"/>
            <w:shd w:val="clear" w:color="auto" w:fill="auto"/>
            <w:vAlign w:val="center"/>
          </w:tcPr>
          <w:p>
            <w:pPr>
              <w:widowControl/>
              <w:jc w:val="center"/>
              <w:rPr>
                <w:kern w:val="0"/>
                <w:sz w:val="18"/>
                <w:szCs w:val="18"/>
              </w:rPr>
            </w:pPr>
            <w:r>
              <w:rPr>
                <w:rFonts w:hint="eastAsia"/>
                <w:sz w:val="18"/>
                <w:szCs w:val="18"/>
              </w:rPr>
              <w:t>0.24</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SS</w:t>
            </w:r>
          </w:p>
        </w:tc>
        <w:tc>
          <w:tcPr>
            <w:tcW w:w="488" w:type="pct"/>
            <w:shd w:val="clear" w:color="auto" w:fill="auto"/>
            <w:vAlign w:val="center"/>
          </w:tcPr>
          <w:p>
            <w:pPr>
              <w:jc w:val="center"/>
              <w:rPr>
                <w:kern w:val="0"/>
                <w:sz w:val="18"/>
                <w:szCs w:val="18"/>
              </w:rPr>
            </w:pPr>
            <w:r>
              <w:rPr>
                <w:rFonts w:hint="eastAsia"/>
                <w:sz w:val="18"/>
                <w:szCs w:val="18"/>
              </w:rPr>
              <w:t>250</w:t>
            </w:r>
          </w:p>
        </w:tc>
        <w:tc>
          <w:tcPr>
            <w:tcW w:w="333" w:type="pct"/>
            <w:shd w:val="clear" w:color="auto" w:fill="auto"/>
            <w:vAlign w:val="center"/>
          </w:tcPr>
          <w:p>
            <w:pPr>
              <w:widowControl/>
              <w:jc w:val="center"/>
              <w:rPr>
                <w:kern w:val="0"/>
                <w:sz w:val="18"/>
                <w:szCs w:val="18"/>
              </w:rPr>
            </w:pPr>
            <w:r>
              <w:rPr>
                <w:rFonts w:hint="eastAsia"/>
                <w:sz w:val="18"/>
                <w:szCs w:val="18"/>
              </w:rPr>
              <w:t>0.74</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sz w:val="18"/>
                <w:szCs w:val="18"/>
              </w:rPr>
              <w:t>NH</w:t>
            </w:r>
            <w:r>
              <w:rPr>
                <w:sz w:val="18"/>
                <w:szCs w:val="18"/>
                <w:vertAlign w:val="subscript"/>
              </w:rPr>
              <w:t>3</w:t>
            </w:r>
            <w:r>
              <w:rPr>
                <w:sz w:val="18"/>
                <w:szCs w:val="18"/>
              </w:rPr>
              <w:t>-N</w:t>
            </w:r>
          </w:p>
        </w:tc>
        <w:tc>
          <w:tcPr>
            <w:tcW w:w="488" w:type="pct"/>
            <w:shd w:val="clear" w:color="auto" w:fill="auto"/>
            <w:vAlign w:val="center"/>
          </w:tcPr>
          <w:p>
            <w:pPr>
              <w:jc w:val="center"/>
              <w:rPr>
                <w:kern w:val="0"/>
                <w:sz w:val="18"/>
                <w:szCs w:val="18"/>
              </w:rPr>
            </w:pPr>
            <w:r>
              <w:rPr>
                <w:rFonts w:hint="eastAsia"/>
                <w:sz w:val="18"/>
                <w:szCs w:val="18"/>
              </w:rPr>
              <w:t>40</w:t>
            </w:r>
          </w:p>
        </w:tc>
        <w:tc>
          <w:tcPr>
            <w:tcW w:w="333" w:type="pct"/>
            <w:shd w:val="clear" w:color="auto" w:fill="auto"/>
            <w:vAlign w:val="center"/>
          </w:tcPr>
          <w:p>
            <w:pPr>
              <w:widowControl/>
              <w:jc w:val="center"/>
              <w:rPr>
                <w:kern w:val="0"/>
                <w:sz w:val="18"/>
                <w:szCs w:val="18"/>
              </w:rPr>
            </w:pPr>
            <w:r>
              <w:rPr>
                <w:rFonts w:hint="eastAsia"/>
                <w:sz w:val="18"/>
                <w:szCs w:val="18"/>
              </w:rPr>
              <w:t>0.12</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rFonts w:hint="eastAsia"/>
                <w:sz w:val="18"/>
                <w:szCs w:val="18"/>
              </w:rPr>
              <w:t>动植物油</w:t>
            </w:r>
          </w:p>
        </w:tc>
        <w:tc>
          <w:tcPr>
            <w:tcW w:w="488" w:type="pct"/>
            <w:shd w:val="clear" w:color="auto" w:fill="auto"/>
            <w:vAlign w:val="center"/>
          </w:tcPr>
          <w:p>
            <w:pPr>
              <w:jc w:val="center"/>
              <w:rPr>
                <w:kern w:val="0"/>
                <w:sz w:val="18"/>
                <w:szCs w:val="18"/>
              </w:rPr>
            </w:pPr>
            <w:r>
              <w:rPr>
                <w:rFonts w:hint="eastAsia"/>
                <w:sz w:val="18"/>
                <w:szCs w:val="18"/>
              </w:rPr>
              <w:t>50</w:t>
            </w:r>
          </w:p>
        </w:tc>
        <w:tc>
          <w:tcPr>
            <w:tcW w:w="333" w:type="pct"/>
            <w:shd w:val="clear" w:color="auto" w:fill="auto"/>
            <w:vAlign w:val="center"/>
          </w:tcPr>
          <w:p>
            <w:pPr>
              <w:widowControl/>
              <w:jc w:val="center"/>
              <w:rPr>
                <w:kern w:val="0"/>
                <w:sz w:val="18"/>
                <w:szCs w:val="18"/>
              </w:rPr>
            </w:pPr>
            <w:r>
              <w:rPr>
                <w:rFonts w:hint="eastAsia"/>
                <w:sz w:val="18"/>
                <w:szCs w:val="18"/>
              </w:rPr>
              <w:t>0.15</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rFonts w:hint="eastAsia"/>
                <w:sz w:val="18"/>
                <w:szCs w:val="18"/>
              </w:rPr>
              <w:t>总氮</w:t>
            </w:r>
          </w:p>
        </w:tc>
        <w:tc>
          <w:tcPr>
            <w:tcW w:w="488" w:type="pct"/>
            <w:shd w:val="clear" w:color="auto" w:fill="auto"/>
            <w:vAlign w:val="center"/>
          </w:tcPr>
          <w:p>
            <w:pPr>
              <w:jc w:val="center"/>
              <w:rPr>
                <w:kern w:val="0"/>
                <w:sz w:val="18"/>
                <w:szCs w:val="18"/>
              </w:rPr>
            </w:pPr>
            <w:r>
              <w:rPr>
                <w:rFonts w:hint="eastAsia"/>
                <w:sz w:val="18"/>
                <w:szCs w:val="18"/>
              </w:rPr>
              <w:t>60</w:t>
            </w:r>
          </w:p>
        </w:tc>
        <w:tc>
          <w:tcPr>
            <w:tcW w:w="333" w:type="pct"/>
            <w:shd w:val="clear" w:color="auto" w:fill="auto"/>
            <w:vAlign w:val="center"/>
          </w:tcPr>
          <w:p>
            <w:pPr>
              <w:widowControl/>
              <w:jc w:val="center"/>
              <w:rPr>
                <w:kern w:val="0"/>
                <w:sz w:val="18"/>
                <w:szCs w:val="18"/>
              </w:rPr>
            </w:pPr>
            <w:r>
              <w:rPr>
                <w:rFonts w:hint="eastAsia"/>
                <w:sz w:val="18"/>
                <w:szCs w:val="18"/>
              </w:rPr>
              <w:t>0.18</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kern w:val="0"/>
                <w:sz w:val="18"/>
                <w:szCs w:val="18"/>
              </w:rPr>
            </w:pPr>
            <w:r>
              <w:rPr>
                <w:rFonts w:hint="eastAsia"/>
                <w:sz w:val="18"/>
                <w:szCs w:val="18"/>
              </w:rPr>
              <w:t>总磷</w:t>
            </w:r>
          </w:p>
        </w:tc>
        <w:tc>
          <w:tcPr>
            <w:tcW w:w="488" w:type="pct"/>
            <w:shd w:val="clear" w:color="auto" w:fill="auto"/>
            <w:vAlign w:val="center"/>
          </w:tcPr>
          <w:p>
            <w:pPr>
              <w:jc w:val="center"/>
              <w:rPr>
                <w:kern w:val="0"/>
                <w:sz w:val="18"/>
                <w:szCs w:val="18"/>
              </w:rPr>
            </w:pPr>
            <w:r>
              <w:rPr>
                <w:rFonts w:hint="eastAsia"/>
                <w:sz w:val="18"/>
                <w:szCs w:val="18"/>
              </w:rPr>
              <w:t>5</w:t>
            </w:r>
          </w:p>
        </w:tc>
        <w:tc>
          <w:tcPr>
            <w:tcW w:w="333" w:type="pct"/>
            <w:shd w:val="clear" w:color="auto" w:fill="auto"/>
            <w:vAlign w:val="center"/>
          </w:tcPr>
          <w:p>
            <w:pPr>
              <w:widowControl/>
              <w:jc w:val="center"/>
              <w:rPr>
                <w:kern w:val="0"/>
                <w:sz w:val="18"/>
                <w:szCs w:val="18"/>
              </w:rPr>
            </w:pPr>
            <w:r>
              <w:rPr>
                <w:rFonts w:hint="eastAsia"/>
                <w:sz w:val="18"/>
                <w:szCs w:val="18"/>
              </w:rPr>
              <w:t>0.01</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restart"/>
            <w:vAlign w:val="center"/>
          </w:tcPr>
          <w:p>
            <w:pPr>
              <w:widowControl/>
              <w:jc w:val="center"/>
              <w:rPr>
                <w:kern w:val="0"/>
                <w:sz w:val="18"/>
                <w:szCs w:val="18"/>
              </w:rPr>
            </w:pPr>
            <w:r>
              <w:rPr>
                <w:rFonts w:hint="eastAsia"/>
                <w:kern w:val="0"/>
                <w:sz w:val="18"/>
                <w:szCs w:val="18"/>
              </w:rPr>
              <w:t>汇总</w:t>
            </w:r>
          </w:p>
        </w:tc>
        <w:tc>
          <w:tcPr>
            <w:tcW w:w="488" w:type="pct"/>
            <w:vMerge w:val="restart"/>
            <w:shd w:val="clear" w:color="auto" w:fill="auto"/>
            <w:vAlign w:val="center"/>
          </w:tcPr>
          <w:p>
            <w:pPr>
              <w:widowControl/>
              <w:jc w:val="center"/>
              <w:rPr>
                <w:kern w:val="0"/>
                <w:sz w:val="18"/>
                <w:szCs w:val="18"/>
              </w:rPr>
            </w:pPr>
            <w:r>
              <w:rPr>
                <w:rFonts w:hint="eastAsia"/>
                <w:kern w:val="0"/>
                <w:sz w:val="18"/>
                <w:szCs w:val="18"/>
              </w:rPr>
              <w:t>1</w:t>
            </w:r>
            <w:r>
              <w:rPr>
                <w:kern w:val="0"/>
                <w:sz w:val="18"/>
                <w:szCs w:val="18"/>
              </w:rPr>
              <w:t>3.84</w:t>
            </w:r>
          </w:p>
          <w:p>
            <w:pPr>
              <w:widowControl/>
              <w:jc w:val="center"/>
              <w:rPr>
                <w:kern w:val="0"/>
                <w:sz w:val="18"/>
                <w:szCs w:val="18"/>
              </w:rPr>
            </w:pPr>
            <w:r>
              <w:rPr>
                <w:rFonts w:hint="eastAsia"/>
                <w:kern w:val="0"/>
                <w:sz w:val="18"/>
                <w:szCs w:val="18"/>
              </w:rPr>
              <w:t>3</w:t>
            </w:r>
            <w:r>
              <w:rPr>
                <w:kern w:val="0"/>
                <w:sz w:val="18"/>
                <w:szCs w:val="18"/>
              </w:rPr>
              <w:t>289.44（m</w:t>
            </w:r>
            <w:r>
              <w:rPr>
                <w:kern w:val="0"/>
                <w:sz w:val="18"/>
                <w:szCs w:val="18"/>
                <w:vertAlign w:val="superscript"/>
              </w:rPr>
              <w:t>3</w:t>
            </w:r>
            <w:r>
              <w:rPr>
                <w:kern w:val="0"/>
                <w:sz w:val="18"/>
                <w:szCs w:val="18"/>
              </w:rPr>
              <w:t>/</w:t>
            </w:r>
            <w:r>
              <w:rPr>
                <w:rFonts w:hint="eastAsia"/>
                <w:kern w:val="0"/>
                <w:sz w:val="18"/>
                <w:szCs w:val="18"/>
              </w:rPr>
              <w:t>a</w:t>
            </w:r>
            <w:r>
              <w:rPr>
                <w:kern w:val="0"/>
                <w:sz w:val="18"/>
                <w:szCs w:val="18"/>
              </w:rPr>
              <w:t>）</w:t>
            </w:r>
          </w:p>
        </w:tc>
        <w:tc>
          <w:tcPr>
            <w:tcW w:w="592" w:type="pct"/>
            <w:shd w:val="clear" w:color="auto" w:fill="auto"/>
            <w:vAlign w:val="center"/>
          </w:tcPr>
          <w:p>
            <w:pPr>
              <w:jc w:val="center"/>
              <w:rPr>
                <w:sz w:val="18"/>
                <w:szCs w:val="18"/>
              </w:rPr>
            </w:pPr>
            <w:r>
              <w:rPr>
                <w:rFonts w:hint="eastAsia"/>
                <w:sz w:val="18"/>
                <w:szCs w:val="18"/>
              </w:rPr>
              <w:t>pH</w:t>
            </w:r>
          </w:p>
        </w:tc>
        <w:tc>
          <w:tcPr>
            <w:tcW w:w="488" w:type="pct"/>
            <w:shd w:val="clear" w:color="auto" w:fill="auto"/>
            <w:vAlign w:val="center"/>
          </w:tcPr>
          <w:p>
            <w:pPr>
              <w:jc w:val="center"/>
              <w:rPr>
                <w:sz w:val="18"/>
                <w:szCs w:val="18"/>
              </w:rPr>
            </w:pPr>
            <w:r>
              <w:rPr>
                <w:rFonts w:hint="eastAsia"/>
                <w:kern w:val="0"/>
                <w:sz w:val="18"/>
                <w:szCs w:val="18"/>
              </w:rPr>
              <w:t>6~9（无量纲）</w:t>
            </w:r>
          </w:p>
        </w:tc>
        <w:tc>
          <w:tcPr>
            <w:tcW w:w="333" w:type="pct"/>
            <w:shd w:val="clear" w:color="auto" w:fill="auto"/>
            <w:vAlign w:val="center"/>
          </w:tcPr>
          <w:p>
            <w:pPr>
              <w:widowControl/>
              <w:jc w:val="center"/>
              <w:rPr>
                <w:sz w:val="18"/>
                <w:szCs w:val="18"/>
              </w:rPr>
            </w:pPr>
            <w:r>
              <w:rPr>
                <w:rFonts w:hint="eastAsia"/>
                <w:kern w:val="0"/>
                <w:sz w:val="18"/>
                <w:szCs w:val="18"/>
              </w:rPr>
              <w:t>/</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sz w:val="18"/>
                <w:szCs w:val="18"/>
              </w:rPr>
              <w:t>COD</w:t>
            </w:r>
          </w:p>
        </w:tc>
        <w:tc>
          <w:tcPr>
            <w:tcW w:w="488" w:type="pct"/>
            <w:shd w:val="clear" w:color="auto" w:fill="auto"/>
            <w:vAlign w:val="center"/>
          </w:tcPr>
          <w:p>
            <w:pPr>
              <w:jc w:val="center"/>
              <w:rPr>
                <w:sz w:val="18"/>
                <w:szCs w:val="18"/>
              </w:rPr>
            </w:pPr>
            <w:r>
              <w:rPr>
                <w:rFonts w:hint="eastAsia"/>
                <w:sz w:val="18"/>
                <w:szCs w:val="18"/>
              </w:rPr>
              <w:t>420</w:t>
            </w:r>
          </w:p>
        </w:tc>
        <w:tc>
          <w:tcPr>
            <w:tcW w:w="333" w:type="pct"/>
            <w:shd w:val="clear" w:color="auto" w:fill="auto"/>
            <w:vAlign w:val="center"/>
          </w:tcPr>
          <w:p>
            <w:pPr>
              <w:widowControl/>
              <w:jc w:val="center"/>
              <w:rPr>
                <w:sz w:val="18"/>
                <w:szCs w:val="18"/>
              </w:rPr>
            </w:pPr>
            <w:r>
              <w:rPr>
                <w:rFonts w:hint="eastAsia"/>
                <w:sz w:val="18"/>
                <w:szCs w:val="18"/>
              </w:rPr>
              <w:t>1.38</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sz w:val="18"/>
                <w:szCs w:val="18"/>
              </w:rPr>
              <w:t>BOD</w:t>
            </w:r>
            <w:r>
              <w:rPr>
                <w:sz w:val="18"/>
                <w:szCs w:val="18"/>
                <w:vertAlign w:val="subscript"/>
              </w:rPr>
              <w:t>5</w:t>
            </w:r>
          </w:p>
        </w:tc>
        <w:tc>
          <w:tcPr>
            <w:tcW w:w="488" w:type="pct"/>
            <w:shd w:val="clear" w:color="auto" w:fill="auto"/>
            <w:vAlign w:val="center"/>
          </w:tcPr>
          <w:p>
            <w:pPr>
              <w:jc w:val="center"/>
              <w:rPr>
                <w:sz w:val="18"/>
                <w:szCs w:val="18"/>
              </w:rPr>
            </w:pPr>
            <w:r>
              <w:rPr>
                <w:rFonts w:hint="eastAsia"/>
                <w:sz w:val="18"/>
                <w:szCs w:val="18"/>
              </w:rPr>
              <w:t>97</w:t>
            </w:r>
          </w:p>
        </w:tc>
        <w:tc>
          <w:tcPr>
            <w:tcW w:w="333" w:type="pct"/>
            <w:shd w:val="clear" w:color="auto" w:fill="auto"/>
            <w:vAlign w:val="center"/>
          </w:tcPr>
          <w:p>
            <w:pPr>
              <w:widowControl/>
              <w:jc w:val="center"/>
              <w:rPr>
                <w:sz w:val="18"/>
                <w:szCs w:val="18"/>
              </w:rPr>
            </w:pPr>
            <w:r>
              <w:rPr>
                <w:rFonts w:hint="eastAsia"/>
                <w:sz w:val="18"/>
                <w:szCs w:val="18"/>
              </w:rPr>
              <w:t>0.32</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sz w:val="18"/>
                <w:szCs w:val="18"/>
              </w:rPr>
              <w:t>SS</w:t>
            </w:r>
          </w:p>
        </w:tc>
        <w:tc>
          <w:tcPr>
            <w:tcW w:w="488" w:type="pct"/>
            <w:shd w:val="clear" w:color="auto" w:fill="auto"/>
            <w:vAlign w:val="center"/>
          </w:tcPr>
          <w:p>
            <w:pPr>
              <w:jc w:val="center"/>
              <w:rPr>
                <w:sz w:val="18"/>
                <w:szCs w:val="18"/>
              </w:rPr>
            </w:pPr>
            <w:r>
              <w:rPr>
                <w:rFonts w:hint="eastAsia"/>
                <w:sz w:val="18"/>
                <w:szCs w:val="18"/>
              </w:rPr>
              <w:t>264</w:t>
            </w:r>
          </w:p>
        </w:tc>
        <w:tc>
          <w:tcPr>
            <w:tcW w:w="333" w:type="pct"/>
            <w:shd w:val="clear" w:color="auto" w:fill="auto"/>
            <w:vAlign w:val="center"/>
          </w:tcPr>
          <w:p>
            <w:pPr>
              <w:widowControl/>
              <w:jc w:val="center"/>
              <w:rPr>
                <w:sz w:val="18"/>
                <w:szCs w:val="18"/>
              </w:rPr>
            </w:pPr>
            <w:r>
              <w:rPr>
                <w:rFonts w:hint="eastAsia"/>
                <w:sz w:val="18"/>
                <w:szCs w:val="18"/>
              </w:rPr>
              <w:t>0.87</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sz w:val="18"/>
                <w:szCs w:val="18"/>
              </w:rPr>
              <w:t>NH</w:t>
            </w:r>
            <w:r>
              <w:rPr>
                <w:sz w:val="18"/>
                <w:szCs w:val="18"/>
                <w:vertAlign w:val="subscript"/>
              </w:rPr>
              <w:t>3</w:t>
            </w:r>
            <w:r>
              <w:rPr>
                <w:sz w:val="18"/>
                <w:szCs w:val="18"/>
              </w:rPr>
              <w:t>-N</w:t>
            </w:r>
          </w:p>
        </w:tc>
        <w:tc>
          <w:tcPr>
            <w:tcW w:w="488" w:type="pct"/>
            <w:shd w:val="clear" w:color="auto" w:fill="auto"/>
            <w:vAlign w:val="center"/>
          </w:tcPr>
          <w:p>
            <w:pPr>
              <w:jc w:val="center"/>
              <w:rPr>
                <w:sz w:val="18"/>
                <w:szCs w:val="18"/>
              </w:rPr>
            </w:pPr>
            <w:r>
              <w:rPr>
                <w:rFonts w:hint="eastAsia"/>
                <w:sz w:val="18"/>
                <w:szCs w:val="18"/>
              </w:rPr>
              <w:t>40</w:t>
            </w:r>
          </w:p>
        </w:tc>
        <w:tc>
          <w:tcPr>
            <w:tcW w:w="333" w:type="pct"/>
            <w:shd w:val="clear" w:color="auto" w:fill="auto"/>
            <w:vAlign w:val="center"/>
          </w:tcPr>
          <w:p>
            <w:pPr>
              <w:widowControl/>
              <w:jc w:val="center"/>
              <w:rPr>
                <w:sz w:val="18"/>
                <w:szCs w:val="18"/>
              </w:rPr>
            </w:pPr>
            <w:r>
              <w:rPr>
                <w:rFonts w:hint="eastAsia"/>
                <w:sz w:val="18"/>
                <w:szCs w:val="18"/>
              </w:rPr>
              <w:t>0.13</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rFonts w:hint="eastAsia"/>
                <w:sz w:val="18"/>
                <w:szCs w:val="18"/>
              </w:rPr>
              <w:t>动植物油</w:t>
            </w:r>
          </w:p>
        </w:tc>
        <w:tc>
          <w:tcPr>
            <w:tcW w:w="488" w:type="pct"/>
            <w:shd w:val="clear" w:color="auto" w:fill="auto"/>
            <w:vAlign w:val="center"/>
          </w:tcPr>
          <w:p>
            <w:pPr>
              <w:jc w:val="center"/>
              <w:rPr>
                <w:sz w:val="18"/>
                <w:szCs w:val="18"/>
              </w:rPr>
            </w:pPr>
            <w:r>
              <w:rPr>
                <w:rFonts w:hint="eastAsia"/>
                <w:sz w:val="18"/>
                <w:szCs w:val="18"/>
              </w:rPr>
              <w:t>55</w:t>
            </w:r>
          </w:p>
        </w:tc>
        <w:tc>
          <w:tcPr>
            <w:tcW w:w="333" w:type="pct"/>
            <w:shd w:val="clear" w:color="auto" w:fill="auto"/>
            <w:vAlign w:val="center"/>
          </w:tcPr>
          <w:p>
            <w:pPr>
              <w:widowControl/>
              <w:jc w:val="center"/>
              <w:rPr>
                <w:sz w:val="18"/>
                <w:szCs w:val="18"/>
              </w:rPr>
            </w:pPr>
            <w:r>
              <w:rPr>
                <w:rFonts w:hint="eastAsia"/>
                <w:sz w:val="18"/>
                <w:szCs w:val="18"/>
              </w:rPr>
              <w:t>0.18</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rFonts w:hint="eastAsia"/>
                <w:sz w:val="18"/>
                <w:szCs w:val="18"/>
              </w:rPr>
              <w:t>总氮</w:t>
            </w:r>
          </w:p>
        </w:tc>
        <w:tc>
          <w:tcPr>
            <w:tcW w:w="488" w:type="pct"/>
            <w:shd w:val="clear" w:color="auto" w:fill="auto"/>
            <w:vAlign w:val="center"/>
          </w:tcPr>
          <w:p>
            <w:pPr>
              <w:jc w:val="center"/>
              <w:rPr>
                <w:sz w:val="18"/>
                <w:szCs w:val="18"/>
              </w:rPr>
            </w:pPr>
            <w:r>
              <w:rPr>
                <w:rFonts w:hint="eastAsia"/>
                <w:sz w:val="18"/>
                <w:szCs w:val="18"/>
              </w:rPr>
              <w:t>55</w:t>
            </w:r>
          </w:p>
        </w:tc>
        <w:tc>
          <w:tcPr>
            <w:tcW w:w="333" w:type="pct"/>
            <w:shd w:val="clear" w:color="auto" w:fill="auto"/>
            <w:vAlign w:val="center"/>
          </w:tcPr>
          <w:p>
            <w:pPr>
              <w:widowControl/>
              <w:jc w:val="center"/>
              <w:rPr>
                <w:sz w:val="18"/>
                <w:szCs w:val="18"/>
              </w:rPr>
            </w:pPr>
            <w:r>
              <w:rPr>
                <w:rFonts w:hint="eastAsia"/>
                <w:sz w:val="18"/>
                <w:szCs w:val="18"/>
              </w:rPr>
              <w:t>0.18</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rFonts w:hint="eastAsia"/>
                <w:sz w:val="18"/>
                <w:szCs w:val="18"/>
              </w:rPr>
              <w:t>总磷</w:t>
            </w:r>
          </w:p>
        </w:tc>
        <w:tc>
          <w:tcPr>
            <w:tcW w:w="488" w:type="pct"/>
            <w:shd w:val="clear" w:color="auto" w:fill="auto"/>
            <w:vAlign w:val="center"/>
          </w:tcPr>
          <w:p>
            <w:pPr>
              <w:jc w:val="center"/>
              <w:rPr>
                <w:sz w:val="18"/>
                <w:szCs w:val="18"/>
              </w:rPr>
            </w:pPr>
            <w:r>
              <w:rPr>
                <w:rFonts w:hint="eastAsia"/>
                <w:sz w:val="18"/>
                <w:szCs w:val="18"/>
              </w:rPr>
              <w:t>3</w:t>
            </w:r>
          </w:p>
        </w:tc>
        <w:tc>
          <w:tcPr>
            <w:tcW w:w="333" w:type="pct"/>
            <w:shd w:val="clear" w:color="auto" w:fill="auto"/>
            <w:vAlign w:val="center"/>
          </w:tcPr>
          <w:p>
            <w:pPr>
              <w:widowControl/>
              <w:jc w:val="center"/>
              <w:rPr>
                <w:sz w:val="18"/>
                <w:szCs w:val="18"/>
              </w:rPr>
            </w:pPr>
            <w:r>
              <w:rPr>
                <w:rFonts w:hint="eastAsia"/>
                <w:sz w:val="18"/>
                <w:szCs w:val="18"/>
              </w:rPr>
              <w:t>0.01</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2" w:type="pct"/>
            <w:vMerge w:val="continue"/>
            <w:vAlign w:val="center"/>
          </w:tcPr>
          <w:p>
            <w:pPr>
              <w:widowControl/>
              <w:jc w:val="center"/>
              <w:rPr>
                <w:kern w:val="0"/>
                <w:sz w:val="18"/>
                <w:szCs w:val="18"/>
              </w:rPr>
            </w:pPr>
          </w:p>
        </w:tc>
        <w:tc>
          <w:tcPr>
            <w:tcW w:w="488" w:type="pct"/>
            <w:vMerge w:val="continue"/>
            <w:shd w:val="clear" w:color="auto" w:fill="auto"/>
            <w:vAlign w:val="center"/>
          </w:tcPr>
          <w:p>
            <w:pPr>
              <w:widowControl/>
              <w:jc w:val="center"/>
              <w:rPr>
                <w:kern w:val="0"/>
                <w:sz w:val="18"/>
                <w:szCs w:val="18"/>
              </w:rPr>
            </w:pPr>
          </w:p>
        </w:tc>
        <w:tc>
          <w:tcPr>
            <w:tcW w:w="592" w:type="pct"/>
            <w:shd w:val="clear" w:color="auto" w:fill="auto"/>
            <w:vAlign w:val="center"/>
          </w:tcPr>
          <w:p>
            <w:pPr>
              <w:jc w:val="center"/>
              <w:rPr>
                <w:sz w:val="18"/>
                <w:szCs w:val="18"/>
              </w:rPr>
            </w:pPr>
            <w:r>
              <w:rPr>
                <w:rFonts w:hint="eastAsia"/>
                <w:sz w:val="18"/>
                <w:szCs w:val="18"/>
              </w:rPr>
              <w:t>石油类</w:t>
            </w:r>
          </w:p>
        </w:tc>
        <w:tc>
          <w:tcPr>
            <w:tcW w:w="488" w:type="pct"/>
            <w:shd w:val="clear" w:color="auto" w:fill="auto"/>
            <w:vAlign w:val="center"/>
          </w:tcPr>
          <w:p>
            <w:pPr>
              <w:jc w:val="center"/>
              <w:rPr>
                <w:sz w:val="18"/>
                <w:szCs w:val="18"/>
              </w:rPr>
            </w:pPr>
            <w:r>
              <w:rPr>
                <w:rFonts w:hint="eastAsia"/>
                <w:sz w:val="18"/>
                <w:szCs w:val="18"/>
              </w:rPr>
              <w:t>9</w:t>
            </w:r>
          </w:p>
        </w:tc>
        <w:tc>
          <w:tcPr>
            <w:tcW w:w="333" w:type="pct"/>
            <w:shd w:val="clear" w:color="auto" w:fill="auto"/>
            <w:vAlign w:val="center"/>
          </w:tcPr>
          <w:p>
            <w:pPr>
              <w:widowControl/>
              <w:jc w:val="center"/>
              <w:rPr>
                <w:sz w:val="18"/>
                <w:szCs w:val="18"/>
              </w:rPr>
            </w:pPr>
            <w:r>
              <w:rPr>
                <w:rFonts w:hint="eastAsia"/>
                <w:sz w:val="18"/>
                <w:szCs w:val="18"/>
              </w:rPr>
              <w:t>0.03</w:t>
            </w:r>
          </w:p>
        </w:tc>
        <w:tc>
          <w:tcPr>
            <w:tcW w:w="746" w:type="pct"/>
            <w:vMerge w:val="continue"/>
            <w:vAlign w:val="center"/>
          </w:tcPr>
          <w:p>
            <w:pPr>
              <w:widowControl/>
              <w:jc w:val="center"/>
              <w:rPr>
                <w:kern w:val="0"/>
                <w:sz w:val="18"/>
                <w:szCs w:val="18"/>
              </w:rPr>
            </w:pPr>
          </w:p>
        </w:tc>
        <w:tc>
          <w:tcPr>
            <w:tcW w:w="462" w:type="pct"/>
            <w:vMerge w:val="continue"/>
            <w:shd w:val="clear" w:color="auto" w:fill="auto"/>
            <w:vAlign w:val="center"/>
          </w:tcPr>
          <w:p>
            <w:pPr>
              <w:widowControl/>
              <w:jc w:val="center"/>
              <w:rPr>
                <w:kern w:val="0"/>
                <w:sz w:val="18"/>
                <w:szCs w:val="18"/>
              </w:rPr>
            </w:pPr>
          </w:p>
        </w:tc>
        <w:tc>
          <w:tcPr>
            <w:tcW w:w="354" w:type="pct"/>
            <w:vMerge w:val="continue"/>
            <w:shd w:val="clear" w:color="auto" w:fill="auto"/>
            <w:vAlign w:val="center"/>
          </w:tcPr>
          <w:p>
            <w:pPr>
              <w:widowControl/>
              <w:jc w:val="center"/>
              <w:rPr>
                <w:kern w:val="0"/>
                <w:sz w:val="18"/>
                <w:szCs w:val="18"/>
              </w:rPr>
            </w:pPr>
          </w:p>
        </w:tc>
        <w:tc>
          <w:tcPr>
            <w:tcW w:w="319" w:type="pct"/>
            <w:vMerge w:val="continue"/>
            <w:shd w:val="clear" w:color="auto" w:fill="auto"/>
            <w:vAlign w:val="center"/>
          </w:tcPr>
          <w:p>
            <w:pPr>
              <w:widowControl/>
              <w:jc w:val="center"/>
              <w:rPr>
                <w:kern w:val="0"/>
                <w:sz w:val="18"/>
                <w:szCs w:val="18"/>
              </w:rPr>
            </w:pPr>
          </w:p>
        </w:tc>
        <w:tc>
          <w:tcPr>
            <w:tcW w:w="396" w:type="pct"/>
            <w:vMerge w:val="continue"/>
            <w:shd w:val="clear" w:color="auto" w:fill="auto"/>
            <w:vAlign w:val="center"/>
          </w:tcPr>
          <w:p>
            <w:pPr>
              <w:widowControl/>
              <w:jc w:val="center"/>
              <w:rPr>
                <w:kern w:val="0"/>
                <w:sz w:val="18"/>
                <w:szCs w:val="18"/>
              </w:rPr>
            </w:pPr>
          </w:p>
        </w:tc>
        <w:tc>
          <w:tcPr>
            <w:tcW w:w="450" w:type="pct"/>
            <w:vMerge w:val="continue"/>
            <w:shd w:val="clear" w:color="auto" w:fill="auto"/>
            <w:vAlign w:val="center"/>
          </w:tcPr>
          <w:p>
            <w:pPr>
              <w:widowControl/>
              <w:jc w:val="center"/>
              <w:rPr>
                <w:kern w:val="0"/>
                <w:sz w:val="18"/>
                <w:szCs w:val="18"/>
              </w:rPr>
            </w:pPr>
          </w:p>
        </w:tc>
      </w:tr>
    </w:tbl>
    <w:p>
      <w:pPr>
        <w:adjustRightInd w:val="0"/>
        <w:snapToGrid w:val="0"/>
        <w:rPr>
          <w:bCs/>
          <w:szCs w:val="21"/>
        </w:rPr>
        <w:sectPr>
          <w:pgSz w:w="16838" w:h="11906" w:orient="landscape"/>
          <w:pgMar w:top="1531" w:right="1701" w:bottom="1531" w:left="1701" w:header="851" w:footer="851" w:gutter="0"/>
          <w:cols w:space="720" w:num="1"/>
          <w:docGrid w:linePitch="312" w:charSpace="0"/>
        </w:sectPr>
      </w:pPr>
      <w:r>
        <w:rPr>
          <w:rFonts w:hint="eastAsia"/>
          <w:kern w:val="0"/>
          <w:sz w:val="18"/>
          <w:szCs w:val="18"/>
        </w:rPr>
        <w:t>注：“/”前表示近期排入环境的标准及总量，“/”后表示提标改造后远期排入环境的标准及总量</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162" w:type="dxa"/>
            <w:vAlign w:val="center"/>
          </w:tcPr>
          <w:p>
            <w:pPr>
              <w:adjustRightInd w:val="0"/>
              <w:snapToGrid w:val="0"/>
              <w:spacing w:line="360" w:lineRule="auto"/>
              <w:rPr>
                <w:b/>
                <w:bCs/>
                <w:sz w:val="24"/>
              </w:rPr>
            </w:pPr>
            <w:r>
              <w:rPr>
                <w:rFonts w:hint="eastAsia"/>
                <w:b/>
                <w:bCs/>
                <w:sz w:val="24"/>
              </w:rPr>
              <w:t>4.2.2.2废水排放口基本情况</w:t>
            </w:r>
          </w:p>
          <w:p>
            <w:pPr>
              <w:pStyle w:val="45"/>
              <w:spacing w:before="0" w:afterLines="0" w:line="360" w:lineRule="auto"/>
              <w:rPr>
                <w:rFonts w:ascii="Times New Roman" w:hAnsi="Times New Roman"/>
                <w:sz w:val="18"/>
                <w:szCs w:val="18"/>
              </w:rPr>
            </w:pPr>
            <w:r>
              <w:rPr>
                <w:rFonts w:ascii="Times New Roman" w:hAnsi="Times New Roman"/>
                <w:sz w:val="18"/>
                <w:szCs w:val="18"/>
              </w:rPr>
              <w:t>表4.2</w:t>
            </w: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 xml:space="preserve"> </w:t>
            </w:r>
            <w:r>
              <w:rPr>
                <w:rFonts w:ascii="Times New Roman" w:hAnsi="Times New Roman"/>
                <w:sz w:val="18"/>
                <w:szCs w:val="18"/>
              </w:rPr>
              <w:t xml:space="preserve"> 废水类别、污染物及污染治理设施信息表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04"/>
              <w:gridCol w:w="573"/>
              <w:gridCol w:w="785"/>
              <w:gridCol w:w="708"/>
              <w:gridCol w:w="861"/>
              <w:gridCol w:w="790"/>
              <w:gridCol w:w="708"/>
              <w:gridCol w:w="821"/>
              <w:gridCol w:w="580"/>
              <w:gridCol w:w="65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2" w:type="dxa"/>
                  <w:vMerge w:val="restart"/>
                  <w:shd w:val="clear" w:color="auto" w:fill="auto"/>
                  <w:vAlign w:val="center"/>
                </w:tcPr>
                <w:p>
                  <w:pPr>
                    <w:pStyle w:val="102"/>
                    <w:spacing w:line="240" w:lineRule="exact"/>
                    <w:rPr>
                      <w:sz w:val="18"/>
                      <w:szCs w:val="18"/>
                    </w:rPr>
                  </w:pPr>
                  <w:r>
                    <w:rPr>
                      <w:sz w:val="18"/>
                      <w:szCs w:val="18"/>
                    </w:rPr>
                    <w:t>序号</w:t>
                  </w:r>
                </w:p>
              </w:tc>
              <w:tc>
                <w:tcPr>
                  <w:tcW w:w="623" w:type="dxa"/>
                  <w:vMerge w:val="restart"/>
                  <w:shd w:val="clear" w:color="auto" w:fill="auto"/>
                  <w:vAlign w:val="center"/>
                </w:tcPr>
                <w:p>
                  <w:pPr>
                    <w:pStyle w:val="102"/>
                    <w:spacing w:line="240" w:lineRule="exact"/>
                    <w:rPr>
                      <w:sz w:val="18"/>
                      <w:szCs w:val="18"/>
                    </w:rPr>
                  </w:pPr>
                  <w:r>
                    <w:rPr>
                      <w:sz w:val="18"/>
                      <w:szCs w:val="18"/>
                    </w:rPr>
                    <w:t>废水类别</w:t>
                  </w:r>
                </w:p>
              </w:tc>
              <w:tc>
                <w:tcPr>
                  <w:tcW w:w="820" w:type="dxa"/>
                  <w:vMerge w:val="restart"/>
                  <w:shd w:val="clear" w:color="auto" w:fill="auto"/>
                  <w:vAlign w:val="center"/>
                </w:tcPr>
                <w:p>
                  <w:pPr>
                    <w:pStyle w:val="102"/>
                    <w:spacing w:line="240" w:lineRule="exact"/>
                    <w:rPr>
                      <w:sz w:val="18"/>
                      <w:szCs w:val="18"/>
                    </w:rPr>
                  </w:pPr>
                  <w:r>
                    <w:rPr>
                      <w:sz w:val="18"/>
                      <w:szCs w:val="18"/>
                    </w:rPr>
                    <w:t>污染</w:t>
                  </w:r>
                </w:p>
                <w:p>
                  <w:pPr>
                    <w:pStyle w:val="102"/>
                    <w:spacing w:line="240" w:lineRule="exact"/>
                    <w:rPr>
                      <w:sz w:val="18"/>
                      <w:szCs w:val="18"/>
                    </w:rPr>
                  </w:pPr>
                  <w:r>
                    <w:rPr>
                      <w:sz w:val="18"/>
                      <w:szCs w:val="18"/>
                    </w:rPr>
                    <w:t>物种类</w:t>
                  </w:r>
                </w:p>
              </w:tc>
              <w:tc>
                <w:tcPr>
                  <w:tcW w:w="775" w:type="dxa"/>
                  <w:vMerge w:val="restart"/>
                  <w:shd w:val="clear" w:color="auto" w:fill="auto"/>
                  <w:vAlign w:val="center"/>
                </w:tcPr>
                <w:p>
                  <w:pPr>
                    <w:pStyle w:val="102"/>
                    <w:spacing w:line="240" w:lineRule="exact"/>
                    <w:rPr>
                      <w:sz w:val="18"/>
                      <w:szCs w:val="18"/>
                    </w:rPr>
                  </w:pPr>
                  <w:r>
                    <w:rPr>
                      <w:sz w:val="18"/>
                      <w:szCs w:val="18"/>
                    </w:rPr>
                    <w:t>排放</w:t>
                  </w:r>
                </w:p>
                <w:p>
                  <w:pPr>
                    <w:pStyle w:val="102"/>
                    <w:spacing w:line="240" w:lineRule="exact"/>
                    <w:rPr>
                      <w:sz w:val="18"/>
                      <w:szCs w:val="18"/>
                    </w:rPr>
                  </w:pPr>
                  <w:r>
                    <w:rPr>
                      <w:sz w:val="18"/>
                      <w:szCs w:val="18"/>
                    </w:rPr>
                    <w:t>去向</w:t>
                  </w:r>
                </w:p>
              </w:tc>
              <w:tc>
                <w:tcPr>
                  <w:tcW w:w="925" w:type="dxa"/>
                  <w:vMerge w:val="restart"/>
                  <w:shd w:val="clear" w:color="auto" w:fill="auto"/>
                  <w:vAlign w:val="center"/>
                </w:tcPr>
                <w:p>
                  <w:pPr>
                    <w:pStyle w:val="102"/>
                    <w:spacing w:line="240" w:lineRule="exact"/>
                    <w:rPr>
                      <w:sz w:val="18"/>
                      <w:szCs w:val="18"/>
                    </w:rPr>
                  </w:pPr>
                  <w:r>
                    <w:rPr>
                      <w:sz w:val="18"/>
                      <w:szCs w:val="18"/>
                    </w:rPr>
                    <w:t>排放规律</w:t>
                  </w:r>
                </w:p>
              </w:tc>
              <w:tc>
                <w:tcPr>
                  <w:tcW w:w="2499" w:type="dxa"/>
                  <w:gridSpan w:val="3"/>
                  <w:shd w:val="clear" w:color="auto" w:fill="auto"/>
                  <w:vAlign w:val="center"/>
                </w:tcPr>
                <w:p>
                  <w:pPr>
                    <w:pStyle w:val="102"/>
                    <w:spacing w:line="240" w:lineRule="exact"/>
                    <w:rPr>
                      <w:sz w:val="18"/>
                      <w:szCs w:val="18"/>
                    </w:rPr>
                  </w:pPr>
                  <w:r>
                    <w:rPr>
                      <w:sz w:val="18"/>
                      <w:szCs w:val="18"/>
                    </w:rPr>
                    <w:t>污染治理设施</w:t>
                  </w:r>
                </w:p>
              </w:tc>
              <w:tc>
                <w:tcPr>
                  <w:tcW w:w="580" w:type="dxa"/>
                  <w:vMerge w:val="restart"/>
                  <w:shd w:val="clear" w:color="auto" w:fill="auto"/>
                  <w:vAlign w:val="center"/>
                </w:tcPr>
                <w:p>
                  <w:pPr>
                    <w:pStyle w:val="102"/>
                    <w:spacing w:line="240" w:lineRule="exact"/>
                    <w:rPr>
                      <w:sz w:val="18"/>
                      <w:szCs w:val="18"/>
                    </w:rPr>
                  </w:pPr>
                  <w:r>
                    <w:rPr>
                      <w:sz w:val="18"/>
                      <w:szCs w:val="18"/>
                    </w:rPr>
                    <w:t>排放口编号</w:t>
                  </w:r>
                </w:p>
              </w:tc>
              <w:tc>
                <w:tcPr>
                  <w:tcW w:w="700" w:type="dxa"/>
                  <w:vMerge w:val="restart"/>
                  <w:shd w:val="clear" w:color="auto" w:fill="auto"/>
                  <w:vAlign w:val="center"/>
                </w:tcPr>
                <w:p>
                  <w:pPr>
                    <w:pStyle w:val="102"/>
                    <w:spacing w:line="240" w:lineRule="exact"/>
                    <w:rPr>
                      <w:sz w:val="18"/>
                      <w:szCs w:val="18"/>
                    </w:rPr>
                  </w:pPr>
                  <w:r>
                    <w:rPr>
                      <w:sz w:val="18"/>
                      <w:szCs w:val="18"/>
                    </w:rPr>
                    <w:t>排放口设置是否符合要求</w:t>
                  </w:r>
                </w:p>
              </w:tc>
              <w:tc>
                <w:tcPr>
                  <w:tcW w:w="1144" w:type="dxa"/>
                  <w:vMerge w:val="restart"/>
                  <w:shd w:val="clear" w:color="auto" w:fill="auto"/>
                  <w:vAlign w:val="center"/>
                </w:tcPr>
                <w:p>
                  <w:pPr>
                    <w:pStyle w:val="102"/>
                    <w:spacing w:line="240" w:lineRule="exact"/>
                    <w:rPr>
                      <w:sz w:val="18"/>
                      <w:szCs w:val="18"/>
                    </w:rPr>
                  </w:pPr>
                  <w:r>
                    <w:rPr>
                      <w:sz w:val="18"/>
                      <w:szCs w:val="18"/>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2" w:type="dxa"/>
                  <w:vMerge w:val="continue"/>
                  <w:shd w:val="clear" w:color="auto" w:fill="auto"/>
                  <w:vAlign w:val="center"/>
                </w:tcPr>
                <w:p>
                  <w:pPr>
                    <w:pStyle w:val="102"/>
                    <w:spacing w:line="240" w:lineRule="exact"/>
                    <w:rPr>
                      <w:sz w:val="18"/>
                      <w:szCs w:val="18"/>
                    </w:rPr>
                  </w:pPr>
                </w:p>
              </w:tc>
              <w:tc>
                <w:tcPr>
                  <w:tcW w:w="623" w:type="dxa"/>
                  <w:vMerge w:val="continue"/>
                  <w:shd w:val="clear" w:color="auto" w:fill="auto"/>
                  <w:vAlign w:val="center"/>
                </w:tcPr>
                <w:p>
                  <w:pPr>
                    <w:pStyle w:val="102"/>
                    <w:spacing w:line="240" w:lineRule="exact"/>
                    <w:rPr>
                      <w:sz w:val="18"/>
                      <w:szCs w:val="18"/>
                    </w:rPr>
                  </w:pPr>
                </w:p>
              </w:tc>
              <w:tc>
                <w:tcPr>
                  <w:tcW w:w="820" w:type="dxa"/>
                  <w:vMerge w:val="continue"/>
                  <w:shd w:val="clear" w:color="auto" w:fill="auto"/>
                  <w:vAlign w:val="center"/>
                </w:tcPr>
                <w:p>
                  <w:pPr>
                    <w:pStyle w:val="102"/>
                    <w:spacing w:line="240" w:lineRule="exact"/>
                    <w:rPr>
                      <w:sz w:val="18"/>
                      <w:szCs w:val="18"/>
                    </w:rPr>
                  </w:pPr>
                </w:p>
              </w:tc>
              <w:tc>
                <w:tcPr>
                  <w:tcW w:w="775" w:type="dxa"/>
                  <w:vMerge w:val="continue"/>
                  <w:shd w:val="clear" w:color="auto" w:fill="auto"/>
                  <w:vAlign w:val="center"/>
                </w:tcPr>
                <w:p>
                  <w:pPr>
                    <w:pStyle w:val="102"/>
                    <w:spacing w:line="240" w:lineRule="exact"/>
                    <w:rPr>
                      <w:sz w:val="18"/>
                      <w:szCs w:val="18"/>
                    </w:rPr>
                  </w:pPr>
                </w:p>
              </w:tc>
              <w:tc>
                <w:tcPr>
                  <w:tcW w:w="925" w:type="dxa"/>
                  <w:vMerge w:val="continue"/>
                  <w:shd w:val="clear" w:color="auto" w:fill="auto"/>
                  <w:vAlign w:val="center"/>
                </w:tcPr>
                <w:p>
                  <w:pPr>
                    <w:pStyle w:val="102"/>
                    <w:spacing w:line="240" w:lineRule="exact"/>
                    <w:rPr>
                      <w:sz w:val="18"/>
                      <w:szCs w:val="18"/>
                    </w:rPr>
                  </w:pPr>
                </w:p>
              </w:tc>
              <w:tc>
                <w:tcPr>
                  <w:tcW w:w="820" w:type="dxa"/>
                  <w:shd w:val="clear" w:color="auto" w:fill="auto"/>
                  <w:vAlign w:val="center"/>
                </w:tcPr>
                <w:p>
                  <w:pPr>
                    <w:pStyle w:val="102"/>
                    <w:spacing w:line="240" w:lineRule="exact"/>
                    <w:rPr>
                      <w:sz w:val="18"/>
                      <w:szCs w:val="18"/>
                    </w:rPr>
                  </w:pPr>
                  <w:r>
                    <w:rPr>
                      <w:sz w:val="18"/>
                      <w:szCs w:val="18"/>
                    </w:rPr>
                    <w:t>污染治理设施编号</w:t>
                  </w:r>
                </w:p>
              </w:tc>
              <w:tc>
                <w:tcPr>
                  <w:tcW w:w="776" w:type="dxa"/>
                  <w:shd w:val="clear" w:color="auto" w:fill="auto"/>
                  <w:vAlign w:val="center"/>
                </w:tcPr>
                <w:p>
                  <w:pPr>
                    <w:pStyle w:val="102"/>
                    <w:spacing w:line="240" w:lineRule="exact"/>
                    <w:rPr>
                      <w:sz w:val="18"/>
                      <w:szCs w:val="18"/>
                    </w:rPr>
                  </w:pPr>
                  <w:r>
                    <w:rPr>
                      <w:sz w:val="18"/>
                      <w:szCs w:val="18"/>
                    </w:rPr>
                    <w:t>污染治理设施名称</w:t>
                  </w:r>
                </w:p>
              </w:tc>
              <w:tc>
                <w:tcPr>
                  <w:tcW w:w="903" w:type="dxa"/>
                  <w:shd w:val="clear" w:color="auto" w:fill="auto"/>
                  <w:vAlign w:val="center"/>
                </w:tcPr>
                <w:p>
                  <w:pPr>
                    <w:pStyle w:val="102"/>
                    <w:spacing w:line="240" w:lineRule="exact"/>
                    <w:rPr>
                      <w:sz w:val="18"/>
                      <w:szCs w:val="18"/>
                    </w:rPr>
                  </w:pPr>
                  <w:r>
                    <w:rPr>
                      <w:sz w:val="18"/>
                      <w:szCs w:val="18"/>
                    </w:rPr>
                    <w:t>污染治理设施工艺</w:t>
                  </w:r>
                </w:p>
              </w:tc>
              <w:tc>
                <w:tcPr>
                  <w:tcW w:w="580" w:type="dxa"/>
                  <w:vMerge w:val="continue"/>
                  <w:shd w:val="clear" w:color="auto" w:fill="auto"/>
                  <w:vAlign w:val="center"/>
                </w:tcPr>
                <w:p>
                  <w:pPr>
                    <w:pStyle w:val="102"/>
                    <w:spacing w:line="240" w:lineRule="exact"/>
                    <w:rPr>
                      <w:sz w:val="18"/>
                      <w:szCs w:val="18"/>
                    </w:rPr>
                  </w:pPr>
                </w:p>
              </w:tc>
              <w:tc>
                <w:tcPr>
                  <w:tcW w:w="700" w:type="dxa"/>
                  <w:vMerge w:val="continue"/>
                  <w:shd w:val="clear" w:color="auto" w:fill="auto"/>
                  <w:vAlign w:val="center"/>
                </w:tcPr>
                <w:p>
                  <w:pPr>
                    <w:pStyle w:val="102"/>
                    <w:spacing w:line="240" w:lineRule="exact"/>
                    <w:rPr>
                      <w:sz w:val="18"/>
                      <w:szCs w:val="18"/>
                    </w:rPr>
                  </w:pPr>
                </w:p>
              </w:tc>
              <w:tc>
                <w:tcPr>
                  <w:tcW w:w="1144" w:type="dxa"/>
                  <w:vMerge w:val="continue"/>
                  <w:shd w:val="clear" w:color="auto" w:fill="auto"/>
                  <w:vAlign w:val="center"/>
                </w:tcPr>
                <w:p>
                  <w:pPr>
                    <w:pStyle w:val="102"/>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32" w:type="dxa"/>
                  <w:shd w:val="clear" w:color="auto" w:fill="auto"/>
                  <w:vAlign w:val="center"/>
                </w:tcPr>
                <w:p>
                  <w:pPr>
                    <w:pStyle w:val="102"/>
                    <w:spacing w:line="240" w:lineRule="exact"/>
                    <w:rPr>
                      <w:sz w:val="18"/>
                      <w:szCs w:val="18"/>
                    </w:rPr>
                  </w:pPr>
                  <w:r>
                    <w:rPr>
                      <w:rFonts w:hint="eastAsia"/>
                      <w:sz w:val="18"/>
                      <w:szCs w:val="18"/>
                    </w:rPr>
                    <w:t>1</w:t>
                  </w:r>
                </w:p>
              </w:tc>
              <w:tc>
                <w:tcPr>
                  <w:tcW w:w="623" w:type="dxa"/>
                  <w:shd w:val="clear" w:color="auto" w:fill="auto"/>
                  <w:vAlign w:val="center"/>
                </w:tcPr>
                <w:p>
                  <w:pPr>
                    <w:pStyle w:val="102"/>
                    <w:spacing w:line="240" w:lineRule="exact"/>
                    <w:rPr>
                      <w:sz w:val="18"/>
                      <w:szCs w:val="18"/>
                    </w:rPr>
                  </w:pPr>
                  <w:r>
                    <w:rPr>
                      <w:rFonts w:hint="eastAsia"/>
                      <w:sz w:val="18"/>
                      <w:szCs w:val="18"/>
                    </w:rPr>
                    <w:t>所有废水</w:t>
                  </w:r>
                </w:p>
              </w:tc>
              <w:tc>
                <w:tcPr>
                  <w:tcW w:w="820" w:type="dxa"/>
                  <w:shd w:val="clear" w:color="auto" w:fill="auto"/>
                  <w:vAlign w:val="center"/>
                </w:tcPr>
                <w:p>
                  <w:pPr>
                    <w:pStyle w:val="102"/>
                    <w:spacing w:line="240" w:lineRule="exact"/>
                    <w:rPr>
                      <w:sz w:val="18"/>
                      <w:szCs w:val="18"/>
                    </w:rPr>
                  </w:pPr>
                  <w:r>
                    <w:rPr>
                      <w:sz w:val="18"/>
                      <w:szCs w:val="18"/>
                    </w:rPr>
                    <w:t>pH</w:t>
                  </w:r>
                </w:p>
                <w:p>
                  <w:pPr>
                    <w:pStyle w:val="102"/>
                    <w:spacing w:line="240" w:lineRule="exact"/>
                    <w:rPr>
                      <w:sz w:val="18"/>
                      <w:szCs w:val="18"/>
                    </w:rPr>
                  </w:pPr>
                  <w:r>
                    <w:rPr>
                      <w:sz w:val="18"/>
                      <w:szCs w:val="18"/>
                    </w:rPr>
                    <w:t>COD</w:t>
                  </w:r>
                </w:p>
                <w:p>
                  <w:pPr>
                    <w:pStyle w:val="102"/>
                    <w:spacing w:line="240" w:lineRule="exact"/>
                    <w:rPr>
                      <w:sz w:val="18"/>
                      <w:szCs w:val="18"/>
                    </w:rPr>
                  </w:pPr>
                  <w:r>
                    <w:rPr>
                      <w:sz w:val="18"/>
                      <w:szCs w:val="18"/>
                    </w:rPr>
                    <w:t>BOD</w:t>
                  </w:r>
                  <w:r>
                    <w:rPr>
                      <w:sz w:val="18"/>
                      <w:szCs w:val="18"/>
                      <w:vertAlign w:val="subscript"/>
                    </w:rPr>
                    <w:t>5</w:t>
                  </w:r>
                </w:p>
                <w:p>
                  <w:pPr>
                    <w:pStyle w:val="102"/>
                    <w:spacing w:line="240" w:lineRule="exact"/>
                    <w:rPr>
                      <w:sz w:val="18"/>
                      <w:szCs w:val="18"/>
                    </w:rPr>
                  </w:pPr>
                  <w:r>
                    <w:rPr>
                      <w:sz w:val="18"/>
                      <w:szCs w:val="18"/>
                    </w:rPr>
                    <w:t>SS</w:t>
                  </w:r>
                </w:p>
                <w:p>
                  <w:pPr>
                    <w:pStyle w:val="102"/>
                    <w:spacing w:line="240" w:lineRule="exact"/>
                    <w:rPr>
                      <w:sz w:val="18"/>
                      <w:szCs w:val="18"/>
                    </w:rPr>
                  </w:pPr>
                  <w:r>
                    <w:rPr>
                      <w:sz w:val="18"/>
                      <w:szCs w:val="18"/>
                    </w:rPr>
                    <w:t>NH</w:t>
                  </w:r>
                  <w:r>
                    <w:rPr>
                      <w:sz w:val="18"/>
                      <w:szCs w:val="18"/>
                      <w:vertAlign w:val="subscript"/>
                    </w:rPr>
                    <w:t>3</w:t>
                  </w:r>
                  <w:r>
                    <w:rPr>
                      <w:sz w:val="18"/>
                      <w:szCs w:val="18"/>
                    </w:rPr>
                    <w:t>-N</w:t>
                  </w:r>
                </w:p>
                <w:p>
                  <w:pPr>
                    <w:pStyle w:val="102"/>
                    <w:spacing w:line="240" w:lineRule="exact"/>
                    <w:rPr>
                      <w:sz w:val="18"/>
                      <w:szCs w:val="18"/>
                    </w:rPr>
                  </w:pPr>
                  <w:r>
                    <w:rPr>
                      <w:rFonts w:hint="eastAsia"/>
                      <w:sz w:val="18"/>
                      <w:szCs w:val="18"/>
                    </w:rPr>
                    <w:t>动植物油</w:t>
                  </w:r>
                </w:p>
                <w:p>
                  <w:pPr>
                    <w:pStyle w:val="102"/>
                    <w:spacing w:line="240" w:lineRule="exact"/>
                    <w:rPr>
                      <w:sz w:val="18"/>
                      <w:szCs w:val="18"/>
                    </w:rPr>
                  </w:pPr>
                  <w:r>
                    <w:rPr>
                      <w:rFonts w:hint="eastAsia"/>
                      <w:sz w:val="18"/>
                      <w:szCs w:val="18"/>
                    </w:rPr>
                    <w:t>总氮</w:t>
                  </w:r>
                </w:p>
                <w:p>
                  <w:pPr>
                    <w:pStyle w:val="102"/>
                    <w:spacing w:line="240" w:lineRule="exact"/>
                    <w:rPr>
                      <w:sz w:val="18"/>
                      <w:szCs w:val="18"/>
                    </w:rPr>
                  </w:pPr>
                  <w:r>
                    <w:rPr>
                      <w:rFonts w:hint="eastAsia"/>
                      <w:sz w:val="18"/>
                      <w:szCs w:val="18"/>
                    </w:rPr>
                    <w:t>总磷</w:t>
                  </w:r>
                </w:p>
                <w:p>
                  <w:pPr>
                    <w:pStyle w:val="102"/>
                    <w:spacing w:line="240" w:lineRule="exact"/>
                    <w:rPr>
                      <w:sz w:val="18"/>
                      <w:szCs w:val="18"/>
                    </w:rPr>
                  </w:pPr>
                  <w:r>
                    <w:rPr>
                      <w:rFonts w:hint="eastAsia"/>
                      <w:sz w:val="18"/>
                      <w:szCs w:val="18"/>
                    </w:rPr>
                    <w:t>石油类</w:t>
                  </w:r>
                </w:p>
              </w:tc>
              <w:tc>
                <w:tcPr>
                  <w:tcW w:w="775" w:type="dxa"/>
                  <w:shd w:val="clear" w:color="auto" w:fill="auto"/>
                  <w:vAlign w:val="center"/>
                </w:tcPr>
                <w:p>
                  <w:pPr>
                    <w:pStyle w:val="102"/>
                    <w:spacing w:line="240" w:lineRule="exact"/>
                    <w:rPr>
                      <w:sz w:val="18"/>
                      <w:szCs w:val="18"/>
                    </w:rPr>
                  </w:pPr>
                  <w:r>
                    <w:rPr>
                      <w:sz w:val="18"/>
                      <w:szCs w:val="18"/>
                    </w:rPr>
                    <w:t>排入</w:t>
                  </w:r>
                  <w:r>
                    <w:rPr>
                      <w:rFonts w:hint="eastAsia"/>
                      <w:sz w:val="18"/>
                      <w:szCs w:val="18"/>
                    </w:rPr>
                    <w:t>厂区内新建污水处理站</w:t>
                  </w:r>
                </w:p>
              </w:tc>
              <w:tc>
                <w:tcPr>
                  <w:tcW w:w="925" w:type="dxa"/>
                  <w:shd w:val="clear" w:color="auto" w:fill="auto"/>
                  <w:vAlign w:val="center"/>
                </w:tcPr>
                <w:p>
                  <w:pPr>
                    <w:pStyle w:val="102"/>
                    <w:spacing w:line="240" w:lineRule="exact"/>
                    <w:rPr>
                      <w:sz w:val="18"/>
                      <w:szCs w:val="18"/>
                    </w:rPr>
                  </w:pPr>
                  <w:r>
                    <w:rPr>
                      <w:sz w:val="18"/>
                      <w:szCs w:val="18"/>
                    </w:rPr>
                    <w:t>间断排放，排放期间流量不稳定，但不属于冲击型排放</w:t>
                  </w:r>
                </w:p>
              </w:tc>
              <w:tc>
                <w:tcPr>
                  <w:tcW w:w="820" w:type="dxa"/>
                  <w:shd w:val="clear" w:color="auto" w:fill="auto"/>
                  <w:vAlign w:val="center"/>
                </w:tcPr>
                <w:p>
                  <w:pPr>
                    <w:pStyle w:val="102"/>
                    <w:spacing w:line="240" w:lineRule="exact"/>
                    <w:rPr>
                      <w:sz w:val="18"/>
                      <w:szCs w:val="18"/>
                    </w:rPr>
                  </w:pPr>
                  <w:r>
                    <w:rPr>
                      <w:sz w:val="18"/>
                      <w:szCs w:val="18"/>
                    </w:rPr>
                    <w:t>TW</w:t>
                  </w:r>
                  <w:r>
                    <w:rPr>
                      <w:rFonts w:hint="eastAsia"/>
                      <w:sz w:val="18"/>
                      <w:szCs w:val="18"/>
                    </w:rPr>
                    <w:t>001</w:t>
                  </w:r>
                </w:p>
              </w:tc>
              <w:tc>
                <w:tcPr>
                  <w:tcW w:w="776" w:type="dxa"/>
                  <w:shd w:val="clear" w:color="auto" w:fill="auto"/>
                  <w:vAlign w:val="center"/>
                </w:tcPr>
                <w:p>
                  <w:pPr>
                    <w:pStyle w:val="102"/>
                    <w:spacing w:line="240" w:lineRule="exact"/>
                    <w:rPr>
                      <w:sz w:val="18"/>
                      <w:szCs w:val="18"/>
                    </w:rPr>
                  </w:pPr>
                  <w:r>
                    <w:rPr>
                      <w:sz w:val="18"/>
                      <w:szCs w:val="18"/>
                    </w:rPr>
                    <w:t>污水处理站</w:t>
                  </w:r>
                </w:p>
              </w:tc>
              <w:tc>
                <w:tcPr>
                  <w:tcW w:w="903" w:type="dxa"/>
                  <w:shd w:val="clear" w:color="auto" w:fill="auto"/>
                  <w:vAlign w:val="center"/>
                </w:tcPr>
                <w:p>
                  <w:pPr>
                    <w:pStyle w:val="102"/>
                    <w:spacing w:line="240" w:lineRule="exact"/>
                    <w:rPr>
                      <w:sz w:val="18"/>
                      <w:szCs w:val="18"/>
                    </w:rPr>
                  </w:pPr>
                  <w:r>
                    <w:rPr>
                      <w:rFonts w:hint="eastAsia"/>
                      <w:sz w:val="18"/>
                      <w:szCs w:val="18"/>
                    </w:rPr>
                    <w:t>均质+隔油+絮凝沉淀+过滤</w:t>
                  </w:r>
                </w:p>
              </w:tc>
              <w:tc>
                <w:tcPr>
                  <w:tcW w:w="580" w:type="dxa"/>
                  <w:shd w:val="clear" w:color="auto" w:fill="auto"/>
                  <w:vAlign w:val="center"/>
                </w:tcPr>
                <w:p>
                  <w:pPr>
                    <w:pStyle w:val="102"/>
                    <w:spacing w:line="240" w:lineRule="exact"/>
                    <w:rPr>
                      <w:sz w:val="18"/>
                      <w:szCs w:val="18"/>
                    </w:rPr>
                  </w:pPr>
                  <w:r>
                    <w:rPr>
                      <w:sz w:val="18"/>
                      <w:szCs w:val="18"/>
                    </w:rPr>
                    <w:t>DW</w:t>
                  </w:r>
                  <w:r>
                    <w:rPr>
                      <w:rFonts w:hint="eastAsia"/>
                      <w:sz w:val="18"/>
                      <w:szCs w:val="18"/>
                    </w:rPr>
                    <w:t>001</w:t>
                  </w:r>
                </w:p>
              </w:tc>
              <w:tc>
                <w:tcPr>
                  <w:tcW w:w="700" w:type="dxa"/>
                  <w:shd w:val="clear" w:color="auto" w:fill="auto"/>
                  <w:vAlign w:val="center"/>
                </w:tcPr>
                <w:p>
                  <w:pPr>
                    <w:pStyle w:val="102"/>
                    <w:spacing w:line="240" w:lineRule="exact"/>
                    <w:rPr>
                      <w:sz w:val="18"/>
                      <w:szCs w:val="18"/>
                    </w:rPr>
                  </w:pPr>
                  <w:r>
                    <w:rPr>
                      <w:sz w:val="15"/>
                      <w:szCs w:val="15"/>
                    </w:rPr>
                    <w:sym w:font="Wingdings 2" w:char="F052"/>
                  </w:r>
                  <w:r>
                    <w:rPr>
                      <w:rFonts w:hint="eastAsia"/>
                      <w:sz w:val="18"/>
                      <w:szCs w:val="18"/>
                    </w:rPr>
                    <w:t>是</w:t>
                  </w:r>
                </w:p>
                <w:p>
                  <w:pPr>
                    <w:pStyle w:val="102"/>
                    <w:spacing w:line="240" w:lineRule="exact"/>
                    <w:rPr>
                      <w:sz w:val="18"/>
                      <w:szCs w:val="18"/>
                    </w:rPr>
                  </w:pPr>
                  <w:r>
                    <w:rPr>
                      <w:rFonts w:hint="eastAsia"/>
                      <w:sz w:val="18"/>
                      <w:szCs w:val="18"/>
                    </w:rPr>
                    <w:t>□否</w:t>
                  </w:r>
                </w:p>
              </w:tc>
              <w:tc>
                <w:tcPr>
                  <w:tcW w:w="1144" w:type="dxa"/>
                  <w:shd w:val="clear" w:color="auto" w:fill="auto"/>
                  <w:vAlign w:val="center"/>
                </w:tcPr>
                <w:p>
                  <w:pPr>
                    <w:pStyle w:val="102"/>
                    <w:spacing w:line="240" w:lineRule="exact"/>
                    <w:rPr>
                      <w:sz w:val="18"/>
                      <w:szCs w:val="18"/>
                    </w:rPr>
                  </w:pPr>
                  <w:r>
                    <w:rPr>
                      <w:sz w:val="15"/>
                      <w:szCs w:val="15"/>
                    </w:rPr>
                    <w:sym w:font="Wingdings 2" w:char="F052"/>
                  </w:r>
                  <w:r>
                    <w:rPr>
                      <w:rFonts w:hint="eastAsia"/>
                      <w:sz w:val="18"/>
                      <w:szCs w:val="18"/>
                    </w:rPr>
                    <w:t>企业总排</w:t>
                  </w:r>
                </w:p>
                <w:p>
                  <w:pPr>
                    <w:pStyle w:val="102"/>
                    <w:spacing w:line="240" w:lineRule="exact"/>
                    <w:rPr>
                      <w:sz w:val="18"/>
                      <w:szCs w:val="18"/>
                    </w:rPr>
                  </w:pPr>
                  <w:r>
                    <w:rPr>
                      <w:rFonts w:hint="eastAsia"/>
                      <w:sz w:val="18"/>
                      <w:szCs w:val="18"/>
                    </w:rPr>
                    <w:t>□雨水排放</w:t>
                  </w:r>
                </w:p>
                <w:p>
                  <w:pPr>
                    <w:pStyle w:val="102"/>
                    <w:spacing w:line="240" w:lineRule="exact"/>
                    <w:rPr>
                      <w:sz w:val="18"/>
                      <w:szCs w:val="18"/>
                    </w:rPr>
                  </w:pPr>
                  <w:r>
                    <w:rPr>
                      <w:rFonts w:hint="eastAsia"/>
                      <w:sz w:val="18"/>
                      <w:szCs w:val="18"/>
                    </w:rPr>
                    <w:t>□清净下水排放</w:t>
                  </w:r>
                </w:p>
                <w:p>
                  <w:pPr>
                    <w:pStyle w:val="102"/>
                    <w:spacing w:line="240" w:lineRule="exact"/>
                    <w:rPr>
                      <w:sz w:val="18"/>
                      <w:szCs w:val="18"/>
                    </w:rPr>
                  </w:pPr>
                  <w:r>
                    <w:rPr>
                      <w:rFonts w:hint="eastAsia"/>
                      <w:sz w:val="18"/>
                      <w:szCs w:val="18"/>
                    </w:rPr>
                    <w:t>□温排水排放</w:t>
                  </w:r>
                </w:p>
                <w:p>
                  <w:pPr>
                    <w:pStyle w:val="102"/>
                    <w:spacing w:line="240" w:lineRule="exact"/>
                    <w:rPr>
                      <w:sz w:val="18"/>
                      <w:szCs w:val="18"/>
                    </w:rPr>
                  </w:pPr>
                  <w:r>
                    <w:rPr>
                      <w:rFonts w:hint="eastAsia"/>
                      <w:sz w:val="18"/>
                      <w:szCs w:val="18"/>
                    </w:rPr>
                    <w:t>□车间或车间处理设施排放</w:t>
                  </w:r>
                </w:p>
              </w:tc>
            </w:tr>
          </w:tbl>
          <w:p>
            <w:pPr>
              <w:pStyle w:val="45"/>
              <w:spacing w:before="0" w:afterLines="0" w:line="360" w:lineRule="auto"/>
              <w:rPr>
                <w:rFonts w:ascii="Times New Roman" w:hAnsi="Times New Roman"/>
                <w:sz w:val="18"/>
                <w:szCs w:val="18"/>
              </w:rPr>
            </w:pPr>
          </w:p>
          <w:p>
            <w:pPr>
              <w:pStyle w:val="45"/>
              <w:spacing w:before="0" w:afterLines="0" w:line="360" w:lineRule="auto"/>
              <w:rPr>
                <w:rFonts w:ascii="Times New Roman" w:hAnsi="Times New Roman"/>
                <w:sz w:val="18"/>
                <w:szCs w:val="18"/>
              </w:rPr>
            </w:pPr>
            <w:r>
              <w:rPr>
                <w:rFonts w:hint="eastAsia" w:ascii="Times New Roman" w:hAnsi="Times New Roman"/>
                <w:sz w:val="18"/>
                <w:szCs w:val="18"/>
              </w:rPr>
              <w:t>表</w:t>
            </w:r>
            <w:r>
              <w:rPr>
                <w:rFonts w:ascii="Times New Roman" w:hAnsi="Times New Roman"/>
                <w:sz w:val="18"/>
                <w:szCs w:val="18"/>
              </w:rPr>
              <w:t>4.2</w:t>
            </w: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3</w:t>
            </w:r>
            <w:r>
              <w:rPr>
                <w:rFonts w:hint="eastAsia" w:ascii="Times New Roman" w:hAnsi="Times New Roman"/>
                <w:sz w:val="18"/>
                <w:szCs w:val="18"/>
              </w:rPr>
              <w:t xml:space="preserve"> 废水间接排放口基本情况表</w:t>
            </w:r>
          </w:p>
          <w:tbl>
            <w:tblPr>
              <w:tblStyle w:val="21"/>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54"/>
              <w:gridCol w:w="680"/>
              <w:gridCol w:w="1361"/>
              <w:gridCol w:w="1271"/>
              <w:gridCol w:w="748"/>
              <w:gridCol w:w="397"/>
              <w:gridCol w:w="334"/>
              <w:gridCol w:w="397"/>
              <w:gridCol w:w="397"/>
              <w:gridCol w:w="72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 w:hRule="atLeast"/>
              </w:trPr>
              <w:tc>
                <w:tcPr>
                  <w:tcW w:w="264" w:type="dxa"/>
                  <w:vMerge w:val="restart"/>
                  <w:shd w:val="clear" w:color="auto" w:fill="auto"/>
                  <w:vAlign w:val="center"/>
                </w:tcPr>
                <w:p>
                  <w:pPr>
                    <w:pStyle w:val="102"/>
                    <w:spacing w:line="240" w:lineRule="exact"/>
                    <w:rPr>
                      <w:sz w:val="18"/>
                      <w:szCs w:val="18"/>
                    </w:rPr>
                  </w:pPr>
                  <w:r>
                    <w:rPr>
                      <w:sz w:val="18"/>
                      <w:szCs w:val="18"/>
                    </w:rPr>
                    <w:t>序号</w:t>
                  </w:r>
                </w:p>
              </w:tc>
              <w:tc>
                <w:tcPr>
                  <w:tcW w:w="706" w:type="dxa"/>
                  <w:vMerge w:val="restart"/>
                  <w:shd w:val="clear" w:color="auto" w:fill="auto"/>
                  <w:vAlign w:val="center"/>
                </w:tcPr>
                <w:p>
                  <w:pPr>
                    <w:pStyle w:val="102"/>
                    <w:spacing w:line="240" w:lineRule="exact"/>
                    <w:rPr>
                      <w:sz w:val="18"/>
                      <w:szCs w:val="18"/>
                    </w:rPr>
                  </w:pPr>
                  <w:r>
                    <w:rPr>
                      <w:sz w:val="18"/>
                      <w:szCs w:val="18"/>
                    </w:rPr>
                    <w:t>排放口编号</w:t>
                  </w:r>
                </w:p>
              </w:tc>
              <w:tc>
                <w:tcPr>
                  <w:tcW w:w="1891" w:type="dxa"/>
                  <w:gridSpan w:val="2"/>
                  <w:shd w:val="clear" w:color="auto" w:fill="auto"/>
                  <w:vAlign w:val="center"/>
                </w:tcPr>
                <w:p>
                  <w:pPr>
                    <w:pStyle w:val="102"/>
                    <w:spacing w:line="240" w:lineRule="exact"/>
                    <w:rPr>
                      <w:sz w:val="18"/>
                      <w:szCs w:val="18"/>
                    </w:rPr>
                  </w:pPr>
                  <w:r>
                    <w:rPr>
                      <w:sz w:val="18"/>
                      <w:szCs w:val="18"/>
                    </w:rPr>
                    <w:t>排放口地理坐标</w:t>
                  </w:r>
                </w:p>
              </w:tc>
              <w:tc>
                <w:tcPr>
                  <w:tcW w:w="835" w:type="dxa"/>
                  <w:vMerge w:val="restart"/>
                  <w:shd w:val="clear" w:color="auto" w:fill="auto"/>
                  <w:vAlign w:val="center"/>
                </w:tcPr>
                <w:p>
                  <w:pPr>
                    <w:pStyle w:val="102"/>
                    <w:spacing w:line="240" w:lineRule="exact"/>
                    <w:rPr>
                      <w:sz w:val="18"/>
                      <w:szCs w:val="18"/>
                    </w:rPr>
                  </w:pPr>
                  <w:r>
                    <w:rPr>
                      <w:sz w:val="18"/>
                      <w:szCs w:val="18"/>
                    </w:rPr>
                    <w:t>废水排放量</w:t>
                  </w:r>
                </w:p>
                <w:p>
                  <w:pPr>
                    <w:pStyle w:val="102"/>
                    <w:spacing w:line="240" w:lineRule="exact"/>
                    <w:rPr>
                      <w:sz w:val="18"/>
                      <w:szCs w:val="18"/>
                    </w:rPr>
                  </w:pPr>
                  <w:r>
                    <w:rPr>
                      <w:sz w:val="18"/>
                      <w:szCs w:val="18"/>
                    </w:rPr>
                    <w:t>（万</w:t>
                  </w:r>
                  <w:r>
                    <w:rPr>
                      <w:rFonts w:hint="eastAsia"/>
                      <w:sz w:val="18"/>
                      <w:szCs w:val="18"/>
                    </w:rPr>
                    <w:t>m</w:t>
                  </w:r>
                  <w:r>
                    <w:rPr>
                      <w:rFonts w:hint="eastAsia"/>
                      <w:sz w:val="18"/>
                      <w:szCs w:val="18"/>
                      <w:vertAlign w:val="superscript"/>
                    </w:rPr>
                    <w:t>3</w:t>
                  </w:r>
                  <w:r>
                    <w:rPr>
                      <w:sz w:val="18"/>
                      <w:szCs w:val="18"/>
                    </w:rPr>
                    <w:t>/a）</w:t>
                  </w:r>
                </w:p>
              </w:tc>
              <w:tc>
                <w:tcPr>
                  <w:tcW w:w="473" w:type="dxa"/>
                  <w:vMerge w:val="restart"/>
                  <w:shd w:val="clear" w:color="auto" w:fill="auto"/>
                  <w:vAlign w:val="center"/>
                </w:tcPr>
                <w:p>
                  <w:pPr>
                    <w:pStyle w:val="102"/>
                    <w:spacing w:line="240" w:lineRule="exact"/>
                    <w:rPr>
                      <w:sz w:val="18"/>
                      <w:szCs w:val="18"/>
                    </w:rPr>
                  </w:pPr>
                  <w:r>
                    <w:rPr>
                      <w:sz w:val="18"/>
                      <w:szCs w:val="18"/>
                    </w:rPr>
                    <w:t>排放去向</w:t>
                  </w:r>
                </w:p>
              </w:tc>
              <w:tc>
                <w:tcPr>
                  <w:tcW w:w="380" w:type="dxa"/>
                  <w:vMerge w:val="restart"/>
                  <w:shd w:val="clear" w:color="auto" w:fill="auto"/>
                  <w:vAlign w:val="center"/>
                </w:tcPr>
                <w:p>
                  <w:pPr>
                    <w:pStyle w:val="102"/>
                    <w:spacing w:line="240" w:lineRule="exact"/>
                    <w:rPr>
                      <w:sz w:val="18"/>
                      <w:szCs w:val="18"/>
                    </w:rPr>
                  </w:pPr>
                  <w:r>
                    <w:rPr>
                      <w:sz w:val="18"/>
                      <w:szCs w:val="18"/>
                    </w:rPr>
                    <w:t>排放规律</w:t>
                  </w:r>
                </w:p>
              </w:tc>
              <w:tc>
                <w:tcPr>
                  <w:tcW w:w="473" w:type="dxa"/>
                  <w:vMerge w:val="restart"/>
                  <w:shd w:val="clear" w:color="auto" w:fill="auto"/>
                  <w:vAlign w:val="center"/>
                </w:tcPr>
                <w:p>
                  <w:pPr>
                    <w:pStyle w:val="102"/>
                    <w:spacing w:line="240" w:lineRule="exact"/>
                    <w:rPr>
                      <w:sz w:val="18"/>
                      <w:szCs w:val="18"/>
                    </w:rPr>
                  </w:pPr>
                  <w:r>
                    <w:rPr>
                      <w:sz w:val="18"/>
                      <w:szCs w:val="18"/>
                    </w:rPr>
                    <w:t>间歇排放时段</w:t>
                  </w:r>
                </w:p>
              </w:tc>
              <w:tc>
                <w:tcPr>
                  <w:tcW w:w="2914" w:type="dxa"/>
                  <w:gridSpan w:val="3"/>
                  <w:shd w:val="clear" w:color="auto" w:fill="auto"/>
                  <w:vAlign w:val="center"/>
                </w:tcPr>
                <w:p>
                  <w:pPr>
                    <w:pStyle w:val="102"/>
                    <w:spacing w:line="240" w:lineRule="exact"/>
                    <w:rPr>
                      <w:sz w:val="18"/>
                      <w:szCs w:val="18"/>
                    </w:rPr>
                  </w:pPr>
                  <w:r>
                    <w:rPr>
                      <w:sz w:val="18"/>
                      <w:szCs w:val="18"/>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shd w:val="clear" w:color="auto" w:fill="auto"/>
                  <w:vAlign w:val="center"/>
                </w:tcPr>
                <w:p>
                  <w:pPr>
                    <w:pStyle w:val="102"/>
                    <w:spacing w:line="240" w:lineRule="exact"/>
                    <w:rPr>
                      <w:sz w:val="18"/>
                      <w:szCs w:val="18"/>
                    </w:rPr>
                  </w:pPr>
                  <w:r>
                    <w:rPr>
                      <w:sz w:val="18"/>
                      <w:szCs w:val="18"/>
                    </w:rPr>
                    <w:t>经度</w:t>
                  </w:r>
                </w:p>
              </w:tc>
              <w:tc>
                <w:tcPr>
                  <w:tcW w:w="896" w:type="dxa"/>
                  <w:shd w:val="clear" w:color="auto" w:fill="auto"/>
                  <w:vAlign w:val="center"/>
                </w:tcPr>
                <w:p>
                  <w:pPr>
                    <w:pStyle w:val="102"/>
                    <w:spacing w:line="240" w:lineRule="exact"/>
                    <w:rPr>
                      <w:sz w:val="18"/>
                      <w:szCs w:val="18"/>
                    </w:rPr>
                  </w:pPr>
                  <w:r>
                    <w:rPr>
                      <w:sz w:val="18"/>
                      <w:szCs w:val="18"/>
                    </w:rPr>
                    <w:t>纬度</w:t>
                  </w: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shd w:val="clear" w:color="auto" w:fill="auto"/>
                  <w:vAlign w:val="center"/>
                </w:tcPr>
                <w:p>
                  <w:pPr>
                    <w:pStyle w:val="102"/>
                    <w:spacing w:line="240" w:lineRule="exact"/>
                    <w:rPr>
                      <w:sz w:val="18"/>
                      <w:szCs w:val="18"/>
                    </w:rPr>
                  </w:pPr>
                  <w:r>
                    <w:rPr>
                      <w:sz w:val="18"/>
                      <w:szCs w:val="18"/>
                    </w:rPr>
                    <w:t>名称</w:t>
                  </w:r>
                </w:p>
              </w:tc>
              <w:tc>
                <w:tcPr>
                  <w:tcW w:w="798" w:type="dxa"/>
                  <w:shd w:val="clear" w:color="auto" w:fill="auto"/>
                  <w:vAlign w:val="center"/>
                </w:tcPr>
                <w:p>
                  <w:pPr>
                    <w:pStyle w:val="102"/>
                    <w:spacing w:line="240" w:lineRule="exact"/>
                    <w:rPr>
                      <w:sz w:val="18"/>
                      <w:szCs w:val="18"/>
                    </w:rPr>
                  </w:pPr>
                  <w:r>
                    <w:rPr>
                      <w:sz w:val="18"/>
                      <w:szCs w:val="18"/>
                    </w:rPr>
                    <w:t>污染物种类</w:t>
                  </w:r>
                </w:p>
              </w:tc>
              <w:tc>
                <w:tcPr>
                  <w:tcW w:w="1643" w:type="dxa"/>
                  <w:shd w:val="clear" w:color="auto" w:fill="auto"/>
                  <w:vAlign w:val="center"/>
                </w:tcPr>
                <w:p>
                  <w:pPr>
                    <w:pStyle w:val="102"/>
                    <w:spacing w:line="240" w:lineRule="exact"/>
                    <w:rPr>
                      <w:sz w:val="18"/>
                      <w:szCs w:val="18"/>
                    </w:rPr>
                  </w:pPr>
                  <w:r>
                    <w:rPr>
                      <w:rFonts w:hint="eastAsia"/>
                      <w:sz w:val="18"/>
                      <w:szCs w:val="18"/>
                    </w:rPr>
                    <w:t>国家或地方污染物排放比标准浓度限值（mg/L）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 w:hRule="atLeast"/>
              </w:trPr>
              <w:tc>
                <w:tcPr>
                  <w:tcW w:w="264" w:type="dxa"/>
                  <w:vMerge w:val="restart"/>
                  <w:shd w:val="clear" w:color="auto" w:fill="auto"/>
                  <w:vAlign w:val="center"/>
                </w:tcPr>
                <w:p>
                  <w:pPr>
                    <w:pStyle w:val="102"/>
                    <w:spacing w:line="240" w:lineRule="exact"/>
                    <w:rPr>
                      <w:sz w:val="18"/>
                      <w:szCs w:val="18"/>
                    </w:rPr>
                  </w:pPr>
                  <w:r>
                    <w:rPr>
                      <w:sz w:val="18"/>
                      <w:szCs w:val="18"/>
                    </w:rPr>
                    <w:t>1</w:t>
                  </w:r>
                </w:p>
              </w:tc>
              <w:tc>
                <w:tcPr>
                  <w:tcW w:w="706" w:type="dxa"/>
                  <w:vMerge w:val="restart"/>
                  <w:shd w:val="clear" w:color="auto" w:fill="auto"/>
                  <w:vAlign w:val="center"/>
                </w:tcPr>
                <w:p>
                  <w:pPr>
                    <w:pStyle w:val="102"/>
                    <w:spacing w:line="240" w:lineRule="exact"/>
                    <w:rPr>
                      <w:sz w:val="18"/>
                      <w:szCs w:val="18"/>
                    </w:rPr>
                  </w:pPr>
                  <w:r>
                    <w:rPr>
                      <w:rFonts w:hint="eastAsia"/>
                      <w:sz w:val="18"/>
                      <w:szCs w:val="18"/>
                    </w:rPr>
                    <w:t>DW001</w:t>
                  </w:r>
                </w:p>
              </w:tc>
              <w:tc>
                <w:tcPr>
                  <w:tcW w:w="995" w:type="dxa"/>
                  <w:vMerge w:val="restart"/>
                  <w:shd w:val="clear" w:color="auto" w:fill="auto"/>
                  <w:vAlign w:val="center"/>
                </w:tcPr>
                <w:p>
                  <w:pPr>
                    <w:pStyle w:val="102"/>
                    <w:spacing w:line="240" w:lineRule="exact"/>
                    <w:rPr>
                      <w:sz w:val="18"/>
                      <w:szCs w:val="18"/>
                    </w:rPr>
                  </w:pPr>
                  <w:r>
                    <w:rPr>
                      <w:sz w:val="18"/>
                      <w:szCs w:val="18"/>
                    </w:rPr>
                    <w:t>105.728397100</w:t>
                  </w:r>
                  <w:r>
                    <w:rPr>
                      <w:rFonts w:hint="eastAsia"/>
                      <w:sz w:val="18"/>
                      <w:szCs w:val="18"/>
                    </w:rPr>
                    <w:t>°</w:t>
                  </w:r>
                </w:p>
              </w:tc>
              <w:tc>
                <w:tcPr>
                  <w:tcW w:w="896" w:type="dxa"/>
                  <w:vMerge w:val="restart"/>
                  <w:shd w:val="clear" w:color="auto" w:fill="auto"/>
                  <w:vAlign w:val="center"/>
                </w:tcPr>
                <w:p>
                  <w:pPr>
                    <w:pStyle w:val="102"/>
                    <w:spacing w:line="240" w:lineRule="exact"/>
                    <w:rPr>
                      <w:sz w:val="18"/>
                      <w:szCs w:val="18"/>
                    </w:rPr>
                  </w:pPr>
                  <w:r>
                    <w:rPr>
                      <w:sz w:val="18"/>
                      <w:szCs w:val="18"/>
                    </w:rPr>
                    <w:t>29.462627664</w:t>
                  </w:r>
                  <w:r>
                    <w:rPr>
                      <w:rFonts w:hint="eastAsia"/>
                      <w:sz w:val="18"/>
                      <w:szCs w:val="18"/>
                    </w:rPr>
                    <w:t>°</w:t>
                  </w:r>
                </w:p>
              </w:tc>
              <w:tc>
                <w:tcPr>
                  <w:tcW w:w="835" w:type="dxa"/>
                  <w:vMerge w:val="restart"/>
                  <w:shd w:val="clear" w:color="auto" w:fill="auto"/>
                  <w:vAlign w:val="center"/>
                </w:tcPr>
                <w:p>
                  <w:pPr>
                    <w:pStyle w:val="102"/>
                    <w:spacing w:line="240" w:lineRule="exact"/>
                    <w:rPr>
                      <w:sz w:val="18"/>
                      <w:szCs w:val="18"/>
                    </w:rPr>
                  </w:pPr>
                  <w:r>
                    <w:rPr>
                      <w:sz w:val="18"/>
                      <w:szCs w:val="18"/>
                    </w:rPr>
                    <w:t>0.33</w:t>
                  </w:r>
                </w:p>
              </w:tc>
              <w:tc>
                <w:tcPr>
                  <w:tcW w:w="473" w:type="dxa"/>
                  <w:vMerge w:val="restart"/>
                  <w:shd w:val="clear" w:color="auto" w:fill="auto"/>
                  <w:vAlign w:val="center"/>
                </w:tcPr>
                <w:p>
                  <w:pPr>
                    <w:pStyle w:val="102"/>
                    <w:spacing w:line="240" w:lineRule="exact"/>
                    <w:rPr>
                      <w:sz w:val="18"/>
                      <w:szCs w:val="18"/>
                    </w:rPr>
                  </w:pPr>
                  <w:r>
                    <w:rPr>
                      <w:rFonts w:hint="eastAsia"/>
                      <w:sz w:val="18"/>
                      <w:szCs w:val="18"/>
                    </w:rPr>
                    <w:t>双桥园区污水处理厂</w:t>
                  </w:r>
                </w:p>
              </w:tc>
              <w:tc>
                <w:tcPr>
                  <w:tcW w:w="380" w:type="dxa"/>
                  <w:vMerge w:val="restart"/>
                  <w:shd w:val="clear" w:color="auto" w:fill="auto"/>
                  <w:vAlign w:val="center"/>
                </w:tcPr>
                <w:p>
                  <w:pPr>
                    <w:pStyle w:val="102"/>
                    <w:spacing w:line="240" w:lineRule="exact"/>
                    <w:rPr>
                      <w:sz w:val="18"/>
                      <w:szCs w:val="18"/>
                    </w:rPr>
                  </w:pPr>
                  <w:r>
                    <w:rPr>
                      <w:sz w:val="18"/>
                      <w:szCs w:val="18"/>
                    </w:rPr>
                    <w:t>间断排放</w:t>
                  </w:r>
                </w:p>
              </w:tc>
              <w:tc>
                <w:tcPr>
                  <w:tcW w:w="473" w:type="dxa"/>
                  <w:vMerge w:val="restart"/>
                  <w:shd w:val="clear" w:color="auto" w:fill="auto"/>
                  <w:vAlign w:val="center"/>
                </w:tcPr>
                <w:p>
                  <w:pPr>
                    <w:pStyle w:val="102"/>
                    <w:spacing w:line="240" w:lineRule="exact"/>
                    <w:rPr>
                      <w:sz w:val="18"/>
                      <w:szCs w:val="18"/>
                    </w:rPr>
                  </w:pPr>
                  <w:r>
                    <w:rPr>
                      <w:rFonts w:hint="eastAsia"/>
                      <w:sz w:val="18"/>
                      <w:szCs w:val="18"/>
                    </w:rPr>
                    <w:t>/</w:t>
                  </w:r>
                </w:p>
              </w:tc>
              <w:tc>
                <w:tcPr>
                  <w:tcW w:w="473" w:type="dxa"/>
                  <w:vMerge w:val="restart"/>
                  <w:shd w:val="clear" w:color="auto" w:fill="auto"/>
                  <w:vAlign w:val="center"/>
                </w:tcPr>
                <w:p>
                  <w:pPr>
                    <w:pStyle w:val="102"/>
                    <w:spacing w:line="240" w:lineRule="exact"/>
                    <w:rPr>
                      <w:sz w:val="18"/>
                      <w:szCs w:val="18"/>
                    </w:rPr>
                  </w:pPr>
                  <w:r>
                    <w:rPr>
                      <w:rFonts w:hint="eastAsia"/>
                      <w:sz w:val="18"/>
                      <w:szCs w:val="18"/>
                    </w:rPr>
                    <w:t>双桥园区污水处理厂</w:t>
                  </w:r>
                </w:p>
              </w:tc>
              <w:tc>
                <w:tcPr>
                  <w:tcW w:w="798" w:type="dxa"/>
                  <w:shd w:val="clear" w:color="auto" w:fill="auto"/>
                  <w:vAlign w:val="bottom"/>
                </w:tcPr>
                <w:p>
                  <w:pPr>
                    <w:spacing w:line="240" w:lineRule="exact"/>
                    <w:jc w:val="center"/>
                    <w:rPr>
                      <w:sz w:val="18"/>
                      <w:szCs w:val="18"/>
                    </w:rPr>
                  </w:pPr>
                  <w:r>
                    <w:rPr>
                      <w:rFonts w:hint="eastAsia"/>
                      <w:sz w:val="18"/>
                      <w:szCs w:val="18"/>
                    </w:rPr>
                    <w:t>pH</w:t>
                  </w:r>
                </w:p>
              </w:tc>
              <w:tc>
                <w:tcPr>
                  <w:tcW w:w="1643" w:type="dxa"/>
                  <w:shd w:val="clear" w:color="auto" w:fill="auto"/>
                </w:tcPr>
                <w:p>
                  <w:pPr>
                    <w:spacing w:line="240" w:lineRule="exact"/>
                    <w:jc w:val="center"/>
                    <w:rPr>
                      <w:sz w:val="18"/>
                      <w:szCs w:val="18"/>
                    </w:rPr>
                  </w:pPr>
                  <w:r>
                    <w:rPr>
                      <w:rFonts w:hint="eastAsia"/>
                      <w:kern w:val="0"/>
                      <w:sz w:val="18"/>
                      <w:szCs w:val="18"/>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sz w:val="18"/>
                      <w:szCs w:val="18"/>
                    </w:rPr>
                    <w:t>COD</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60/</w:t>
                  </w:r>
                  <w:r>
                    <w:rPr>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sz w:val="18"/>
                      <w:szCs w:val="18"/>
                    </w:rPr>
                    <w:t>BOD</w:t>
                  </w:r>
                  <w:r>
                    <w:rPr>
                      <w:sz w:val="18"/>
                      <w:szCs w:val="18"/>
                      <w:vertAlign w:val="subscript"/>
                    </w:rPr>
                    <w:t xml:space="preserve">5 </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20</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sz w:val="18"/>
                      <w:szCs w:val="18"/>
                    </w:rPr>
                    <w:t>SS</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20</w:t>
                  </w:r>
                  <w:r>
                    <w:rPr>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sz w:val="18"/>
                      <w:szCs w:val="18"/>
                    </w:rPr>
                    <w:t>NH</w:t>
                  </w:r>
                  <w:r>
                    <w:rPr>
                      <w:sz w:val="18"/>
                      <w:szCs w:val="18"/>
                      <w:vertAlign w:val="subscript"/>
                    </w:rPr>
                    <w:t>3</w:t>
                  </w:r>
                  <w:r>
                    <w:rPr>
                      <w:sz w:val="18"/>
                      <w:szCs w:val="18"/>
                    </w:rPr>
                    <w:t>-N</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8</w:t>
                  </w: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center"/>
                </w:tcPr>
                <w:p>
                  <w:pPr>
                    <w:spacing w:line="240" w:lineRule="exact"/>
                    <w:jc w:val="center"/>
                    <w:rPr>
                      <w:rFonts w:ascii="宋体" w:hAnsi="宋体" w:cs="宋体"/>
                      <w:sz w:val="18"/>
                      <w:szCs w:val="18"/>
                    </w:rPr>
                  </w:pPr>
                  <w:r>
                    <w:rPr>
                      <w:rFonts w:hint="eastAsia"/>
                      <w:sz w:val="18"/>
                      <w:szCs w:val="18"/>
                    </w:rPr>
                    <w:t>动植物油</w:t>
                  </w:r>
                </w:p>
              </w:tc>
              <w:tc>
                <w:tcPr>
                  <w:tcW w:w="1643" w:type="dxa"/>
                  <w:shd w:val="clear" w:color="auto" w:fill="auto"/>
                  <w:vAlign w:val="center"/>
                </w:tcPr>
                <w:p>
                  <w:pPr>
                    <w:spacing w:line="240" w:lineRule="exact"/>
                    <w:jc w:val="center"/>
                    <w:rPr>
                      <w:rFonts w:ascii="宋体" w:hAnsi="宋体" w:cs="宋体"/>
                      <w:sz w:val="18"/>
                      <w:szCs w:val="18"/>
                    </w:rPr>
                  </w:pPr>
                  <w:r>
                    <w:rPr>
                      <w:rFonts w:hint="eastAsia"/>
                      <w:sz w:val="18"/>
                      <w:szCs w:val="18"/>
                    </w:rPr>
                    <w:t>3</w:t>
                  </w:r>
                  <w:r>
                    <w:rPr>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rFonts w:ascii="宋体" w:hAnsi="宋体" w:cs="宋体"/>
                      <w:sz w:val="18"/>
                      <w:szCs w:val="18"/>
                    </w:rPr>
                  </w:pPr>
                  <w:r>
                    <w:rPr>
                      <w:rFonts w:hint="eastAsia"/>
                      <w:sz w:val="18"/>
                      <w:szCs w:val="18"/>
                    </w:rPr>
                    <w:t>总氮</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20</w:t>
                  </w: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rFonts w:hint="eastAsia"/>
                      <w:sz w:val="18"/>
                      <w:szCs w:val="18"/>
                    </w:rPr>
                    <w:t>总磷</w:t>
                  </w:r>
                </w:p>
              </w:tc>
              <w:tc>
                <w:tcPr>
                  <w:tcW w:w="1643" w:type="dxa"/>
                  <w:shd w:val="clear" w:color="auto" w:fill="auto"/>
                </w:tcPr>
                <w:p>
                  <w:pPr>
                    <w:spacing w:line="240" w:lineRule="exact"/>
                    <w:jc w:val="center"/>
                    <w:rPr>
                      <w:rFonts w:ascii="宋体" w:hAnsi="宋体" w:cs="宋体"/>
                      <w:sz w:val="18"/>
                      <w:szCs w:val="18"/>
                    </w:rPr>
                  </w:pPr>
                  <w:r>
                    <w:rPr>
                      <w:rFonts w:hint="eastAsia"/>
                      <w:sz w:val="18"/>
                      <w:szCs w:val="18"/>
                    </w:rPr>
                    <w:t>1</w:t>
                  </w: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 w:hRule="atLeast"/>
              </w:trPr>
              <w:tc>
                <w:tcPr>
                  <w:tcW w:w="264" w:type="dxa"/>
                  <w:vMerge w:val="continue"/>
                  <w:shd w:val="clear" w:color="auto" w:fill="auto"/>
                  <w:vAlign w:val="center"/>
                </w:tcPr>
                <w:p>
                  <w:pPr>
                    <w:pStyle w:val="102"/>
                    <w:spacing w:line="240" w:lineRule="exact"/>
                    <w:rPr>
                      <w:sz w:val="18"/>
                      <w:szCs w:val="18"/>
                    </w:rPr>
                  </w:pPr>
                </w:p>
              </w:tc>
              <w:tc>
                <w:tcPr>
                  <w:tcW w:w="706" w:type="dxa"/>
                  <w:vMerge w:val="continue"/>
                  <w:shd w:val="clear" w:color="auto" w:fill="auto"/>
                  <w:vAlign w:val="center"/>
                </w:tcPr>
                <w:p>
                  <w:pPr>
                    <w:pStyle w:val="102"/>
                    <w:spacing w:line="240" w:lineRule="exact"/>
                    <w:rPr>
                      <w:sz w:val="18"/>
                      <w:szCs w:val="18"/>
                    </w:rPr>
                  </w:pPr>
                </w:p>
              </w:tc>
              <w:tc>
                <w:tcPr>
                  <w:tcW w:w="995" w:type="dxa"/>
                  <w:vMerge w:val="continue"/>
                  <w:shd w:val="clear" w:color="auto" w:fill="auto"/>
                  <w:vAlign w:val="center"/>
                </w:tcPr>
                <w:p>
                  <w:pPr>
                    <w:pStyle w:val="102"/>
                    <w:spacing w:line="240" w:lineRule="exact"/>
                    <w:rPr>
                      <w:sz w:val="18"/>
                      <w:szCs w:val="18"/>
                    </w:rPr>
                  </w:pPr>
                </w:p>
              </w:tc>
              <w:tc>
                <w:tcPr>
                  <w:tcW w:w="896" w:type="dxa"/>
                  <w:vMerge w:val="continue"/>
                  <w:shd w:val="clear" w:color="auto" w:fill="auto"/>
                  <w:vAlign w:val="center"/>
                </w:tcPr>
                <w:p>
                  <w:pPr>
                    <w:pStyle w:val="102"/>
                    <w:spacing w:line="240" w:lineRule="exact"/>
                    <w:rPr>
                      <w:sz w:val="18"/>
                      <w:szCs w:val="18"/>
                    </w:rPr>
                  </w:pPr>
                </w:p>
              </w:tc>
              <w:tc>
                <w:tcPr>
                  <w:tcW w:w="835"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380"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473" w:type="dxa"/>
                  <w:vMerge w:val="continue"/>
                  <w:shd w:val="clear" w:color="auto" w:fill="auto"/>
                  <w:vAlign w:val="center"/>
                </w:tcPr>
                <w:p>
                  <w:pPr>
                    <w:pStyle w:val="102"/>
                    <w:spacing w:line="240" w:lineRule="exact"/>
                    <w:rPr>
                      <w:sz w:val="18"/>
                      <w:szCs w:val="18"/>
                    </w:rPr>
                  </w:pPr>
                </w:p>
              </w:tc>
              <w:tc>
                <w:tcPr>
                  <w:tcW w:w="798" w:type="dxa"/>
                  <w:shd w:val="clear" w:color="auto" w:fill="auto"/>
                  <w:vAlign w:val="bottom"/>
                </w:tcPr>
                <w:p>
                  <w:pPr>
                    <w:spacing w:line="240" w:lineRule="exact"/>
                    <w:jc w:val="center"/>
                    <w:rPr>
                      <w:sz w:val="18"/>
                      <w:szCs w:val="18"/>
                    </w:rPr>
                  </w:pPr>
                  <w:r>
                    <w:rPr>
                      <w:rFonts w:hint="eastAsia"/>
                      <w:sz w:val="18"/>
                      <w:szCs w:val="18"/>
                    </w:rPr>
                    <w:t>石油类</w:t>
                  </w:r>
                </w:p>
              </w:tc>
              <w:tc>
                <w:tcPr>
                  <w:tcW w:w="1643" w:type="dxa"/>
                  <w:shd w:val="clear" w:color="auto" w:fill="auto"/>
                </w:tcPr>
                <w:p>
                  <w:pPr>
                    <w:spacing w:line="240" w:lineRule="exact"/>
                    <w:jc w:val="center"/>
                    <w:rPr>
                      <w:sz w:val="18"/>
                      <w:szCs w:val="18"/>
                    </w:rPr>
                  </w:pPr>
                  <w:r>
                    <w:rPr>
                      <w:rFonts w:hint="eastAsia"/>
                      <w:sz w:val="18"/>
                      <w:szCs w:val="18"/>
                    </w:rPr>
                    <w:t>3</w:t>
                  </w:r>
                  <w:r>
                    <w:rPr>
                      <w:sz w:val="18"/>
                      <w:szCs w:val="18"/>
                    </w:rPr>
                    <w:t>/1</w:t>
                  </w:r>
                </w:p>
              </w:tc>
            </w:tr>
          </w:tbl>
          <w:p>
            <w:pPr>
              <w:pStyle w:val="45"/>
              <w:spacing w:before="0" w:afterLines="0" w:line="360" w:lineRule="auto"/>
              <w:jc w:val="left"/>
              <w:rPr>
                <w:rFonts w:ascii="Times New Roman" w:hAnsi="Times New Roman"/>
                <w:sz w:val="18"/>
                <w:szCs w:val="18"/>
              </w:rPr>
            </w:pPr>
            <w:r>
              <w:rPr>
                <w:rFonts w:hint="eastAsia" w:ascii="Times New Roman" w:hAnsi="Times New Roman"/>
                <w:sz w:val="18"/>
                <w:szCs w:val="18"/>
              </w:rPr>
              <w:t>注：“/”前表示近期排入环境的标准，“/”后表示远期提标改造后排入环境的标准</w:t>
            </w:r>
          </w:p>
          <w:p>
            <w:pPr>
              <w:pStyle w:val="45"/>
              <w:spacing w:before="0" w:afterLines="0" w:line="360" w:lineRule="auto"/>
              <w:rPr>
                <w:rFonts w:ascii="Times New Roman" w:hAnsi="Times New Roman"/>
                <w:sz w:val="18"/>
                <w:szCs w:val="18"/>
              </w:rPr>
            </w:pPr>
          </w:p>
          <w:p>
            <w:pPr>
              <w:pStyle w:val="45"/>
              <w:spacing w:before="0" w:afterLines="0" w:line="360" w:lineRule="auto"/>
              <w:rPr>
                <w:rFonts w:ascii="Times New Roman" w:hAnsi="Times New Roman"/>
                <w:sz w:val="18"/>
                <w:szCs w:val="18"/>
              </w:rPr>
            </w:pPr>
            <w:r>
              <w:rPr>
                <w:rFonts w:hint="eastAsia" w:ascii="Times New Roman" w:hAnsi="Times New Roman"/>
                <w:sz w:val="18"/>
                <w:szCs w:val="18"/>
              </w:rPr>
              <w:t>表</w:t>
            </w:r>
            <w:r>
              <w:rPr>
                <w:rFonts w:ascii="Times New Roman" w:hAnsi="Times New Roman"/>
                <w:sz w:val="18"/>
                <w:szCs w:val="18"/>
              </w:rPr>
              <w:t>4.2</w:t>
            </w:r>
            <w:r>
              <w:rPr>
                <w:rFonts w:hint="eastAsia" w:ascii="Times New Roman" w:hAnsi="Times New Roman"/>
                <w:sz w:val="18"/>
                <w:szCs w:val="18"/>
              </w:rPr>
              <w:t>.</w:t>
            </w:r>
            <w:r>
              <w:rPr>
                <w:rFonts w:ascii="Times New Roman" w:hAnsi="Times New Roman"/>
                <w:sz w:val="18"/>
                <w:szCs w:val="18"/>
              </w:rPr>
              <w:t>2</w:t>
            </w:r>
            <w:r>
              <w:rPr>
                <w:rFonts w:hint="eastAsia" w:ascii="Times New Roman" w:hAnsi="Times New Roman"/>
                <w:sz w:val="18"/>
                <w:szCs w:val="18"/>
              </w:rPr>
              <w:t>-</w:t>
            </w:r>
            <w:r>
              <w:rPr>
                <w:rFonts w:ascii="Times New Roman" w:hAnsi="Times New Roman"/>
                <w:sz w:val="18"/>
                <w:szCs w:val="18"/>
              </w:rPr>
              <w:t>4</w:t>
            </w:r>
            <w:r>
              <w:rPr>
                <w:rFonts w:hint="eastAsia" w:ascii="Times New Roman" w:hAnsi="Times New Roman"/>
                <w:sz w:val="18"/>
                <w:szCs w:val="18"/>
              </w:rPr>
              <w:t xml:space="preserve"> </w:t>
            </w:r>
            <w:r>
              <w:rPr>
                <w:rFonts w:ascii="Times New Roman" w:hAnsi="Times New Roman"/>
                <w:sz w:val="18"/>
                <w:szCs w:val="18"/>
              </w:rPr>
              <w:t xml:space="preserve"> </w:t>
            </w:r>
            <w:r>
              <w:rPr>
                <w:rFonts w:hint="eastAsia" w:ascii="Times New Roman" w:hAnsi="Times New Roman"/>
                <w:sz w:val="18"/>
                <w:szCs w:val="18"/>
              </w:rPr>
              <w:t>废水污染物排放执行标准表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01"/>
              <w:gridCol w:w="816"/>
              <w:gridCol w:w="2074"/>
              <w:gridCol w:w="267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restart"/>
                  <w:vAlign w:val="center"/>
                </w:tcPr>
                <w:p>
                  <w:pPr>
                    <w:spacing w:line="240" w:lineRule="exact"/>
                    <w:jc w:val="center"/>
                    <w:rPr>
                      <w:sz w:val="18"/>
                      <w:szCs w:val="18"/>
                    </w:rPr>
                  </w:pPr>
                  <w:r>
                    <w:rPr>
                      <w:rFonts w:hint="eastAsia"/>
                      <w:sz w:val="18"/>
                      <w:szCs w:val="18"/>
                    </w:rPr>
                    <w:t>序号</w:t>
                  </w:r>
                </w:p>
              </w:tc>
              <w:tc>
                <w:tcPr>
                  <w:tcW w:w="816" w:type="dxa"/>
                  <w:vMerge w:val="restart"/>
                  <w:vAlign w:val="center"/>
                </w:tcPr>
                <w:p>
                  <w:pPr>
                    <w:spacing w:line="240" w:lineRule="exact"/>
                    <w:jc w:val="center"/>
                    <w:rPr>
                      <w:sz w:val="18"/>
                      <w:szCs w:val="18"/>
                    </w:rPr>
                  </w:pPr>
                  <w:r>
                    <w:rPr>
                      <w:rFonts w:hint="eastAsia"/>
                      <w:sz w:val="18"/>
                      <w:szCs w:val="18"/>
                    </w:rPr>
                    <w:t>排放口编号</w:t>
                  </w:r>
                </w:p>
              </w:tc>
              <w:tc>
                <w:tcPr>
                  <w:tcW w:w="2074" w:type="dxa"/>
                  <w:vMerge w:val="restart"/>
                  <w:vAlign w:val="center"/>
                </w:tcPr>
                <w:p>
                  <w:pPr>
                    <w:adjustRightInd w:val="0"/>
                    <w:snapToGrid w:val="0"/>
                    <w:spacing w:line="240" w:lineRule="exact"/>
                    <w:jc w:val="center"/>
                    <w:rPr>
                      <w:bCs/>
                      <w:sz w:val="18"/>
                      <w:szCs w:val="18"/>
                    </w:rPr>
                  </w:pPr>
                  <w:r>
                    <w:rPr>
                      <w:rFonts w:hint="eastAsia"/>
                      <w:bCs/>
                      <w:sz w:val="18"/>
                      <w:szCs w:val="18"/>
                    </w:rPr>
                    <w:t>污染物种类</w:t>
                  </w:r>
                </w:p>
              </w:tc>
              <w:tc>
                <w:tcPr>
                  <w:tcW w:w="4645" w:type="dxa"/>
                  <w:gridSpan w:val="2"/>
                  <w:vAlign w:val="center"/>
                </w:tcPr>
                <w:p>
                  <w:pPr>
                    <w:spacing w:line="240" w:lineRule="exact"/>
                    <w:jc w:val="center"/>
                    <w:rPr>
                      <w:sz w:val="18"/>
                      <w:szCs w:val="18"/>
                    </w:rPr>
                  </w:pPr>
                  <w:r>
                    <w:rPr>
                      <w:rFonts w:hint="eastAsia"/>
                      <w:sz w:val="18"/>
                      <w:szCs w:val="18"/>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vMerge w:val="continue"/>
                  <w:vAlign w:val="center"/>
                </w:tcPr>
                <w:p>
                  <w:pPr>
                    <w:adjustRightInd w:val="0"/>
                    <w:snapToGrid w:val="0"/>
                    <w:spacing w:line="240" w:lineRule="exact"/>
                    <w:jc w:val="center"/>
                    <w:rPr>
                      <w:bCs/>
                      <w:sz w:val="18"/>
                      <w:szCs w:val="18"/>
                    </w:rPr>
                  </w:pPr>
                </w:p>
              </w:tc>
              <w:tc>
                <w:tcPr>
                  <w:tcW w:w="2672" w:type="dxa"/>
                  <w:vAlign w:val="center"/>
                </w:tcPr>
                <w:p>
                  <w:pPr>
                    <w:spacing w:line="240" w:lineRule="exact"/>
                    <w:jc w:val="center"/>
                    <w:rPr>
                      <w:sz w:val="18"/>
                      <w:szCs w:val="18"/>
                    </w:rPr>
                  </w:pPr>
                  <w:r>
                    <w:rPr>
                      <w:rFonts w:hint="eastAsia"/>
                      <w:sz w:val="18"/>
                      <w:szCs w:val="18"/>
                    </w:rPr>
                    <w:t>名称</w:t>
                  </w:r>
                </w:p>
              </w:tc>
              <w:tc>
                <w:tcPr>
                  <w:tcW w:w="1973" w:type="dxa"/>
                  <w:vAlign w:val="center"/>
                </w:tcPr>
                <w:p>
                  <w:pPr>
                    <w:spacing w:line="240" w:lineRule="exact"/>
                    <w:jc w:val="center"/>
                    <w:rPr>
                      <w:sz w:val="18"/>
                      <w:szCs w:val="18"/>
                    </w:rPr>
                  </w:pPr>
                  <w:r>
                    <w:rPr>
                      <w:rFonts w:hint="eastAsia"/>
                      <w:sz w:val="18"/>
                      <w:szCs w:val="18"/>
                    </w:rPr>
                    <w:t>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restart"/>
                  <w:vAlign w:val="center"/>
                </w:tcPr>
                <w:p>
                  <w:pPr>
                    <w:spacing w:line="240" w:lineRule="exact"/>
                    <w:jc w:val="center"/>
                    <w:rPr>
                      <w:sz w:val="18"/>
                      <w:szCs w:val="18"/>
                    </w:rPr>
                  </w:pPr>
                  <w:r>
                    <w:rPr>
                      <w:rFonts w:hint="eastAsia"/>
                      <w:sz w:val="18"/>
                      <w:szCs w:val="18"/>
                    </w:rPr>
                    <w:t>1</w:t>
                  </w:r>
                </w:p>
              </w:tc>
              <w:tc>
                <w:tcPr>
                  <w:tcW w:w="816" w:type="dxa"/>
                  <w:vMerge w:val="restart"/>
                  <w:vAlign w:val="center"/>
                </w:tcPr>
                <w:p>
                  <w:pPr>
                    <w:spacing w:line="240" w:lineRule="exact"/>
                    <w:jc w:val="center"/>
                    <w:rPr>
                      <w:sz w:val="18"/>
                      <w:szCs w:val="18"/>
                    </w:rPr>
                  </w:pPr>
                  <w:r>
                    <w:rPr>
                      <w:rFonts w:hint="eastAsia"/>
                      <w:sz w:val="18"/>
                      <w:szCs w:val="18"/>
                    </w:rPr>
                    <w:t>DW001</w:t>
                  </w:r>
                </w:p>
              </w:tc>
              <w:tc>
                <w:tcPr>
                  <w:tcW w:w="2074" w:type="dxa"/>
                </w:tcPr>
                <w:p>
                  <w:pPr>
                    <w:spacing w:line="240" w:lineRule="exact"/>
                    <w:jc w:val="center"/>
                    <w:rPr>
                      <w:sz w:val="18"/>
                      <w:szCs w:val="18"/>
                    </w:rPr>
                  </w:pPr>
                  <w:r>
                    <w:rPr>
                      <w:rFonts w:hint="eastAsia"/>
                      <w:sz w:val="18"/>
                      <w:szCs w:val="18"/>
                    </w:rPr>
                    <w:t>pH</w:t>
                  </w:r>
                </w:p>
              </w:tc>
              <w:tc>
                <w:tcPr>
                  <w:tcW w:w="2672" w:type="dxa"/>
                  <w:vMerge w:val="restart"/>
                  <w:vAlign w:val="center"/>
                </w:tcPr>
                <w:p>
                  <w:pPr>
                    <w:spacing w:line="240" w:lineRule="exact"/>
                    <w:jc w:val="center"/>
                    <w:rPr>
                      <w:sz w:val="18"/>
                      <w:szCs w:val="18"/>
                    </w:rPr>
                  </w:pPr>
                  <w:r>
                    <w:rPr>
                      <w:rFonts w:hint="eastAsia"/>
                      <w:sz w:val="18"/>
                      <w:szCs w:val="18"/>
                    </w:rPr>
                    <w:t>《污水综合排放标准》（GB8978-1996）三级排放标准</w:t>
                  </w:r>
                </w:p>
              </w:tc>
              <w:tc>
                <w:tcPr>
                  <w:tcW w:w="1973" w:type="dxa"/>
                  <w:vAlign w:val="center"/>
                </w:tcPr>
                <w:p>
                  <w:pPr>
                    <w:spacing w:line="240" w:lineRule="exact"/>
                    <w:jc w:val="center"/>
                    <w:rPr>
                      <w:sz w:val="18"/>
                      <w:szCs w:val="18"/>
                    </w:rPr>
                  </w:pPr>
                  <w:r>
                    <w:rPr>
                      <w:rFonts w:hint="eastAsia"/>
                      <w:sz w:val="18"/>
                      <w:szCs w:val="18"/>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sz w:val="18"/>
                      <w:szCs w:val="18"/>
                    </w:rPr>
                    <w:t>COD</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rFonts w:hint="eastAsia"/>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sz w:val="18"/>
                      <w:szCs w:val="18"/>
                    </w:rPr>
                    <w:t>BOD</w:t>
                  </w:r>
                  <w:r>
                    <w:rPr>
                      <w:sz w:val="18"/>
                      <w:szCs w:val="18"/>
                      <w:vertAlign w:val="subscript"/>
                    </w:rPr>
                    <w:t>5</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rFonts w:hint="eastAsia"/>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sz w:val="18"/>
                      <w:szCs w:val="18"/>
                    </w:rPr>
                    <w:t>SS</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rFonts w:hint="eastAsia"/>
                      <w:sz w:val="18"/>
                      <w:szCs w:val="1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rFonts w:hint="eastAsia"/>
                      <w:sz w:val="18"/>
                      <w:szCs w:val="18"/>
                    </w:rPr>
                    <w:t>石油类</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rFonts w:hint="eastAsia"/>
                      <w:sz w:val="18"/>
                      <w:szCs w:val="18"/>
                    </w:rPr>
                    <w:t>动植物油</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rFonts w:hint="eastAsia"/>
                      <w:sz w:val="18"/>
                      <w:szCs w:val="18"/>
                    </w:rPr>
                    <w:t>总氮</w:t>
                  </w:r>
                </w:p>
              </w:tc>
              <w:tc>
                <w:tcPr>
                  <w:tcW w:w="2672" w:type="dxa"/>
                  <w:vMerge w:val="restart"/>
                  <w:vAlign w:val="center"/>
                </w:tcPr>
                <w:p>
                  <w:pPr>
                    <w:spacing w:line="240" w:lineRule="exact"/>
                    <w:jc w:val="center"/>
                    <w:rPr>
                      <w:sz w:val="18"/>
                      <w:szCs w:val="18"/>
                    </w:rPr>
                  </w:pPr>
                  <w:r>
                    <w:rPr>
                      <w:rFonts w:hint="eastAsia"/>
                      <w:kern w:val="0"/>
                      <w:sz w:val="18"/>
                      <w:szCs w:val="18"/>
                    </w:rPr>
                    <w:t>《污水排入城镇下水道水质标准》（GB/T31962-2015）</w:t>
                  </w:r>
                </w:p>
              </w:tc>
              <w:tc>
                <w:tcPr>
                  <w:tcW w:w="1973" w:type="dxa"/>
                  <w:vAlign w:val="center"/>
                </w:tcPr>
                <w:p>
                  <w:pPr>
                    <w:spacing w:line="240" w:lineRule="exact"/>
                    <w:jc w:val="center"/>
                    <w:rPr>
                      <w:sz w:val="18"/>
                      <w:szCs w:val="18"/>
                    </w:rPr>
                  </w:pPr>
                  <w:r>
                    <w:rPr>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rFonts w:hint="eastAsia"/>
                      <w:sz w:val="18"/>
                      <w:szCs w:val="18"/>
                    </w:rPr>
                    <w:t>总磷</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rFonts w:hint="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01" w:type="dxa"/>
                  <w:vMerge w:val="continue"/>
                  <w:vAlign w:val="center"/>
                </w:tcPr>
                <w:p>
                  <w:pPr>
                    <w:spacing w:line="240" w:lineRule="exact"/>
                    <w:jc w:val="center"/>
                    <w:rPr>
                      <w:sz w:val="18"/>
                      <w:szCs w:val="18"/>
                    </w:rPr>
                  </w:pPr>
                </w:p>
              </w:tc>
              <w:tc>
                <w:tcPr>
                  <w:tcW w:w="816" w:type="dxa"/>
                  <w:vMerge w:val="continue"/>
                  <w:vAlign w:val="center"/>
                </w:tcPr>
                <w:p>
                  <w:pPr>
                    <w:spacing w:line="240" w:lineRule="exact"/>
                    <w:jc w:val="center"/>
                    <w:rPr>
                      <w:sz w:val="18"/>
                      <w:szCs w:val="18"/>
                    </w:rPr>
                  </w:pPr>
                </w:p>
              </w:tc>
              <w:tc>
                <w:tcPr>
                  <w:tcW w:w="2074" w:type="dxa"/>
                </w:tcPr>
                <w:p>
                  <w:pPr>
                    <w:spacing w:line="240" w:lineRule="exact"/>
                    <w:jc w:val="center"/>
                    <w:rPr>
                      <w:sz w:val="18"/>
                      <w:szCs w:val="18"/>
                    </w:rPr>
                  </w:pPr>
                  <w:r>
                    <w:rPr>
                      <w:sz w:val="18"/>
                      <w:szCs w:val="18"/>
                    </w:rPr>
                    <w:t>NH</w:t>
                  </w:r>
                  <w:r>
                    <w:rPr>
                      <w:sz w:val="18"/>
                      <w:szCs w:val="18"/>
                      <w:vertAlign w:val="subscript"/>
                    </w:rPr>
                    <w:t>3</w:t>
                  </w:r>
                  <w:r>
                    <w:rPr>
                      <w:sz w:val="18"/>
                      <w:szCs w:val="18"/>
                    </w:rPr>
                    <w:t>-N</w:t>
                  </w:r>
                </w:p>
              </w:tc>
              <w:tc>
                <w:tcPr>
                  <w:tcW w:w="2672" w:type="dxa"/>
                  <w:vMerge w:val="continue"/>
                  <w:vAlign w:val="center"/>
                </w:tcPr>
                <w:p>
                  <w:pPr>
                    <w:spacing w:line="240" w:lineRule="exact"/>
                    <w:jc w:val="center"/>
                    <w:rPr>
                      <w:sz w:val="18"/>
                      <w:szCs w:val="18"/>
                    </w:rPr>
                  </w:pPr>
                </w:p>
              </w:tc>
              <w:tc>
                <w:tcPr>
                  <w:tcW w:w="1973" w:type="dxa"/>
                  <w:vAlign w:val="center"/>
                </w:tcPr>
                <w:p>
                  <w:pPr>
                    <w:spacing w:line="240" w:lineRule="exact"/>
                    <w:jc w:val="center"/>
                    <w:rPr>
                      <w:sz w:val="18"/>
                      <w:szCs w:val="18"/>
                    </w:rPr>
                  </w:pPr>
                  <w:r>
                    <w:rPr>
                      <w:sz w:val="18"/>
                      <w:szCs w:val="18"/>
                    </w:rPr>
                    <w:t>45</w:t>
                  </w:r>
                </w:p>
              </w:tc>
            </w:tr>
          </w:tbl>
          <w:p>
            <w:pPr>
              <w:adjustRightInd w:val="0"/>
              <w:snapToGrid w:val="0"/>
              <w:spacing w:line="360" w:lineRule="auto"/>
              <w:rPr>
                <w:b/>
                <w:bCs/>
                <w:sz w:val="24"/>
              </w:rPr>
            </w:pPr>
          </w:p>
          <w:p>
            <w:pPr>
              <w:adjustRightInd w:val="0"/>
              <w:snapToGrid w:val="0"/>
              <w:spacing w:line="360" w:lineRule="auto"/>
              <w:rPr>
                <w:b/>
                <w:bCs/>
                <w:sz w:val="24"/>
              </w:rPr>
            </w:pPr>
            <w:r>
              <w:rPr>
                <w:rFonts w:hint="eastAsia"/>
                <w:b/>
                <w:bCs/>
                <w:sz w:val="24"/>
              </w:rPr>
              <w:t>4.2.2.3营运期污染源监测计划</w:t>
            </w:r>
          </w:p>
          <w:p>
            <w:pPr>
              <w:adjustRightInd w:val="0"/>
              <w:snapToGrid w:val="0"/>
              <w:spacing w:line="360" w:lineRule="auto"/>
              <w:ind w:firstLine="480" w:firstLineChars="200"/>
              <w:rPr>
                <w:bCs/>
                <w:sz w:val="24"/>
              </w:rPr>
            </w:pPr>
            <w:r>
              <w:rPr>
                <w:rFonts w:hint="eastAsia"/>
                <w:bCs/>
                <w:sz w:val="24"/>
              </w:rPr>
              <w:t>按照建设项目环境保护管理有关规定，需要对拟建项目营运期的污染源和周围环境进行定期监测，以了解环境保护治理设施的运行情况，为拟定正确的环境保护计划提供依据。监测重点是对拟建项目营运期的污染源进行监测，根据《排污许可证申请与核发技术规范 废弃资源加工工业》（HJ 1034-2019）、《排污单位自行监测技术指南 总则》（H</w:t>
            </w:r>
            <w:r>
              <w:rPr>
                <w:rFonts w:hint="eastAsia"/>
                <w:sz w:val="24"/>
              </w:rPr>
              <w:t>J 819-2017）</w:t>
            </w:r>
            <w:r>
              <w:rPr>
                <w:rFonts w:hint="eastAsia"/>
                <w:bCs/>
                <w:sz w:val="24"/>
              </w:rPr>
              <w:t>，拟建项目具体监测内容和频率见表4.2.</w:t>
            </w:r>
            <w:r>
              <w:rPr>
                <w:bCs/>
                <w:sz w:val="24"/>
              </w:rPr>
              <w:t>2</w:t>
            </w:r>
            <w:r>
              <w:rPr>
                <w:rFonts w:hint="eastAsia"/>
                <w:bCs/>
                <w:sz w:val="24"/>
              </w:rPr>
              <w:t>-</w:t>
            </w:r>
            <w:r>
              <w:rPr>
                <w:bCs/>
                <w:sz w:val="24"/>
              </w:rPr>
              <w:t>5</w:t>
            </w:r>
            <w:r>
              <w:rPr>
                <w:rFonts w:hint="eastAsia"/>
                <w:bCs/>
                <w:sz w:val="24"/>
              </w:rPr>
              <w:t>。</w:t>
            </w:r>
          </w:p>
          <w:p>
            <w:pPr>
              <w:adjustRightInd w:val="0"/>
              <w:snapToGrid w:val="0"/>
              <w:spacing w:line="360" w:lineRule="auto"/>
              <w:ind w:firstLine="21" w:firstLineChars="12"/>
              <w:jc w:val="center"/>
              <w:rPr>
                <w:bCs/>
                <w:sz w:val="18"/>
                <w:szCs w:val="18"/>
              </w:rPr>
            </w:pPr>
            <w:r>
              <w:rPr>
                <w:rFonts w:hint="eastAsia"/>
                <w:sz w:val="18"/>
                <w:szCs w:val="18"/>
              </w:rPr>
              <w:t>表</w:t>
            </w:r>
            <w:r>
              <w:rPr>
                <w:sz w:val="18"/>
                <w:szCs w:val="18"/>
              </w:rPr>
              <w:t>4.2</w:t>
            </w:r>
            <w:r>
              <w:rPr>
                <w:rFonts w:hint="eastAsia"/>
                <w:sz w:val="18"/>
                <w:szCs w:val="18"/>
              </w:rPr>
              <w:t>.</w:t>
            </w:r>
            <w:r>
              <w:rPr>
                <w:sz w:val="18"/>
                <w:szCs w:val="18"/>
              </w:rPr>
              <w:t>2</w:t>
            </w:r>
            <w:r>
              <w:rPr>
                <w:rFonts w:hint="eastAsia"/>
                <w:sz w:val="18"/>
                <w:szCs w:val="18"/>
              </w:rPr>
              <w:t>-</w:t>
            </w:r>
            <w:r>
              <w:rPr>
                <w:sz w:val="18"/>
                <w:szCs w:val="18"/>
              </w:rPr>
              <w:t>5</w:t>
            </w:r>
            <w:r>
              <w:rPr>
                <w:rFonts w:hint="eastAsia"/>
                <w:bCs/>
                <w:sz w:val="18"/>
                <w:szCs w:val="18"/>
              </w:rPr>
              <w:t xml:space="preserve">  拟建项目营运期废水污染物监测计划一览表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3"/>
              <w:gridCol w:w="626"/>
              <w:gridCol w:w="1337"/>
              <w:gridCol w:w="929"/>
              <w:gridCol w:w="2843"/>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3" w:type="dxa"/>
                  <w:vAlign w:val="center"/>
                </w:tcPr>
                <w:p>
                  <w:pPr>
                    <w:adjustRightInd w:val="0"/>
                    <w:snapToGrid w:val="0"/>
                    <w:spacing w:line="240" w:lineRule="exact"/>
                    <w:jc w:val="center"/>
                    <w:rPr>
                      <w:bCs/>
                      <w:sz w:val="18"/>
                      <w:szCs w:val="18"/>
                    </w:rPr>
                  </w:pPr>
                  <w:r>
                    <w:rPr>
                      <w:rFonts w:hint="eastAsia"/>
                      <w:bCs/>
                      <w:sz w:val="18"/>
                      <w:szCs w:val="18"/>
                    </w:rPr>
                    <w:t>分类</w:t>
                  </w:r>
                </w:p>
              </w:tc>
              <w:tc>
                <w:tcPr>
                  <w:tcW w:w="626" w:type="dxa"/>
                  <w:vAlign w:val="center"/>
                </w:tcPr>
                <w:p>
                  <w:pPr>
                    <w:adjustRightInd w:val="0"/>
                    <w:snapToGrid w:val="0"/>
                    <w:spacing w:line="240" w:lineRule="exact"/>
                    <w:jc w:val="center"/>
                    <w:rPr>
                      <w:bCs/>
                      <w:sz w:val="18"/>
                      <w:szCs w:val="18"/>
                    </w:rPr>
                  </w:pPr>
                  <w:r>
                    <w:rPr>
                      <w:rFonts w:hint="eastAsia"/>
                      <w:bCs/>
                      <w:sz w:val="18"/>
                      <w:szCs w:val="18"/>
                    </w:rPr>
                    <w:t>采样点位置</w:t>
                  </w:r>
                </w:p>
              </w:tc>
              <w:tc>
                <w:tcPr>
                  <w:tcW w:w="1337" w:type="dxa"/>
                  <w:vAlign w:val="center"/>
                </w:tcPr>
                <w:p>
                  <w:pPr>
                    <w:adjustRightInd w:val="0"/>
                    <w:snapToGrid w:val="0"/>
                    <w:spacing w:line="240" w:lineRule="exact"/>
                    <w:jc w:val="center"/>
                    <w:rPr>
                      <w:bCs/>
                      <w:sz w:val="18"/>
                      <w:szCs w:val="18"/>
                    </w:rPr>
                  </w:pPr>
                  <w:r>
                    <w:rPr>
                      <w:rFonts w:hint="eastAsia"/>
                      <w:bCs/>
                      <w:sz w:val="18"/>
                      <w:szCs w:val="18"/>
                    </w:rPr>
                    <w:t>监测项目</w:t>
                  </w:r>
                </w:p>
              </w:tc>
              <w:tc>
                <w:tcPr>
                  <w:tcW w:w="929" w:type="dxa"/>
                  <w:vAlign w:val="center"/>
                </w:tcPr>
                <w:p>
                  <w:pPr>
                    <w:adjustRightInd w:val="0"/>
                    <w:snapToGrid w:val="0"/>
                    <w:spacing w:line="240" w:lineRule="exact"/>
                    <w:jc w:val="center"/>
                    <w:rPr>
                      <w:bCs/>
                      <w:sz w:val="18"/>
                      <w:szCs w:val="18"/>
                    </w:rPr>
                  </w:pPr>
                  <w:r>
                    <w:rPr>
                      <w:rFonts w:hint="eastAsia"/>
                      <w:bCs/>
                      <w:sz w:val="18"/>
                      <w:szCs w:val="18"/>
                    </w:rPr>
                    <w:t>监测频次</w:t>
                  </w:r>
                </w:p>
              </w:tc>
              <w:tc>
                <w:tcPr>
                  <w:tcW w:w="4551" w:type="dxa"/>
                  <w:gridSpan w:val="2"/>
                  <w:vAlign w:val="center"/>
                </w:tcPr>
                <w:p>
                  <w:pPr>
                    <w:adjustRightInd w:val="0"/>
                    <w:snapToGrid w:val="0"/>
                    <w:spacing w:line="240" w:lineRule="exact"/>
                    <w:jc w:val="center"/>
                    <w:rPr>
                      <w:bCs/>
                      <w:sz w:val="18"/>
                      <w:szCs w:val="18"/>
                    </w:rPr>
                  </w:pPr>
                  <w:r>
                    <w:rPr>
                      <w:rFonts w:hint="eastAsia"/>
                      <w:bCs/>
                      <w:sz w:val="18"/>
                      <w:szCs w:val="18"/>
                    </w:rPr>
                    <w:t>执行标准（单位：mg</w:t>
                  </w:r>
                  <w:r>
                    <w:rPr>
                      <w:bCs/>
                      <w:sz w:val="18"/>
                      <w:szCs w:val="18"/>
                    </w:rPr>
                    <w:t>/L</w:t>
                  </w: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3" w:type="dxa"/>
                  <w:vMerge w:val="restart"/>
                  <w:vAlign w:val="center"/>
                </w:tcPr>
                <w:p>
                  <w:pPr>
                    <w:adjustRightInd w:val="0"/>
                    <w:snapToGrid w:val="0"/>
                    <w:spacing w:line="240" w:lineRule="exact"/>
                    <w:jc w:val="center"/>
                    <w:rPr>
                      <w:bCs/>
                      <w:sz w:val="18"/>
                      <w:szCs w:val="18"/>
                    </w:rPr>
                  </w:pPr>
                  <w:r>
                    <w:rPr>
                      <w:rFonts w:hint="eastAsia"/>
                      <w:bCs/>
                      <w:sz w:val="18"/>
                      <w:szCs w:val="18"/>
                    </w:rPr>
                    <w:t>废水</w:t>
                  </w:r>
                </w:p>
              </w:tc>
              <w:tc>
                <w:tcPr>
                  <w:tcW w:w="626" w:type="dxa"/>
                  <w:vMerge w:val="restart"/>
                  <w:vAlign w:val="center"/>
                </w:tcPr>
                <w:p>
                  <w:pPr>
                    <w:adjustRightInd w:val="0"/>
                    <w:snapToGrid w:val="0"/>
                    <w:spacing w:line="240" w:lineRule="exact"/>
                    <w:jc w:val="center"/>
                    <w:rPr>
                      <w:bCs/>
                      <w:sz w:val="18"/>
                      <w:szCs w:val="18"/>
                    </w:rPr>
                  </w:pPr>
                  <w:r>
                    <w:rPr>
                      <w:bCs/>
                      <w:sz w:val="18"/>
                      <w:szCs w:val="18"/>
                    </w:rPr>
                    <w:t>DW001</w:t>
                  </w:r>
                </w:p>
              </w:tc>
              <w:tc>
                <w:tcPr>
                  <w:tcW w:w="1337" w:type="dxa"/>
                  <w:vAlign w:val="center"/>
                </w:tcPr>
                <w:p>
                  <w:pPr>
                    <w:adjustRightInd w:val="0"/>
                    <w:snapToGrid w:val="0"/>
                    <w:spacing w:line="240" w:lineRule="exact"/>
                    <w:jc w:val="center"/>
                    <w:rPr>
                      <w:bCs/>
                      <w:sz w:val="18"/>
                      <w:szCs w:val="18"/>
                    </w:rPr>
                  </w:pPr>
                  <w:r>
                    <w:rPr>
                      <w:bCs/>
                      <w:sz w:val="18"/>
                      <w:szCs w:val="18"/>
                    </w:rPr>
                    <w:t>pH</w:t>
                  </w:r>
                </w:p>
                <w:p>
                  <w:pPr>
                    <w:adjustRightInd w:val="0"/>
                    <w:snapToGrid w:val="0"/>
                    <w:spacing w:line="240" w:lineRule="exact"/>
                    <w:jc w:val="center"/>
                    <w:rPr>
                      <w:bCs/>
                      <w:sz w:val="18"/>
                      <w:szCs w:val="18"/>
                    </w:rPr>
                  </w:pPr>
                  <w:r>
                    <w:rPr>
                      <w:bCs/>
                      <w:sz w:val="18"/>
                      <w:szCs w:val="18"/>
                    </w:rPr>
                    <w:t>COD</w:t>
                  </w:r>
                </w:p>
                <w:p>
                  <w:pPr>
                    <w:adjustRightInd w:val="0"/>
                    <w:snapToGrid w:val="0"/>
                    <w:spacing w:line="240" w:lineRule="exact"/>
                    <w:jc w:val="center"/>
                    <w:rPr>
                      <w:bCs/>
                      <w:sz w:val="18"/>
                      <w:szCs w:val="18"/>
                    </w:rPr>
                  </w:pPr>
                  <w:r>
                    <w:rPr>
                      <w:bCs/>
                      <w:sz w:val="18"/>
                      <w:szCs w:val="18"/>
                    </w:rPr>
                    <w:t>BOD</w:t>
                  </w:r>
                  <w:r>
                    <w:rPr>
                      <w:bCs/>
                      <w:sz w:val="18"/>
                      <w:szCs w:val="18"/>
                      <w:vertAlign w:val="subscript"/>
                    </w:rPr>
                    <w:t>5</w:t>
                  </w:r>
                </w:p>
                <w:p>
                  <w:pPr>
                    <w:adjustRightInd w:val="0"/>
                    <w:snapToGrid w:val="0"/>
                    <w:spacing w:line="240" w:lineRule="exact"/>
                    <w:jc w:val="center"/>
                    <w:rPr>
                      <w:bCs/>
                      <w:sz w:val="18"/>
                      <w:szCs w:val="18"/>
                    </w:rPr>
                  </w:pPr>
                  <w:r>
                    <w:rPr>
                      <w:bCs/>
                      <w:sz w:val="18"/>
                      <w:szCs w:val="18"/>
                    </w:rPr>
                    <w:t>SS</w:t>
                  </w:r>
                </w:p>
                <w:p>
                  <w:pPr>
                    <w:adjustRightInd w:val="0"/>
                    <w:snapToGrid w:val="0"/>
                    <w:spacing w:line="240" w:lineRule="exact"/>
                    <w:jc w:val="center"/>
                    <w:rPr>
                      <w:bCs/>
                      <w:sz w:val="18"/>
                      <w:szCs w:val="18"/>
                    </w:rPr>
                  </w:pPr>
                  <w:r>
                    <w:rPr>
                      <w:rFonts w:hint="eastAsia"/>
                      <w:bCs/>
                      <w:sz w:val="18"/>
                      <w:szCs w:val="18"/>
                    </w:rPr>
                    <w:t>石油类</w:t>
                  </w:r>
                </w:p>
                <w:p>
                  <w:pPr>
                    <w:adjustRightInd w:val="0"/>
                    <w:snapToGrid w:val="0"/>
                    <w:spacing w:line="240" w:lineRule="exact"/>
                    <w:jc w:val="center"/>
                    <w:rPr>
                      <w:bCs/>
                      <w:sz w:val="18"/>
                      <w:szCs w:val="18"/>
                    </w:rPr>
                  </w:pPr>
                  <w:r>
                    <w:rPr>
                      <w:rFonts w:hint="eastAsia"/>
                      <w:bCs/>
                      <w:sz w:val="18"/>
                      <w:szCs w:val="18"/>
                    </w:rPr>
                    <w:t>动植物油</w:t>
                  </w:r>
                </w:p>
              </w:tc>
              <w:tc>
                <w:tcPr>
                  <w:tcW w:w="929" w:type="dxa"/>
                  <w:vMerge w:val="restart"/>
                  <w:vAlign w:val="center"/>
                </w:tcPr>
                <w:p>
                  <w:pPr>
                    <w:adjustRightInd w:val="0"/>
                    <w:snapToGrid w:val="0"/>
                    <w:spacing w:line="240" w:lineRule="exact"/>
                    <w:jc w:val="center"/>
                    <w:rPr>
                      <w:bCs/>
                      <w:sz w:val="18"/>
                      <w:szCs w:val="18"/>
                    </w:rPr>
                  </w:pPr>
                  <w:r>
                    <w:rPr>
                      <w:rFonts w:hint="eastAsia"/>
                      <w:bCs/>
                      <w:sz w:val="18"/>
                      <w:szCs w:val="18"/>
                    </w:rPr>
                    <w:t>验收时监测一次，以后1次/年</w:t>
                  </w:r>
                </w:p>
              </w:tc>
              <w:tc>
                <w:tcPr>
                  <w:tcW w:w="2843" w:type="dxa"/>
                  <w:vAlign w:val="center"/>
                </w:tcPr>
                <w:p>
                  <w:pPr>
                    <w:adjustRightInd w:val="0"/>
                    <w:snapToGrid w:val="0"/>
                    <w:spacing w:line="240" w:lineRule="exact"/>
                    <w:jc w:val="center"/>
                    <w:rPr>
                      <w:bCs/>
                      <w:sz w:val="18"/>
                      <w:szCs w:val="18"/>
                    </w:rPr>
                  </w:pPr>
                  <w:r>
                    <w:rPr>
                      <w:rFonts w:hint="eastAsia"/>
                      <w:bCs/>
                      <w:sz w:val="18"/>
                      <w:szCs w:val="18"/>
                    </w:rPr>
                    <w:t>《污水综合排放标准》（GB8978-1996）三级排放标准</w:t>
                  </w:r>
                </w:p>
              </w:tc>
              <w:tc>
                <w:tcPr>
                  <w:tcW w:w="1708" w:type="dxa"/>
                  <w:vAlign w:val="center"/>
                </w:tcPr>
                <w:p>
                  <w:pPr>
                    <w:adjustRightInd w:val="0"/>
                    <w:snapToGrid w:val="0"/>
                    <w:spacing w:line="240" w:lineRule="exact"/>
                    <w:jc w:val="center"/>
                    <w:rPr>
                      <w:bCs/>
                      <w:sz w:val="18"/>
                      <w:szCs w:val="18"/>
                    </w:rPr>
                  </w:pPr>
                  <w:r>
                    <w:rPr>
                      <w:bCs/>
                      <w:sz w:val="18"/>
                      <w:szCs w:val="18"/>
                    </w:rPr>
                    <w:t>6~9（无量纲）</w:t>
                  </w:r>
                </w:p>
                <w:p>
                  <w:pPr>
                    <w:adjustRightInd w:val="0"/>
                    <w:snapToGrid w:val="0"/>
                    <w:spacing w:line="240" w:lineRule="exact"/>
                    <w:jc w:val="center"/>
                    <w:rPr>
                      <w:bCs/>
                      <w:sz w:val="18"/>
                      <w:szCs w:val="18"/>
                    </w:rPr>
                  </w:pPr>
                  <w:r>
                    <w:rPr>
                      <w:bCs/>
                      <w:sz w:val="18"/>
                      <w:szCs w:val="18"/>
                    </w:rPr>
                    <w:t>500</w:t>
                  </w:r>
                </w:p>
                <w:p>
                  <w:pPr>
                    <w:adjustRightInd w:val="0"/>
                    <w:snapToGrid w:val="0"/>
                    <w:spacing w:line="240" w:lineRule="exact"/>
                    <w:jc w:val="center"/>
                    <w:rPr>
                      <w:bCs/>
                      <w:sz w:val="18"/>
                      <w:szCs w:val="18"/>
                    </w:rPr>
                  </w:pPr>
                  <w:r>
                    <w:rPr>
                      <w:bCs/>
                      <w:sz w:val="18"/>
                      <w:szCs w:val="18"/>
                    </w:rPr>
                    <w:t>300</w:t>
                  </w:r>
                </w:p>
                <w:p>
                  <w:pPr>
                    <w:adjustRightInd w:val="0"/>
                    <w:snapToGrid w:val="0"/>
                    <w:spacing w:line="240" w:lineRule="exact"/>
                    <w:jc w:val="center"/>
                    <w:rPr>
                      <w:bCs/>
                      <w:sz w:val="18"/>
                      <w:szCs w:val="18"/>
                    </w:rPr>
                  </w:pPr>
                  <w:r>
                    <w:rPr>
                      <w:bCs/>
                      <w:sz w:val="18"/>
                      <w:szCs w:val="18"/>
                    </w:rPr>
                    <w:t>400</w:t>
                  </w:r>
                </w:p>
                <w:p>
                  <w:pPr>
                    <w:adjustRightInd w:val="0"/>
                    <w:snapToGrid w:val="0"/>
                    <w:spacing w:line="240" w:lineRule="exact"/>
                    <w:jc w:val="center"/>
                    <w:rPr>
                      <w:bCs/>
                      <w:sz w:val="18"/>
                      <w:szCs w:val="18"/>
                    </w:rPr>
                  </w:pPr>
                  <w:r>
                    <w:rPr>
                      <w:bCs/>
                      <w:sz w:val="18"/>
                      <w:szCs w:val="18"/>
                    </w:rPr>
                    <w:t>20</w:t>
                  </w:r>
                </w:p>
                <w:p>
                  <w:pPr>
                    <w:adjustRightInd w:val="0"/>
                    <w:snapToGrid w:val="0"/>
                    <w:spacing w:line="240" w:lineRule="exact"/>
                    <w:jc w:val="center"/>
                    <w:rPr>
                      <w:bCs/>
                      <w:sz w:val="18"/>
                      <w:szCs w:val="18"/>
                    </w:rPr>
                  </w:pPr>
                  <w:r>
                    <w:rPr>
                      <w:bCs/>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93" w:type="dxa"/>
                  <w:vMerge w:val="continue"/>
                  <w:vAlign w:val="center"/>
                </w:tcPr>
                <w:p>
                  <w:pPr>
                    <w:adjustRightInd w:val="0"/>
                    <w:snapToGrid w:val="0"/>
                    <w:spacing w:line="240" w:lineRule="exact"/>
                    <w:jc w:val="center"/>
                    <w:rPr>
                      <w:bCs/>
                      <w:sz w:val="18"/>
                      <w:szCs w:val="18"/>
                    </w:rPr>
                  </w:pPr>
                </w:p>
              </w:tc>
              <w:tc>
                <w:tcPr>
                  <w:tcW w:w="626" w:type="dxa"/>
                  <w:vMerge w:val="continue"/>
                  <w:vAlign w:val="center"/>
                </w:tcPr>
                <w:p>
                  <w:pPr>
                    <w:adjustRightInd w:val="0"/>
                    <w:snapToGrid w:val="0"/>
                    <w:spacing w:line="240" w:lineRule="exact"/>
                    <w:jc w:val="center"/>
                    <w:rPr>
                      <w:bCs/>
                      <w:sz w:val="18"/>
                      <w:szCs w:val="18"/>
                    </w:rPr>
                  </w:pPr>
                </w:p>
              </w:tc>
              <w:tc>
                <w:tcPr>
                  <w:tcW w:w="1337" w:type="dxa"/>
                  <w:vAlign w:val="center"/>
                </w:tcPr>
                <w:p>
                  <w:pPr>
                    <w:adjustRightInd w:val="0"/>
                    <w:snapToGrid w:val="0"/>
                    <w:spacing w:line="240" w:lineRule="exact"/>
                    <w:jc w:val="center"/>
                    <w:rPr>
                      <w:bCs/>
                      <w:sz w:val="18"/>
                      <w:szCs w:val="18"/>
                    </w:rPr>
                  </w:pPr>
                  <w:r>
                    <w:rPr>
                      <w:rFonts w:hint="eastAsia"/>
                      <w:bCs/>
                      <w:sz w:val="18"/>
                      <w:szCs w:val="18"/>
                    </w:rPr>
                    <w:t>总氮</w:t>
                  </w:r>
                </w:p>
                <w:p>
                  <w:pPr>
                    <w:adjustRightInd w:val="0"/>
                    <w:snapToGrid w:val="0"/>
                    <w:spacing w:line="240" w:lineRule="exact"/>
                    <w:jc w:val="center"/>
                    <w:rPr>
                      <w:bCs/>
                      <w:sz w:val="18"/>
                      <w:szCs w:val="18"/>
                    </w:rPr>
                  </w:pPr>
                  <w:r>
                    <w:rPr>
                      <w:rFonts w:hint="eastAsia"/>
                      <w:bCs/>
                      <w:sz w:val="18"/>
                      <w:szCs w:val="18"/>
                    </w:rPr>
                    <w:t>总磷</w:t>
                  </w:r>
                </w:p>
                <w:p>
                  <w:pPr>
                    <w:adjustRightInd w:val="0"/>
                    <w:snapToGrid w:val="0"/>
                    <w:spacing w:line="240" w:lineRule="exact"/>
                    <w:jc w:val="center"/>
                    <w:rPr>
                      <w:bCs/>
                      <w:sz w:val="18"/>
                      <w:szCs w:val="18"/>
                    </w:rPr>
                  </w:pPr>
                  <w:r>
                    <w:rPr>
                      <w:bCs/>
                      <w:sz w:val="18"/>
                      <w:szCs w:val="18"/>
                    </w:rPr>
                    <w:t>NH</w:t>
                  </w:r>
                  <w:r>
                    <w:rPr>
                      <w:bCs/>
                      <w:sz w:val="18"/>
                      <w:szCs w:val="18"/>
                      <w:vertAlign w:val="subscript"/>
                    </w:rPr>
                    <w:t>3</w:t>
                  </w:r>
                  <w:r>
                    <w:rPr>
                      <w:bCs/>
                      <w:sz w:val="18"/>
                      <w:szCs w:val="18"/>
                    </w:rPr>
                    <w:t>-N</w:t>
                  </w:r>
                </w:p>
              </w:tc>
              <w:tc>
                <w:tcPr>
                  <w:tcW w:w="929" w:type="dxa"/>
                  <w:vMerge w:val="continue"/>
                  <w:vAlign w:val="center"/>
                </w:tcPr>
                <w:p>
                  <w:pPr>
                    <w:adjustRightInd w:val="0"/>
                    <w:snapToGrid w:val="0"/>
                    <w:spacing w:line="240" w:lineRule="exact"/>
                    <w:jc w:val="center"/>
                    <w:rPr>
                      <w:bCs/>
                      <w:sz w:val="18"/>
                      <w:szCs w:val="18"/>
                    </w:rPr>
                  </w:pPr>
                </w:p>
              </w:tc>
              <w:tc>
                <w:tcPr>
                  <w:tcW w:w="2843" w:type="dxa"/>
                  <w:vAlign w:val="center"/>
                </w:tcPr>
                <w:p>
                  <w:pPr>
                    <w:adjustRightInd w:val="0"/>
                    <w:snapToGrid w:val="0"/>
                    <w:spacing w:line="240" w:lineRule="exact"/>
                    <w:jc w:val="center"/>
                    <w:rPr>
                      <w:bCs/>
                      <w:sz w:val="18"/>
                      <w:szCs w:val="18"/>
                    </w:rPr>
                  </w:pPr>
                  <w:r>
                    <w:rPr>
                      <w:rFonts w:hint="eastAsia"/>
                      <w:kern w:val="0"/>
                      <w:sz w:val="18"/>
                      <w:szCs w:val="18"/>
                    </w:rPr>
                    <w:t>《污水排入城镇下水道水质标准》（GB/T31962-2015）</w:t>
                  </w:r>
                </w:p>
              </w:tc>
              <w:tc>
                <w:tcPr>
                  <w:tcW w:w="1708" w:type="dxa"/>
                  <w:vAlign w:val="center"/>
                </w:tcPr>
                <w:p>
                  <w:pPr>
                    <w:adjustRightInd w:val="0"/>
                    <w:snapToGrid w:val="0"/>
                    <w:spacing w:line="240" w:lineRule="exact"/>
                    <w:jc w:val="center"/>
                    <w:rPr>
                      <w:bCs/>
                      <w:sz w:val="18"/>
                      <w:szCs w:val="18"/>
                    </w:rPr>
                  </w:pPr>
                  <w:r>
                    <w:rPr>
                      <w:bCs/>
                      <w:sz w:val="18"/>
                      <w:szCs w:val="18"/>
                    </w:rPr>
                    <w:t>70</w:t>
                  </w:r>
                </w:p>
                <w:p>
                  <w:pPr>
                    <w:adjustRightInd w:val="0"/>
                    <w:snapToGrid w:val="0"/>
                    <w:spacing w:line="240" w:lineRule="exact"/>
                    <w:jc w:val="center"/>
                    <w:rPr>
                      <w:bCs/>
                      <w:sz w:val="18"/>
                      <w:szCs w:val="18"/>
                    </w:rPr>
                  </w:pPr>
                  <w:r>
                    <w:rPr>
                      <w:bCs/>
                      <w:sz w:val="18"/>
                      <w:szCs w:val="18"/>
                    </w:rPr>
                    <w:t>8</w:t>
                  </w:r>
                </w:p>
                <w:p>
                  <w:pPr>
                    <w:adjustRightInd w:val="0"/>
                    <w:snapToGrid w:val="0"/>
                    <w:spacing w:line="240" w:lineRule="exact"/>
                    <w:jc w:val="center"/>
                    <w:rPr>
                      <w:bCs/>
                      <w:sz w:val="18"/>
                      <w:szCs w:val="18"/>
                    </w:rPr>
                  </w:pPr>
                  <w:r>
                    <w:rPr>
                      <w:bCs/>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19" w:type="dxa"/>
                  <w:gridSpan w:val="2"/>
                  <w:vAlign w:val="center"/>
                </w:tcPr>
                <w:p>
                  <w:pPr>
                    <w:adjustRightInd w:val="0"/>
                    <w:snapToGrid w:val="0"/>
                    <w:spacing w:line="240" w:lineRule="exact"/>
                    <w:jc w:val="center"/>
                    <w:rPr>
                      <w:bCs/>
                      <w:sz w:val="18"/>
                      <w:szCs w:val="18"/>
                    </w:rPr>
                  </w:pPr>
                  <w:r>
                    <w:rPr>
                      <w:bCs/>
                      <w:sz w:val="18"/>
                      <w:szCs w:val="18"/>
                    </w:rPr>
                    <w:t>雨水排放口</w:t>
                  </w:r>
                </w:p>
              </w:tc>
              <w:tc>
                <w:tcPr>
                  <w:tcW w:w="1337" w:type="dxa"/>
                  <w:vAlign w:val="center"/>
                </w:tcPr>
                <w:p>
                  <w:pPr>
                    <w:adjustRightInd w:val="0"/>
                    <w:snapToGrid w:val="0"/>
                    <w:spacing w:line="240" w:lineRule="exact"/>
                    <w:jc w:val="center"/>
                    <w:rPr>
                      <w:bCs/>
                      <w:sz w:val="18"/>
                      <w:szCs w:val="18"/>
                    </w:rPr>
                  </w:pPr>
                  <w:r>
                    <w:rPr>
                      <w:bCs/>
                      <w:sz w:val="18"/>
                      <w:szCs w:val="18"/>
                    </w:rPr>
                    <w:t>SS</w:t>
                  </w:r>
                  <w:r>
                    <w:rPr>
                      <w:rFonts w:hint="eastAsia"/>
                      <w:bCs/>
                      <w:sz w:val="18"/>
                      <w:szCs w:val="18"/>
                    </w:rPr>
                    <w:t>、化学需氧量、石油类</w:t>
                  </w:r>
                </w:p>
              </w:tc>
              <w:tc>
                <w:tcPr>
                  <w:tcW w:w="929" w:type="dxa"/>
                  <w:vAlign w:val="center"/>
                </w:tcPr>
                <w:p>
                  <w:pPr>
                    <w:adjustRightInd w:val="0"/>
                    <w:snapToGrid w:val="0"/>
                    <w:spacing w:line="240" w:lineRule="exact"/>
                    <w:jc w:val="center"/>
                    <w:rPr>
                      <w:bCs/>
                      <w:sz w:val="18"/>
                      <w:szCs w:val="18"/>
                    </w:rPr>
                  </w:pPr>
                  <w:r>
                    <w:rPr>
                      <w:rFonts w:hint="eastAsia"/>
                      <w:bCs/>
                      <w:sz w:val="18"/>
                      <w:szCs w:val="18"/>
                    </w:rPr>
                    <w:t>1次/年*</w:t>
                  </w:r>
                </w:p>
              </w:tc>
              <w:tc>
                <w:tcPr>
                  <w:tcW w:w="2843" w:type="dxa"/>
                  <w:vAlign w:val="center"/>
                </w:tcPr>
                <w:p>
                  <w:pPr>
                    <w:adjustRightInd w:val="0"/>
                    <w:snapToGrid w:val="0"/>
                    <w:spacing w:line="240" w:lineRule="exact"/>
                    <w:jc w:val="center"/>
                    <w:rPr>
                      <w:bCs/>
                      <w:sz w:val="18"/>
                      <w:szCs w:val="18"/>
                    </w:rPr>
                  </w:pPr>
                  <w:r>
                    <w:rPr>
                      <w:rFonts w:hint="eastAsia"/>
                      <w:bCs/>
                      <w:sz w:val="18"/>
                      <w:szCs w:val="18"/>
                    </w:rPr>
                    <w:t>/</w:t>
                  </w:r>
                </w:p>
              </w:tc>
              <w:tc>
                <w:tcPr>
                  <w:tcW w:w="1708" w:type="dxa"/>
                  <w:vAlign w:val="center"/>
                </w:tcPr>
                <w:p>
                  <w:pPr>
                    <w:adjustRightInd w:val="0"/>
                    <w:snapToGrid w:val="0"/>
                    <w:spacing w:line="240" w:lineRule="exact"/>
                    <w:jc w:val="center"/>
                    <w:rPr>
                      <w:bCs/>
                      <w:sz w:val="18"/>
                      <w:szCs w:val="18"/>
                    </w:rPr>
                  </w:pPr>
                  <w:r>
                    <w:rPr>
                      <w:rFonts w:hint="eastAsia"/>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936" w:type="dxa"/>
                  <w:gridSpan w:val="6"/>
                  <w:vAlign w:val="center"/>
                </w:tcPr>
                <w:p>
                  <w:pPr>
                    <w:adjustRightInd w:val="0"/>
                    <w:snapToGrid w:val="0"/>
                    <w:spacing w:line="240" w:lineRule="exact"/>
                    <w:jc w:val="center"/>
                    <w:rPr>
                      <w:bCs/>
                      <w:sz w:val="18"/>
                      <w:szCs w:val="18"/>
                    </w:rPr>
                  </w:pPr>
                  <w:r>
                    <w:rPr>
                      <w:bCs/>
                      <w:sz w:val="18"/>
                      <w:szCs w:val="18"/>
                    </w:rPr>
                    <w:t>注</w:t>
                  </w:r>
                  <w:r>
                    <w:rPr>
                      <w:rFonts w:hint="eastAsia"/>
                      <w:bCs/>
                      <w:sz w:val="18"/>
                      <w:szCs w:val="18"/>
                    </w:rPr>
                    <w:t>：*雨水排放口有流动水排放时开展监测，排放期间按日监测。若监测一年无异常情况，每季度第一次有流动水排放时开展按日监测。</w:t>
                  </w:r>
                </w:p>
              </w:tc>
            </w:tr>
          </w:tbl>
          <w:p>
            <w:pPr>
              <w:adjustRightInd w:val="0"/>
              <w:snapToGrid w:val="0"/>
              <w:spacing w:line="360" w:lineRule="auto"/>
              <w:rPr>
                <w:b/>
                <w:bCs/>
                <w:sz w:val="24"/>
              </w:rPr>
            </w:pPr>
          </w:p>
          <w:p>
            <w:pPr>
              <w:adjustRightInd w:val="0"/>
              <w:snapToGrid w:val="0"/>
              <w:spacing w:line="360" w:lineRule="auto"/>
              <w:rPr>
                <w:b/>
                <w:bCs/>
                <w:sz w:val="24"/>
              </w:rPr>
            </w:pPr>
            <w:r>
              <w:rPr>
                <w:rFonts w:hint="eastAsia"/>
                <w:b/>
                <w:bCs/>
                <w:sz w:val="24"/>
              </w:rPr>
              <w:t>4.2.2.2废水处理措施</w:t>
            </w:r>
          </w:p>
          <w:p>
            <w:pPr>
              <w:spacing w:line="480" w:lineRule="exact"/>
              <w:ind w:firstLine="439" w:firstLineChars="183"/>
              <w:rPr>
                <w:sz w:val="24"/>
              </w:rPr>
            </w:pPr>
            <w:r>
              <w:rPr>
                <w:rFonts w:hint="eastAsia"/>
                <w:sz w:val="24"/>
              </w:rPr>
              <w:t>拟建项目建成后，全厂废水处理流程见下图4.2.2-1。</w:t>
            </w:r>
          </w:p>
          <w:p>
            <w:pPr>
              <w:pStyle w:val="12"/>
              <w:adjustRightInd w:val="0"/>
              <w:snapToGrid w:val="0"/>
              <w:jc w:val="center"/>
              <w:rPr>
                <w:rFonts w:ascii="Times New Roman" w:hAnsi="Times New Roman"/>
                <w:bCs/>
                <w:sz w:val="24"/>
                <w:szCs w:val="24"/>
              </w:rPr>
            </w:pPr>
            <w:bookmarkStart w:id="3" w:name="OLE_LINK5"/>
            <w:bookmarkStart w:id="4" w:name="OLE_LINK12"/>
            <w:r>
              <w:rPr>
                <w:rFonts w:ascii="Times New Roman" w:hAnsi="Times New Roman"/>
              </w:rPr>
              <w:object>
                <v:shape id="_x0000_i1029" o:spt="75" type="#_x0000_t75" style="height:78.45pt;width:327.75pt;" o:ole="t" filled="f" o:preferrelative="t" stroked="f" coordsize="21600,21600">
                  <v:path/>
                  <v:fill on="f" focussize="0,0"/>
                  <v:stroke on="f" joinstyle="miter"/>
                  <v:imagedata r:id="rId20" o:title=""/>
                  <o:lock v:ext="edit" aspectratio="t"/>
                  <w10:wrap type="none"/>
                  <w10:anchorlock/>
                </v:shape>
                <o:OLEObject Type="Embed" ProgID="Visio.Drawing.11" ShapeID="_x0000_i1029" DrawAspect="Content" ObjectID="_1468075729" r:id="rId19">
                  <o:LockedField>false</o:LockedField>
                </o:OLEObject>
              </w:object>
            </w:r>
            <w:bookmarkEnd w:id="3"/>
            <w:bookmarkEnd w:id="4"/>
          </w:p>
          <w:p>
            <w:pPr>
              <w:pStyle w:val="12"/>
              <w:adjustRightInd w:val="0"/>
              <w:snapToGrid w:val="0"/>
              <w:spacing w:line="360" w:lineRule="auto"/>
              <w:jc w:val="center"/>
              <w:rPr>
                <w:rFonts w:ascii="Times New Roman" w:hAnsi="Times New Roman"/>
                <w:sz w:val="18"/>
                <w:szCs w:val="18"/>
              </w:rPr>
            </w:pPr>
            <w:r>
              <w:rPr>
                <w:rFonts w:ascii="Times New Roman" w:hAnsi="Times New Roman"/>
                <w:sz w:val="18"/>
                <w:szCs w:val="18"/>
              </w:rPr>
              <w:t>图</w:t>
            </w:r>
            <w:r>
              <w:rPr>
                <w:rFonts w:hint="eastAsia" w:ascii="Times New Roman" w:hAnsi="Times New Roman"/>
                <w:sz w:val="18"/>
                <w:szCs w:val="18"/>
              </w:rPr>
              <w:t>4.2.2</w:t>
            </w:r>
            <w:r>
              <w:rPr>
                <w:rFonts w:ascii="Times New Roman" w:hAnsi="Times New Roman"/>
                <w:sz w:val="18"/>
                <w:szCs w:val="18"/>
              </w:rPr>
              <w:t>-1 废水处理工艺流程图</w:t>
            </w:r>
          </w:p>
          <w:p>
            <w:pPr>
              <w:spacing w:line="480" w:lineRule="exact"/>
              <w:ind w:firstLine="480" w:firstLineChars="200"/>
              <w:rPr>
                <w:sz w:val="24"/>
              </w:rPr>
            </w:pPr>
            <w:r>
              <w:rPr>
                <w:sz w:val="24"/>
              </w:rPr>
              <w:t>（1）新建</w:t>
            </w:r>
            <w:r>
              <w:rPr>
                <w:rFonts w:hint="eastAsia"/>
                <w:sz w:val="24"/>
              </w:rPr>
              <w:t>污水</w:t>
            </w:r>
            <w:r>
              <w:rPr>
                <w:sz w:val="24"/>
              </w:rPr>
              <w:t>处理站</w:t>
            </w:r>
          </w:p>
          <w:p>
            <w:pPr>
              <w:spacing w:line="480" w:lineRule="exact"/>
              <w:ind w:firstLine="480" w:firstLineChars="200"/>
              <w:rPr>
                <w:sz w:val="24"/>
              </w:rPr>
            </w:pPr>
            <w:r>
              <w:rPr>
                <w:rFonts w:hint="eastAsia"/>
                <w:sz w:val="24"/>
              </w:rPr>
              <w:t>拟建项目采用</w:t>
            </w:r>
            <w:r>
              <w:rPr>
                <w:sz w:val="24"/>
              </w:rPr>
              <w:t>“</w:t>
            </w:r>
            <w:r>
              <w:rPr>
                <w:rFonts w:hint="eastAsia"/>
                <w:sz w:val="24"/>
              </w:rPr>
              <w:t>均质+隔油+絮凝沉淀+过滤</w:t>
            </w:r>
            <w:r>
              <w:rPr>
                <w:sz w:val="24"/>
              </w:rPr>
              <w:t>”工艺</w:t>
            </w:r>
            <w:r>
              <w:rPr>
                <w:rFonts w:hint="eastAsia"/>
                <w:sz w:val="24"/>
              </w:rPr>
              <w:t>：</w:t>
            </w:r>
          </w:p>
          <w:p>
            <w:pPr>
              <w:spacing w:line="480" w:lineRule="exact"/>
              <w:ind w:firstLine="480" w:firstLineChars="200"/>
              <w:rPr>
                <w:sz w:val="24"/>
              </w:rPr>
            </w:pPr>
            <w:r>
              <w:rPr>
                <w:rFonts w:hint="eastAsia"/>
                <w:sz w:val="24"/>
              </w:rPr>
              <w:t>①均质</w:t>
            </w:r>
          </w:p>
          <w:p>
            <w:pPr>
              <w:spacing w:line="480" w:lineRule="exact"/>
              <w:ind w:firstLine="480" w:firstLineChars="200"/>
              <w:rPr>
                <w:sz w:val="24"/>
              </w:rPr>
            </w:pPr>
            <w:r>
              <w:rPr>
                <w:rFonts w:hint="eastAsia"/>
                <w:sz w:val="24"/>
              </w:rPr>
              <w:t>污水处理中均质池的作用是调节进、出水流量的构筑物。主要起对水量和水质的调节作用，以及对污水pH值、水温，有预曝气的调节作用。</w:t>
            </w:r>
          </w:p>
          <w:p>
            <w:pPr>
              <w:spacing w:line="480" w:lineRule="exact"/>
              <w:ind w:firstLine="480" w:firstLineChars="200"/>
              <w:rPr>
                <w:sz w:val="24"/>
              </w:rPr>
            </w:pPr>
            <w:r>
              <w:rPr>
                <w:rFonts w:hint="eastAsia"/>
                <w:sz w:val="24"/>
              </w:rPr>
              <w:t>②隔油</w:t>
            </w:r>
          </w:p>
          <w:p>
            <w:pPr>
              <w:spacing w:line="480" w:lineRule="exact"/>
              <w:ind w:firstLine="480" w:firstLineChars="200"/>
              <w:rPr>
                <w:sz w:val="24"/>
              </w:rPr>
            </w:pPr>
            <w:r>
              <w:rPr>
                <w:rFonts w:hint="eastAsia"/>
                <w:sz w:val="24"/>
              </w:rPr>
              <w:t>隔油池是污水处理中专门去除油类的一种设施。隔油池原理与沉淀池基本相同，隔油池就是利用水与油比重不同的特点进行分离，轻油在隔油池中上浮聚集在隔油池表面，通过集油管收集，重油则随悬浮物下沉。</w:t>
            </w:r>
          </w:p>
          <w:p>
            <w:pPr>
              <w:spacing w:line="480" w:lineRule="exact"/>
              <w:ind w:firstLine="480" w:firstLineChars="200"/>
              <w:rPr>
                <w:sz w:val="24"/>
              </w:rPr>
            </w:pPr>
            <w:r>
              <w:rPr>
                <w:rFonts w:hint="eastAsia"/>
                <w:sz w:val="24"/>
              </w:rPr>
              <w:t>③絮凝沉淀</w:t>
            </w:r>
          </w:p>
          <w:p>
            <w:pPr>
              <w:spacing w:line="480" w:lineRule="exact"/>
              <w:ind w:firstLine="480" w:firstLineChars="200"/>
              <w:rPr>
                <w:sz w:val="24"/>
              </w:rPr>
            </w:pPr>
            <w:r>
              <w:rPr>
                <w:rFonts w:hint="eastAsia"/>
                <w:sz w:val="24"/>
              </w:rPr>
              <w:t>即选用无机絮凝剂和有机阴离子配制成水溶液加入废水中，便会产生压缩双电层，使废水中的悬浮微粒失去稳定性，胶粒物相互凝聚使微粒增大，形成絮凝体、矾花。絮凝体长大到一定体积后即在重力作用下脱离水相沉淀，从而去除废水中的大量悬浮物，从而达到水处理的效果。为提高分离效果，可适时、适量加入助凝剂。</w:t>
            </w:r>
          </w:p>
          <w:p>
            <w:pPr>
              <w:spacing w:line="480" w:lineRule="exact"/>
              <w:ind w:firstLine="480" w:firstLineChars="200"/>
              <w:rPr>
                <w:sz w:val="24"/>
              </w:rPr>
            </w:pPr>
            <w:r>
              <w:rPr>
                <w:rFonts w:hint="eastAsia"/>
                <w:sz w:val="24"/>
              </w:rPr>
              <w:t>④过滤</w:t>
            </w:r>
          </w:p>
          <w:p>
            <w:pPr>
              <w:spacing w:line="480" w:lineRule="exact"/>
              <w:ind w:firstLine="480" w:firstLineChars="200"/>
              <w:rPr>
                <w:sz w:val="24"/>
              </w:rPr>
            </w:pPr>
            <w:r>
              <w:rPr>
                <w:rFonts w:hint="eastAsia"/>
                <w:sz w:val="24"/>
              </w:rPr>
              <w:t>过滤是使污水通过颗粒滤料或其它多孔介质(如布、网、纤维束等)，利用机械筛滤作用、沉淀作用和接触絮凝作用截留水中的悬浮杂质，从而改善水质的方法。过滤除了对悬浮物有去除作用外，对COD、BOD</w:t>
            </w:r>
            <w:r>
              <w:rPr>
                <w:rFonts w:hint="eastAsia"/>
                <w:sz w:val="24"/>
                <w:vertAlign w:val="subscript"/>
              </w:rPr>
              <w:t>5</w:t>
            </w:r>
            <w:r>
              <w:rPr>
                <w:rFonts w:hint="eastAsia"/>
                <w:sz w:val="24"/>
              </w:rPr>
              <w:t>、磷和其它物质也都有一定的去除作用。</w:t>
            </w:r>
          </w:p>
          <w:p>
            <w:pPr>
              <w:pStyle w:val="121"/>
              <w:spacing w:line="480" w:lineRule="exact"/>
              <w:ind w:firstLine="480"/>
              <w:rPr>
                <w:sz w:val="24"/>
              </w:rPr>
            </w:pPr>
            <w:r>
              <w:rPr>
                <w:rFonts w:hint="eastAsia"/>
                <w:sz w:val="24"/>
              </w:rPr>
              <w:t>根据</w:t>
            </w:r>
            <w:r>
              <w:rPr>
                <w:rFonts w:hint="eastAsia"/>
                <w:bCs/>
                <w:sz w:val="24"/>
                <w:szCs w:val="24"/>
              </w:rPr>
              <w:t>《排污许可证申请与核发技术规范 废弃资源加工工业》（HJ 1034-2019）</w:t>
            </w:r>
            <w:r>
              <w:rPr>
                <w:sz w:val="24"/>
              </w:rPr>
              <w:t>，</w:t>
            </w:r>
            <w:r>
              <w:rPr>
                <w:rFonts w:hint="eastAsia"/>
                <w:sz w:val="24"/>
              </w:rPr>
              <w:t>废机动车加工</w:t>
            </w:r>
            <w:r>
              <w:rPr>
                <w:sz w:val="24"/>
              </w:rPr>
              <w:t>废水处理可行性技术为“</w:t>
            </w:r>
            <w:r>
              <w:rPr>
                <w:rFonts w:hint="eastAsia"/>
                <w:sz w:val="24"/>
              </w:rPr>
              <w:t>均质+隔油+絮凝沉淀+过滤</w:t>
            </w:r>
            <w:r>
              <w:rPr>
                <w:sz w:val="24"/>
              </w:rPr>
              <w:t>”，</w:t>
            </w:r>
            <w:r>
              <w:rPr>
                <w:rFonts w:hint="eastAsia"/>
                <w:sz w:val="24"/>
              </w:rPr>
              <w:t>拟建项目</w:t>
            </w:r>
            <w:r>
              <w:rPr>
                <w:sz w:val="24"/>
              </w:rPr>
              <w:t>满足要求。</w:t>
            </w:r>
          </w:p>
          <w:p>
            <w:pPr>
              <w:spacing w:line="480" w:lineRule="exact"/>
              <w:ind w:firstLine="480" w:firstLineChars="200"/>
              <w:rPr>
                <w:sz w:val="24"/>
              </w:rPr>
            </w:pPr>
            <w:r>
              <w:rPr>
                <w:sz w:val="24"/>
              </w:rPr>
              <w:t>（2）</w:t>
            </w:r>
            <w:r>
              <w:rPr>
                <w:rFonts w:hint="eastAsia"/>
                <w:sz w:val="24"/>
              </w:rPr>
              <w:t>双桥园区污水处理厂</w:t>
            </w:r>
            <w:r>
              <w:rPr>
                <w:sz w:val="24"/>
              </w:rPr>
              <w:t>依托可行性分析</w:t>
            </w:r>
          </w:p>
          <w:p>
            <w:pPr>
              <w:pStyle w:val="121"/>
              <w:spacing w:line="480" w:lineRule="exact"/>
              <w:ind w:firstLine="480"/>
              <w:rPr>
                <w:sz w:val="24"/>
                <w:szCs w:val="24"/>
              </w:rPr>
            </w:pPr>
            <w:r>
              <w:rPr>
                <w:rFonts w:hint="eastAsia"/>
                <w:sz w:val="24"/>
                <w:szCs w:val="24"/>
              </w:rPr>
              <w:t>双桥区工业园区污水处理厂废水处理规模为1万m</w:t>
            </w:r>
            <w:r>
              <w:rPr>
                <w:rFonts w:hint="eastAsia"/>
                <w:sz w:val="24"/>
                <w:szCs w:val="24"/>
                <w:vertAlign w:val="superscript"/>
              </w:rPr>
              <w:t>3</w:t>
            </w:r>
            <w:r>
              <w:rPr>
                <w:rFonts w:hint="eastAsia"/>
                <w:sz w:val="24"/>
                <w:szCs w:val="24"/>
              </w:rPr>
              <w:t>/d，采用“改良型卡式氧化沟”处理工艺，设计进水水质执行《污水综合排放标准》（GB8978-1996）三级标准。根据实际情况，园区现有和拟入驻企业废水量、园区生活污水量共约2999m</w:t>
            </w:r>
            <w:r>
              <w:rPr>
                <w:rFonts w:hint="eastAsia"/>
                <w:sz w:val="24"/>
                <w:szCs w:val="24"/>
                <w:vertAlign w:val="superscript"/>
              </w:rPr>
              <w:t>3</w:t>
            </w:r>
            <w:r>
              <w:rPr>
                <w:rFonts w:hint="eastAsia"/>
                <w:sz w:val="24"/>
                <w:szCs w:val="24"/>
              </w:rPr>
              <w:t>/d，目前排水能够实现稳定达标。</w:t>
            </w:r>
          </w:p>
          <w:p>
            <w:pPr>
              <w:pStyle w:val="121"/>
              <w:spacing w:line="480" w:lineRule="exact"/>
              <w:ind w:firstLine="480"/>
              <w:rPr>
                <w:sz w:val="24"/>
                <w:szCs w:val="24"/>
              </w:rPr>
            </w:pPr>
            <w:r>
              <w:rPr>
                <w:rFonts w:hint="eastAsia"/>
                <w:sz w:val="24"/>
                <w:szCs w:val="24"/>
              </w:rPr>
              <w:t>本项目所在地属于双桥区工业园区污水处理厂服务范围内，且排水管网已经接通，可供本工程依托。本项目废水量共计</w:t>
            </w:r>
            <w:r>
              <w:rPr>
                <w:sz w:val="24"/>
                <w:szCs w:val="24"/>
              </w:rPr>
              <w:t>13.84</w:t>
            </w:r>
            <w:r>
              <w:rPr>
                <w:rFonts w:hint="eastAsia"/>
                <w:sz w:val="24"/>
                <w:szCs w:val="24"/>
              </w:rPr>
              <w:t>m</w:t>
            </w:r>
            <w:r>
              <w:rPr>
                <w:rFonts w:hint="eastAsia"/>
                <w:sz w:val="24"/>
                <w:szCs w:val="24"/>
                <w:vertAlign w:val="superscript"/>
              </w:rPr>
              <w:t>3</w:t>
            </w:r>
            <w:r>
              <w:rPr>
                <w:rFonts w:hint="eastAsia"/>
                <w:sz w:val="24"/>
                <w:szCs w:val="24"/>
              </w:rPr>
              <w:t>/d，厂区内处理达《污水综合排放标准》（GB8978-1996）三级标准（氨氮、总氮、总磷参照执行《污水排入城镇下水道水质标准》（GB/T31962-2015））后，依托园区污水处理厂可行。</w:t>
            </w:r>
          </w:p>
          <w:p>
            <w:pPr>
              <w:pStyle w:val="12"/>
              <w:adjustRightInd w:val="0"/>
              <w:snapToGrid w:val="0"/>
              <w:jc w:val="center"/>
              <w:rPr>
                <w:rFonts w:ascii="Times New Roman" w:hAnsi="Times New Roman"/>
              </w:rPr>
            </w:pPr>
          </w:p>
          <w:p>
            <w:pPr>
              <w:adjustRightInd w:val="0"/>
              <w:snapToGrid w:val="0"/>
              <w:spacing w:line="360" w:lineRule="auto"/>
              <w:rPr>
                <w:b/>
                <w:bCs/>
                <w:sz w:val="24"/>
              </w:rPr>
            </w:pPr>
            <w:r>
              <w:rPr>
                <w:rFonts w:hint="eastAsia"/>
                <w:b/>
                <w:bCs/>
                <w:sz w:val="24"/>
              </w:rPr>
              <w:t>4.2.3噪声</w:t>
            </w:r>
          </w:p>
          <w:p>
            <w:pPr>
              <w:adjustRightInd w:val="0"/>
              <w:snapToGrid w:val="0"/>
              <w:spacing w:line="360" w:lineRule="auto"/>
              <w:rPr>
                <w:b/>
                <w:bCs/>
                <w:sz w:val="24"/>
              </w:rPr>
            </w:pPr>
            <w:r>
              <w:rPr>
                <w:rFonts w:hint="eastAsia"/>
                <w:b/>
                <w:bCs/>
                <w:sz w:val="24"/>
              </w:rPr>
              <w:t>4.2.3.1 噪声源强分析</w:t>
            </w:r>
          </w:p>
          <w:p>
            <w:pPr>
              <w:adjustRightInd w:val="0"/>
              <w:snapToGrid w:val="0"/>
              <w:spacing w:line="360" w:lineRule="auto"/>
              <w:ind w:firstLine="480" w:firstLineChars="200"/>
              <w:rPr>
                <w:bCs/>
                <w:sz w:val="24"/>
              </w:rPr>
            </w:pPr>
            <w:r>
              <w:rPr>
                <w:rFonts w:hint="eastAsia"/>
                <w:bCs/>
                <w:sz w:val="24"/>
              </w:rPr>
              <w:t>拟建项目噪声源主要噪声源主要为防静电真空抽油机等运行产生的噪声，噪声源强</w:t>
            </w:r>
            <w:r>
              <w:rPr>
                <w:bCs/>
                <w:sz w:val="24"/>
              </w:rPr>
              <w:t>8</w:t>
            </w:r>
            <w:r>
              <w:rPr>
                <w:rFonts w:hint="eastAsia"/>
                <w:bCs/>
                <w:sz w:val="24"/>
              </w:rPr>
              <w:t>0~</w:t>
            </w:r>
            <w:r>
              <w:rPr>
                <w:bCs/>
                <w:sz w:val="24"/>
              </w:rPr>
              <w:t>100</w:t>
            </w:r>
            <w:r>
              <w:rPr>
                <w:rFonts w:hint="eastAsia"/>
                <w:bCs/>
                <w:sz w:val="24"/>
              </w:rPr>
              <w:t>dB（A）。对高噪声设备采取吸声、消声、隔声、减振及绿化等综合措施，使噪声值降低10~20dB（A），控制在80dB及以下。</w:t>
            </w:r>
          </w:p>
          <w:p>
            <w:pPr>
              <w:adjustRightInd w:val="0"/>
              <w:snapToGrid w:val="0"/>
              <w:spacing w:line="360" w:lineRule="auto"/>
              <w:ind w:firstLine="480" w:firstLineChars="200"/>
              <w:rPr>
                <w:bCs/>
                <w:sz w:val="24"/>
              </w:rPr>
            </w:pPr>
            <w:r>
              <w:rPr>
                <w:rFonts w:hint="eastAsia"/>
                <w:bCs/>
                <w:sz w:val="24"/>
              </w:rPr>
              <w:t>拟建项目噪声治理前后声值汇总情况见表4.2.3-1。</w:t>
            </w:r>
          </w:p>
          <w:p>
            <w:pPr>
              <w:adjustRightInd w:val="0"/>
              <w:snapToGrid w:val="0"/>
              <w:spacing w:line="360" w:lineRule="auto"/>
              <w:ind w:firstLine="31" w:firstLineChars="13"/>
              <w:jc w:val="center"/>
              <w:rPr>
                <w:bCs/>
                <w:sz w:val="24"/>
              </w:rPr>
            </w:pPr>
          </w:p>
        </w:tc>
      </w:tr>
    </w:tbl>
    <w:p>
      <w:pPr>
        <w:pStyle w:val="18"/>
        <w:jc w:val="center"/>
        <w:outlineLvl w:val="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autoSpaceDE w:val="0"/>
        <w:autoSpaceDN w:val="0"/>
        <w:adjustRightInd w:val="0"/>
        <w:snapToGrid w:val="0"/>
        <w:spacing w:line="360" w:lineRule="auto"/>
        <w:ind w:firstLine="360" w:firstLineChars="200"/>
        <w:jc w:val="center"/>
        <w:rPr>
          <w:kern w:val="21"/>
          <w:sz w:val="18"/>
          <w:szCs w:val="18"/>
        </w:rPr>
      </w:pPr>
      <w:r>
        <w:rPr>
          <w:rFonts w:hint="eastAsia"/>
          <w:kern w:val="21"/>
          <w:sz w:val="18"/>
          <w:szCs w:val="18"/>
        </w:rPr>
        <w:t>表4.2-15  本工程主要噪声声源调查清单（室内声源）</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18"/>
        <w:gridCol w:w="1247"/>
        <w:gridCol w:w="1754"/>
        <w:gridCol w:w="1066"/>
        <w:gridCol w:w="688"/>
        <w:gridCol w:w="704"/>
        <w:gridCol w:w="710"/>
        <w:gridCol w:w="707"/>
        <w:gridCol w:w="1277"/>
        <w:gridCol w:w="1277"/>
        <w:gridCol w:w="993"/>
        <w:gridCol w:w="1136"/>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restart"/>
            <w:vAlign w:val="center"/>
          </w:tcPr>
          <w:p>
            <w:pPr>
              <w:adjustRightInd w:val="0"/>
              <w:snapToGrid w:val="0"/>
              <w:jc w:val="center"/>
              <w:textAlignment w:val="baseline"/>
              <w:rPr>
                <w:sz w:val="18"/>
                <w:szCs w:val="18"/>
              </w:rPr>
            </w:pPr>
            <w:r>
              <w:rPr>
                <w:sz w:val="18"/>
                <w:szCs w:val="18"/>
              </w:rPr>
              <w:t>序号</w:t>
            </w:r>
          </w:p>
        </w:tc>
        <w:tc>
          <w:tcPr>
            <w:tcW w:w="462" w:type="pct"/>
            <w:vMerge w:val="restart"/>
            <w:vAlign w:val="center"/>
          </w:tcPr>
          <w:p>
            <w:pPr>
              <w:adjustRightInd w:val="0"/>
              <w:snapToGrid w:val="0"/>
              <w:jc w:val="center"/>
              <w:textAlignment w:val="baseline"/>
              <w:rPr>
                <w:sz w:val="18"/>
                <w:szCs w:val="18"/>
              </w:rPr>
            </w:pPr>
            <w:r>
              <w:rPr>
                <w:rFonts w:hint="eastAsia"/>
                <w:sz w:val="18"/>
                <w:szCs w:val="18"/>
              </w:rPr>
              <w:t>建筑物</w:t>
            </w:r>
            <w:r>
              <w:rPr>
                <w:sz w:val="18"/>
                <w:szCs w:val="18"/>
              </w:rPr>
              <w:t>名称</w:t>
            </w:r>
          </w:p>
        </w:tc>
        <w:tc>
          <w:tcPr>
            <w:tcW w:w="650" w:type="pct"/>
            <w:vMerge w:val="restart"/>
            <w:vAlign w:val="center"/>
          </w:tcPr>
          <w:p>
            <w:pPr>
              <w:adjustRightInd w:val="0"/>
              <w:snapToGrid w:val="0"/>
              <w:jc w:val="center"/>
              <w:textAlignment w:val="baseline"/>
              <w:rPr>
                <w:sz w:val="18"/>
                <w:szCs w:val="18"/>
              </w:rPr>
            </w:pPr>
            <w:r>
              <w:rPr>
                <w:rFonts w:hint="eastAsia"/>
                <w:sz w:val="18"/>
                <w:szCs w:val="18"/>
              </w:rPr>
              <w:t>设备</w:t>
            </w:r>
          </w:p>
        </w:tc>
        <w:tc>
          <w:tcPr>
            <w:tcW w:w="395" w:type="pct"/>
            <w:vMerge w:val="restart"/>
            <w:vAlign w:val="center"/>
          </w:tcPr>
          <w:p>
            <w:pPr>
              <w:adjustRightInd w:val="0"/>
              <w:snapToGrid w:val="0"/>
              <w:jc w:val="center"/>
              <w:textAlignment w:val="baseline"/>
              <w:rPr>
                <w:sz w:val="18"/>
                <w:szCs w:val="18"/>
              </w:rPr>
            </w:pPr>
            <w:r>
              <w:rPr>
                <w:rFonts w:hint="eastAsia"/>
                <w:sz w:val="18"/>
                <w:szCs w:val="18"/>
              </w:rPr>
              <w:t>声压级/距声源距离（dB(A)/m）</w:t>
            </w:r>
          </w:p>
        </w:tc>
        <w:tc>
          <w:tcPr>
            <w:tcW w:w="255" w:type="pct"/>
            <w:vMerge w:val="restart"/>
            <w:vAlign w:val="center"/>
          </w:tcPr>
          <w:p>
            <w:pPr>
              <w:adjustRightInd w:val="0"/>
              <w:snapToGrid w:val="0"/>
              <w:jc w:val="center"/>
              <w:textAlignment w:val="baseline"/>
              <w:rPr>
                <w:sz w:val="18"/>
                <w:szCs w:val="18"/>
              </w:rPr>
            </w:pPr>
            <w:r>
              <w:rPr>
                <w:rFonts w:hint="eastAsia"/>
                <w:sz w:val="18"/>
                <w:szCs w:val="18"/>
              </w:rPr>
              <w:t>声源控制措施</w:t>
            </w:r>
          </w:p>
        </w:tc>
        <w:tc>
          <w:tcPr>
            <w:tcW w:w="786" w:type="pct"/>
            <w:gridSpan w:val="3"/>
            <w:vAlign w:val="center"/>
          </w:tcPr>
          <w:p>
            <w:pPr>
              <w:adjustRightInd w:val="0"/>
              <w:snapToGrid w:val="0"/>
              <w:jc w:val="center"/>
              <w:textAlignment w:val="baseline"/>
              <w:rPr>
                <w:sz w:val="18"/>
                <w:szCs w:val="18"/>
              </w:rPr>
            </w:pPr>
            <w:r>
              <w:rPr>
                <w:sz w:val="18"/>
                <w:szCs w:val="18"/>
              </w:rPr>
              <w:t>空间相对位置</w:t>
            </w:r>
            <w:r>
              <w:rPr>
                <w:rFonts w:hint="eastAsia"/>
                <w:sz w:val="18"/>
                <w:szCs w:val="18"/>
              </w:rPr>
              <w:t>/</w:t>
            </w:r>
            <w:r>
              <w:rPr>
                <w:sz w:val="18"/>
                <w:szCs w:val="18"/>
              </w:rPr>
              <w:t>m</w:t>
            </w:r>
          </w:p>
        </w:tc>
        <w:tc>
          <w:tcPr>
            <w:tcW w:w="473" w:type="pct"/>
            <w:vMerge w:val="restart"/>
            <w:vAlign w:val="center"/>
          </w:tcPr>
          <w:p>
            <w:pPr>
              <w:adjustRightInd w:val="0"/>
              <w:snapToGrid w:val="0"/>
              <w:jc w:val="center"/>
              <w:textAlignment w:val="baseline"/>
              <w:rPr>
                <w:sz w:val="18"/>
                <w:szCs w:val="18"/>
              </w:rPr>
            </w:pPr>
            <w:r>
              <w:rPr>
                <w:rFonts w:hint="eastAsia"/>
                <w:sz w:val="18"/>
                <w:szCs w:val="18"/>
              </w:rPr>
              <w:t>距室内边界距离/m</w:t>
            </w:r>
          </w:p>
          <w:p>
            <w:pPr>
              <w:adjustRightInd w:val="0"/>
              <w:snapToGrid w:val="0"/>
              <w:jc w:val="center"/>
              <w:textAlignment w:val="baseline"/>
              <w:rPr>
                <w:sz w:val="18"/>
                <w:szCs w:val="18"/>
              </w:rPr>
            </w:pPr>
            <w:r>
              <w:rPr>
                <w:rFonts w:hint="eastAsia"/>
                <w:sz w:val="18"/>
                <w:szCs w:val="18"/>
              </w:rPr>
              <w:t>（东/南/西北顺序）</w:t>
            </w:r>
          </w:p>
        </w:tc>
        <w:tc>
          <w:tcPr>
            <w:tcW w:w="473" w:type="pct"/>
            <w:vMerge w:val="restart"/>
            <w:vAlign w:val="center"/>
          </w:tcPr>
          <w:p>
            <w:pPr>
              <w:adjustRightInd w:val="0"/>
              <w:snapToGrid w:val="0"/>
              <w:jc w:val="center"/>
              <w:textAlignment w:val="baseline"/>
              <w:rPr>
                <w:sz w:val="18"/>
                <w:szCs w:val="18"/>
              </w:rPr>
            </w:pPr>
            <w:r>
              <w:rPr>
                <w:rFonts w:hint="eastAsia"/>
                <w:sz w:val="18"/>
                <w:szCs w:val="18"/>
              </w:rPr>
              <w:t>室内边界声级</w:t>
            </w:r>
            <w:r>
              <w:rPr>
                <w:sz w:val="18"/>
                <w:szCs w:val="18"/>
              </w:rPr>
              <w:t>/dB(A)</w:t>
            </w:r>
          </w:p>
          <w:p>
            <w:pPr>
              <w:adjustRightInd w:val="0"/>
              <w:snapToGrid w:val="0"/>
              <w:jc w:val="center"/>
              <w:textAlignment w:val="baseline"/>
              <w:rPr>
                <w:sz w:val="18"/>
                <w:szCs w:val="18"/>
              </w:rPr>
            </w:pPr>
            <w:r>
              <w:rPr>
                <w:rFonts w:hint="eastAsia"/>
                <w:sz w:val="18"/>
                <w:szCs w:val="18"/>
              </w:rPr>
              <w:t>（东/南/西北顺序）</w:t>
            </w:r>
          </w:p>
        </w:tc>
        <w:tc>
          <w:tcPr>
            <w:tcW w:w="368" w:type="pct"/>
            <w:vMerge w:val="restart"/>
            <w:vAlign w:val="center"/>
          </w:tcPr>
          <w:p>
            <w:pPr>
              <w:adjustRightInd w:val="0"/>
              <w:snapToGrid w:val="0"/>
              <w:jc w:val="center"/>
              <w:textAlignment w:val="baseline"/>
              <w:rPr>
                <w:sz w:val="18"/>
                <w:szCs w:val="18"/>
              </w:rPr>
            </w:pPr>
            <w:r>
              <w:rPr>
                <w:rFonts w:hint="eastAsia"/>
                <w:sz w:val="18"/>
                <w:szCs w:val="18"/>
              </w:rPr>
              <w:t>运行时段</w:t>
            </w:r>
          </w:p>
        </w:tc>
        <w:tc>
          <w:tcPr>
            <w:tcW w:w="421" w:type="pct"/>
            <w:vMerge w:val="restart"/>
            <w:vAlign w:val="center"/>
          </w:tcPr>
          <w:p>
            <w:pPr>
              <w:adjustRightInd w:val="0"/>
              <w:snapToGrid w:val="0"/>
              <w:jc w:val="center"/>
              <w:textAlignment w:val="baseline"/>
              <w:rPr>
                <w:sz w:val="18"/>
                <w:szCs w:val="18"/>
              </w:rPr>
            </w:pPr>
            <w:r>
              <w:rPr>
                <w:rFonts w:hint="eastAsia"/>
                <w:sz w:val="18"/>
                <w:szCs w:val="18"/>
              </w:rPr>
              <w:t>建筑物插入损失/</w:t>
            </w:r>
            <w:r>
              <w:rPr>
                <w:sz w:val="18"/>
                <w:szCs w:val="18"/>
              </w:rPr>
              <w:t>dB(A)</w:t>
            </w:r>
          </w:p>
        </w:tc>
        <w:tc>
          <w:tcPr>
            <w:tcW w:w="524" w:type="pct"/>
            <w:vMerge w:val="restart"/>
            <w:vAlign w:val="center"/>
          </w:tcPr>
          <w:p>
            <w:pPr>
              <w:adjustRightInd w:val="0"/>
              <w:snapToGrid w:val="0"/>
              <w:jc w:val="center"/>
              <w:textAlignment w:val="baseline"/>
              <w:rPr>
                <w:sz w:val="18"/>
                <w:szCs w:val="18"/>
              </w:rPr>
            </w:pPr>
            <w:r>
              <w:rPr>
                <w:rFonts w:hint="eastAsia"/>
                <w:sz w:val="18"/>
                <w:szCs w:val="18"/>
              </w:rPr>
              <w:t>建筑物外噪声/</w:t>
            </w:r>
            <w:r>
              <w:rPr>
                <w:sz w:val="18"/>
                <w:szCs w:val="18"/>
              </w:rPr>
              <w:t>dB(A)</w:t>
            </w:r>
          </w:p>
          <w:p>
            <w:pPr>
              <w:adjustRightInd w:val="0"/>
              <w:snapToGrid w:val="0"/>
              <w:jc w:val="center"/>
              <w:textAlignment w:val="baseline"/>
              <w:rPr>
                <w:sz w:val="18"/>
                <w:szCs w:val="18"/>
              </w:rPr>
            </w:pPr>
            <w:r>
              <w:rPr>
                <w:rFonts w:hint="eastAsia"/>
                <w:sz w:val="18"/>
                <w:szCs w:val="18"/>
              </w:rPr>
              <w:t>（东/南/西北顺序）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continue"/>
            <w:vAlign w:val="center"/>
          </w:tcPr>
          <w:p>
            <w:pPr>
              <w:adjustRightInd w:val="0"/>
              <w:snapToGrid w:val="0"/>
              <w:jc w:val="center"/>
              <w:textAlignment w:val="baseline"/>
              <w:rPr>
                <w:sz w:val="18"/>
                <w:szCs w:val="18"/>
              </w:rPr>
            </w:pPr>
          </w:p>
        </w:tc>
        <w:tc>
          <w:tcPr>
            <w:tcW w:w="462" w:type="pct"/>
            <w:vMerge w:val="continue"/>
            <w:vAlign w:val="center"/>
          </w:tcPr>
          <w:p>
            <w:pPr>
              <w:adjustRightInd w:val="0"/>
              <w:snapToGrid w:val="0"/>
              <w:jc w:val="center"/>
              <w:textAlignment w:val="baseline"/>
              <w:rPr>
                <w:sz w:val="18"/>
                <w:szCs w:val="18"/>
              </w:rPr>
            </w:pPr>
          </w:p>
        </w:tc>
        <w:tc>
          <w:tcPr>
            <w:tcW w:w="650" w:type="pct"/>
            <w:vMerge w:val="continue"/>
            <w:vAlign w:val="center"/>
          </w:tcPr>
          <w:p>
            <w:pPr>
              <w:adjustRightInd w:val="0"/>
              <w:snapToGrid w:val="0"/>
              <w:jc w:val="center"/>
              <w:textAlignment w:val="baseline"/>
              <w:rPr>
                <w:sz w:val="18"/>
                <w:szCs w:val="18"/>
              </w:rPr>
            </w:pPr>
          </w:p>
        </w:tc>
        <w:tc>
          <w:tcPr>
            <w:tcW w:w="395" w:type="pct"/>
            <w:vMerge w:val="continue"/>
            <w:vAlign w:val="center"/>
          </w:tcPr>
          <w:p>
            <w:pPr>
              <w:adjustRightInd w:val="0"/>
              <w:snapToGrid w:val="0"/>
              <w:jc w:val="center"/>
              <w:textAlignment w:val="baseline"/>
              <w:rPr>
                <w:sz w:val="18"/>
                <w:szCs w:val="18"/>
              </w:rPr>
            </w:pP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rFonts w:hint="eastAsia"/>
                <w:sz w:val="18"/>
                <w:szCs w:val="18"/>
              </w:rPr>
              <w:t>X</w:t>
            </w:r>
          </w:p>
        </w:tc>
        <w:tc>
          <w:tcPr>
            <w:tcW w:w="263" w:type="pct"/>
            <w:vAlign w:val="center"/>
          </w:tcPr>
          <w:p>
            <w:pPr>
              <w:adjustRightInd w:val="0"/>
              <w:snapToGrid w:val="0"/>
              <w:jc w:val="center"/>
              <w:textAlignment w:val="baseline"/>
              <w:rPr>
                <w:sz w:val="18"/>
                <w:szCs w:val="18"/>
              </w:rPr>
            </w:pPr>
            <w:r>
              <w:rPr>
                <w:rFonts w:hint="eastAsia"/>
                <w:sz w:val="18"/>
                <w:szCs w:val="18"/>
              </w:rPr>
              <w:t>Y</w:t>
            </w:r>
          </w:p>
        </w:tc>
        <w:tc>
          <w:tcPr>
            <w:tcW w:w="262" w:type="pct"/>
            <w:vAlign w:val="center"/>
          </w:tcPr>
          <w:p>
            <w:pPr>
              <w:adjustRightInd w:val="0"/>
              <w:snapToGrid w:val="0"/>
              <w:jc w:val="center"/>
              <w:textAlignment w:val="baseline"/>
              <w:rPr>
                <w:sz w:val="18"/>
                <w:szCs w:val="18"/>
              </w:rPr>
            </w:pPr>
            <w:r>
              <w:rPr>
                <w:rFonts w:hint="eastAsia"/>
                <w:sz w:val="18"/>
                <w:szCs w:val="18"/>
              </w:rPr>
              <w:t>Z</w:t>
            </w:r>
          </w:p>
        </w:tc>
        <w:tc>
          <w:tcPr>
            <w:tcW w:w="473" w:type="pct"/>
            <w:vMerge w:val="continue"/>
            <w:vAlign w:val="center"/>
          </w:tcPr>
          <w:p>
            <w:pPr>
              <w:adjustRightInd w:val="0"/>
              <w:snapToGrid w:val="0"/>
              <w:jc w:val="center"/>
              <w:textAlignment w:val="baseline"/>
              <w:rPr>
                <w:sz w:val="18"/>
                <w:szCs w:val="18"/>
              </w:rPr>
            </w:pPr>
          </w:p>
        </w:tc>
        <w:tc>
          <w:tcPr>
            <w:tcW w:w="473" w:type="pct"/>
            <w:vMerge w:val="continue"/>
            <w:vAlign w:val="center"/>
          </w:tcPr>
          <w:p>
            <w:pPr>
              <w:adjustRightInd w:val="0"/>
              <w:snapToGrid w:val="0"/>
              <w:jc w:val="center"/>
              <w:textAlignment w:val="baseline"/>
              <w:rPr>
                <w:sz w:val="18"/>
                <w:szCs w:val="18"/>
              </w:rPr>
            </w:pPr>
          </w:p>
        </w:tc>
        <w:tc>
          <w:tcPr>
            <w:tcW w:w="368" w:type="pct"/>
            <w:vMerge w:val="continue"/>
            <w:vAlign w:val="center"/>
          </w:tcPr>
          <w:p>
            <w:pPr>
              <w:adjustRightInd w:val="0"/>
              <w:snapToGrid w:val="0"/>
              <w:jc w:val="center"/>
              <w:textAlignment w:val="baseline"/>
              <w:rPr>
                <w:sz w:val="18"/>
                <w:szCs w:val="18"/>
              </w:rPr>
            </w:pPr>
          </w:p>
        </w:tc>
        <w:tc>
          <w:tcPr>
            <w:tcW w:w="421" w:type="pct"/>
            <w:vMerge w:val="continue"/>
            <w:vAlign w:val="center"/>
          </w:tcPr>
          <w:p>
            <w:pPr>
              <w:adjustRightInd w:val="0"/>
              <w:snapToGrid w:val="0"/>
              <w:jc w:val="center"/>
              <w:textAlignment w:val="baseline"/>
              <w:rPr>
                <w:sz w:val="18"/>
                <w:szCs w:val="18"/>
              </w:rPr>
            </w:pPr>
          </w:p>
        </w:tc>
        <w:tc>
          <w:tcPr>
            <w:tcW w:w="524" w:type="pct"/>
            <w:vMerge w:val="continue"/>
            <w:vAlign w:val="center"/>
          </w:tcPr>
          <w:p>
            <w:pPr>
              <w:adjustRightInd w:val="0"/>
              <w:snapToGrid w:val="0"/>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restart"/>
            <w:vAlign w:val="center"/>
          </w:tcPr>
          <w:p>
            <w:pPr>
              <w:adjustRightInd w:val="0"/>
              <w:snapToGrid w:val="0"/>
              <w:jc w:val="center"/>
              <w:textAlignment w:val="baseline"/>
              <w:rPr>
                <w:sz w:val="18"/>
                <w:szCs w:val="18"/>
              </w:rPr>
            </w:pPr>
            <w:r>
              <w:rPr>
                <w:rFonts w:hint="eastAsia"/>
                <w:sz w:val="18"/>
                <w:szCs w:val="18"/>
              </w:rPr>
              <w:t>1</w:t>
            </w:r>
          </w:p>
        </w:tc>
        <w:tc>
          <w:tcPr>
            <w:tcW w:w="462" w:type="pct"/>
            <w:vMerge w:val="restart"/>
            <w:vAlign w:val="center"/>
          </w:tcPr>
          <w:p>
            <w:pPr>
              <w:adjustRightInd w:val="0"/>
              <w:snapToGrid w:val="0"/>
              <w:jc w:val="center"/>
              <w:textAlignment w:val="baseline"/>
              <w:rPr>
                <w:sz w:val="18"/>
                <w:szCs w:val="18"/>
              </w:rPr>
            </w:pPr>
            <w:r>
              <w:rPr>
                <w:rFonts w:hint="eastAsia" w:ascii="宋体" w:hAnsi="宋体" w:cs="宋体"/>
                <w:sz w:val="18"/>
                <w:szCs w:val="18"/>
              </w:rPr>
              <w:t>新能源动力电池拆解区</w:t>
            </w:r>
          </w:p>
        </w:tc>
        <w:tc>
          <w:tcPr>
            <w:tcW w:w="650" w:type="pct"/>
            <w:vAlign w:val="center"/>
          </w:tcPr>
          <w:p>
            <w:pPr>
              <w:adjustRightInd w:val="0"/>
              <w:snapToGrid w:val="0"/>
              <w:jc w:val="center"/>
              <w:textAlignment w:val="baseline"/>
              <w:rPr>
                <w:sz w:val="18"/>
                <w:szCs w:val="18"/>
              </w:rPr>
            </w:pPr>
            <w:r>
              <w:rPr>
                <w:rFonts w:hint="eastAsia" w:ascii="宋体" w:hAnsi="宋体" w:cs="宋体"/>
                <w:kern w:val="0"/>
                <w:sz w:val="18"/>
                <w:szCs w:val="18"/>
                <w:lang w:bidi="ar"/>
              </w:rPr>
              <w:t>防静电真空抽油机</w:t>
            </w:r>
          </w:p>
        </w:tc>
        <w:tc>
          <w:tcPr>
            <w:tcW w:w="395" w:type="pct"/>
            <w:vAlign w:val="center"/>
          </w:tcPr>
          <w:p>
            <w:pPr>
              <w:adjustRightInd w:val="0"/>
              <w:snapToGrid w:val="0"/>
              <w:jc w:val="center"/>
              <w:textAlignment w:val="baseline"/>
              <w:rPr>
                <w:bCs/>
                <w:sz w:val="18"/>
                <w:szCs w:val="18"/>
              </w:rPr>
            </w:pPr>
            <w:r>
              <w:rPr>
                <w:bCs/>
                <w:sz w:val="18"/>
                <w:szCs w:val="18"/>
              </w:rPr>
              <w:t>80/1</w:t>
            </w:r>
          </w:p>
        </w:tc>
        <w:tc>
          <w:tcPr>
            <w:tcW w:w="255" w:type="pct"/>
            <w:vMerge w:val="restart"/>
            <w:vAlign w:val="center"/>
          </w:tcPr>
          <w:p>
            <w:pPr>
              <w:adjustRightInd w:val="0"/>
              <w:snapToGrid w:val="0"/>
              <w:jc w:val="center"/>
              <w:textAlignment w:val="baseline"/>
              <w:rPr>
                <w:sz w:val="18"/>
                <w:szCs w:val="18"/>
              </w:rPr>
            </w:pPr>
            <w:r>
              <w:rPr>
                <w:rFonts w:hint="eastAsia"/>
                <w:sz w:val="18"/>
                <w:szCs w:val="18"/>
              </w:rPr>
              <w:t>建筑隔声、减震垫</w:t>
            </w:r>
          </w:p>
        </w:tc>
        <w:tc>
          <w:tcPr>
            <w:tcW w:w="261" w:type="pct"/>
            <w:vAlign w:val="center"/>
          </w:tcPr>
          <w:p>
            <w:pPr>
              <w:adjustRightInd w:val="0"/>
              <w:snapToGrid w:val="0"/>
              <w:jc w:val="center"/>
              <w:textAlignment w:val="baseline"/>
              <w:rPr>
                <w:sz w:val="18"/>
                <w:szCs w:val="18"/>
              </w:rPr>
            </w:pPr>
            <w:r>
              <w:rPr>
                <w:rFonts w:hint="eastAsia"/>
                <w:sz w:val="18"/>
                <w:szCs w:val="18"/>
              </w:rPr>
              <w:t>-</w:t>
            </w:r>
            <w:r>
              <w:rPr>
                <w:sz w:val="18"/>
                <w:szCs w:val="18"/>
              </w:rPr>
              <w:t>6</w:t>
            </w:r>
          </w:p>
        </w:tc>
        <w:tc>
          <w:tcPr>
            <w:tcW w:w="263" w:type="pct"/>
            <w:vAlign w:val="center"/>
          </w:tcPr>
          <w:p>
            <w:pPr>
              <w:adjustRightInd w:val="0"/>
              <w:snapToGrid w:val="0"/>
              <w:jc w:val="center"/>
              <w:textAlignment w:val="baseline"/>
              <w:rPr>
                <w:sz w:val="18"/>
                <w:szCs w:val="18"/>
              </w:rPr>
            </w:pPr>
            <w:r>
              <w:rPr>
                <w:rFonts w:hint="eastAsia"/>
                <w:sz w:val="18"/>
                <w:szCs w:val="18"/>
              </w:rPr>
              <w:t>1</w:t>
            </w:r>
            <w:r>
              <w:rPr>
                <w:sz w:val="18"/>
                <w:szCs w:val="18"/>
              </w:rPr>
              <w:t>00</w:t>
            </w:r>
          </w:p>
        </w:tc>
        <w:tc>
          <w:tcPr>
            <w:tcW w:w="262" w:type="pct"/>
            <w:vAlign w:val="center"/>
          </w:tcPr>
          <w:p>
            <w:pPr>
              <w:adjustRightInd w:val="0"/>
              <w:snapToGrid w:val="0"/>
              <w:jc w:val="center"/>
              <w:textAlignment w:val="baseline"/>
              <w:rPr>
                <w:sz w:val="18"/>
                <w:szCs w:val="18"/>
              </w:rPr>
            </w:pPr>
            <w:r>
              <w:rPr>
                <w:rFonts w:hint="eastAsia"/>
                <w:sz w:val="18"/>
                <w:szCs w:val="18"/>
              </w:rPr>
              <w:t>1</w:t>
            </w:r>
          </w:p>
        </w:tc>
        <w:tc>
          <w:tcPr>
            <w:tcW w:w="473" w:type="pct"/>
            <w:vAlign w:val="center"/>
          </w:tcPr>
          <w:p>
            <w:pPr>
              <w:adjustRightInd w:val="0"/>
              <w:snapToGrid w:val="0"/>
              <w:jc w:val="center"/>
              <w:textAlignment w:val="baseline"/>
              <w:rPr>
                <w:sz w:val="18"/>
                <w:szCs w:val="18"/>
              </w:rPr>
            </w:pPr>
            <w:r>
              <w:rPr>
                <w:sz w:val="18"/>
                <w:szCs w:val="18"/>
              </w:rPr>
              <w:t>33</w:t>
            </w:r>
          </w:p>
          <w:p>
            <w:pPr>
              <w:adjustRightInd w:val="0"/>
              <w:snapToGrid w:val="0"/>
              <w:jc w:val="center"/>
              <w:textAlignment w:val="baseline"/>
              <w:rPr>
                <w:sz w:val="18"/>
                <w:szCs w:val="18"/>
              </w:rPr>
            </w:pPr>
            <w:r>
              <w:rPr>
                <w:sz w:val="18"/>
                <w:szCs w:val="18"/>
              </w:rPr>
              <w:t>95</w:t>
            </w:r>
          </w:p>
          <w:p>
            <w:pPr>
              <w:adjustRightInd w:val="0"/>
              <w:snapToGrid w:val="0"/>
              <w:jc w:val="center"/>
              <w:textAlignment w:val="baseline"/>
              <w:rPr>
                <w:sz w:val="18"/>
                <w:szCs w:val="18"/>
              </w:rPr>
            </w:pPr>
            <w:r>
              <w:rPr>
                <w:sz w:val="18"/>
                <w:szCs w:val="18"/>
              </w:rPr>
              <w:t>54</w:t>
            </w:r>
          </w:p>
          <w:p>
            <w:pPr>
              <w:adjustRightInd w:val="0"/>
              <w:snapToGrid w:val="0"/>
              <w:jc w:val="center"/>
              <w:textAlignment w:val="baseline"/>
              <w:rPr>
                <w:sz w:val="18"/>
                <w:szCs w:val="18"/>
              </w:rPr>
            </w:pPr>
            <w:r>
              <w:rPr>
                <w:sz w:val="18"/>
                <w:szCs w:val="18"/>
              </w:rPr>
              <w:t>128</w:t>
            </w:r>
          </w:p>
        </w:tc>
        <w:tc>
          <w:tcPr>
            <w:tcW w:w="473" w:type="pct"/>
            <w:vAlign w:val="center"/>
          </w:tcPr>
          <w:p>
            <w:pPr>
              <w:adjustRightInd w:val="0"/>
              <w:snapToGrid w:val="0"/>
              <w:jc w:val="center"/>
              <w:textAlignment w:val="baseline"/>
              <w:rPr>
                <w:sz w:val="18"/>
                <w:szCs w:val="18"/>
              </w:rPr>
            </w:pPr>
            <w:r>
              <w:rPr>
                <w:sz w:val="18"/>
                <w:szCs w:val="18"/>
              </w:rPr>
              <w:t>49.63</w:t>
            </w:r>
          </w:p>
          <w:p>
            <w:pPr>
              <w:adjustRightInd w:val="0"/>
              <w:snapToGrid w:val="0"/>
              <w:jc w:val="center"/>
              <w:textAlignment w:val="baseline"/>
              <w:rPr>
                <w:sz w:val="18"/>
                <w:szCs w:val="18"/>
              </w:rPr>
            </w:pPr>
            <w:r>
              <w:rPr>
                <w:rFonts w:hint="eastAsia"/>
                <w:sz w:val="18"/>
                <w:szCs w:val="18"/>
              </w:rPr>
              <w:t>4</w:t>
            </w:r>
            <w:r>
              <w:rPr>
                <w:sz w:val="18"/>
                <w:szCs w:val="18"/>
              </w:rPr>
              <w:t>0.45</w:t>
            </w:r>
          </w:p>
          <w:p>
            <w:pPr>
              <w:adjustRightInd w:val="0"/>
              <w:snapToGrid w:val="0"/>
              <w:jc w:val="center"/>
              <w:textAlignment w:val="baseline"/>
              <w:rPr>
                <w:sz w:val="18"/>
                <w:szCs w:val="18"/>
              </w:rPr>
            </w:pPr>
            <w:r>
              <w:rPr>
                <w:rFonts w:hint="eastAsia"/>
                <w:sz w:val="18"/>
                <w:szCs w:val="18"/>
              </w:rPr>
              <w:t>4</w:t>
            </w:r>
            <w:r>
              <w:rPr>
                <w:sz w:val="18"/>
                <w:szCs w:val="18"/>
              </w:rPr>
              <w:t>5.35</w:t>
            </w:r>
          </w:p>
          <w:p>
            <w:pPr>
              <w:adjustRightInd w:val="0"/>
              <w:snapToGrid w:val="0"/>
              <w:jc w:val="center"/>
              <w:textAlignment w:val="baseline"/>
              <w:rPr>
                <w:sz w:val="18"/>
                <w:szCs w:val="18"/>
              </w:rPr>
            </w:pPr>
            <w:r>
              <w:rPr>
                <w:rFonts w:hint="eastAsia"/>
                <w:sz w:val="18"/>
                <w:szCs w:val="18"/>
              </w:rPr>
              <w:t>3</w:t>
            </w:r>
            <w:r>
              <w:rPr>
                <w:sz w:val="18"/>
                <w:szCs w:val="18"/>
              </w:rPr>
              <w:t>7.86</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34.63</w:t>
            </w:r>
          </w:p>
          <w:p>
            <w:pPr>
              <w:adjustRightInd w:val="0"/>
              <w:snapToGrid w:val="0"/>
              <w:jc w:val="center"/>
              <w:textAlignment w:val="baseline"/>
              <w:rPr>
                <w:sz w:val="18"/>
                <w:szCs w:val="18"/>
              </w:rPr>
            </w:pPr>
            <w:r>
              <w:rPr>
                <w:sz w:val="18"/>
                <w:szCs w:val="18"/>
              </w:rPr>
              <w:t>25.45</w:t>
            </w:r>
          </w:p>
          <w:p>
            <w:pPr>
              <w:adjustRightInd w:val="0"/>
              <w:snapToGrid w:val="0"/>
              <w:jc w:val="center"/>
              <w:textAlignment w:val="baseline"/>
              <w:rPr>
                <w:sz w:val="18"/>
                <w:szCs w:val="18"/>
              </w:rPr>
            </w:pPr>
            <w:r>
              <w:rPr>
                <w:sz w:val="18"/>
                <w:szCs w:val="18"/>
              </w:rPr>
              <w:t>30.35</w:t>
            </w:r>
          </w:p>
          <w:p>
            <w:pPr>
              <w:adjustRightInd w:val="0"/>
              <w:snapToGrid w:val="0"/>
              <w:jc w:val="center"/>
              <w:textAlignment w:val="baseline"/>
              <w:rPr>
                <w:sz w:val="18"/>
                <w:szCs w:val="18"/>
              </w:rPr>
            </w:pPr>
            <w:r>
              <w:rPr>
                <w:sz w:val="18"/>
                <w:szCs w:val="18"/>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continue"/>
            <w:vAlign w:val="center"/>
          </w:tcPr>
          <w:p>
            <w:pPr>
              <w:adjustRightInd w:val="0"/>
              <w:snapToGrid w:val="0"/>
              <w:jc w:val="center"/>
              <w:textAlignment w:val="baseline"/>
              <w:rPr>
                <w:sz w:val="18"/>
                <w:szCs w:val="18"/>
              </w:rPr>
            </w:pPr>
          </w:p>
        </w:tc>
        <w:tc>
          <w:tcPr>
            <w:tcW w:w="462" w:type="pct"/>
            <w:vMerge w:val="continue"/>
            <w:vAlign w:val="center"/>
          </w:tcPr>
          <w:p>
            <w:pPr>
              <w:adjustRightInd w:val="0"/>
              <w:snapToGrid w:val="0"/>
              <w:jc w:val="center"/>
              <w:textAlignment w:val="baseline"/>
              <w:rPr>
                <w:bCs/>
                <w:sz w:val="18"/>
                <w:szCs w:val="18"/>
              </w:rPr>
            </w:pP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防静电塑料接口制冷剂回收机</w:t>
            </w:r>
          </w:p>
        </w:tc>
        <w:tc>
          <w:tcPr>
            <w:tcW w:w="395" w:type="pct"/>
            <w:vAlign w:val="center"/>
          </w:tcPr>
          <w:p>
            <w:pPr>
              <w:adjustRightInd w:val="0"/>
              <w:snapToGrid w:val="0"/>
              <w:jc w:val="center"/>
              <w:textAlignment w:val="baseline"/>
              <w:rPr>
                <w:bCs/>
                <w:sz w:val="18"/>
                <w:szCs w:val="18"/>
              </w:rPr>
            </w:pPr>
            <w:r>
              <w:rPr>
                <w:bCs/>
                <w:sz w:val="18"/>
                <w:szCs w:val="18"/>
              </w:rPr>
              <w:t>80/1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-10</w:t>
            </w:r>
          </w:p>
        </w:tc>
        <w:tc>
          <w:tcPr>
            <w:tcW w:w="263" w:type="pct"/>
            <w:vAlign w:val="center"/>
          </w:tcPr>
          <w:p>
            <w:pPr>
              <w:adjustRightInd w:val="0"/>
              <w:snapToGrid w:val="0"/>
              <w:jc w:val="center"/>
              <w:textAlignment w:val="baseline"/>
              <w:rPr>
                <w:sz w:val="18"/>
                <w:szCs w:val="18"/>
              </w:rPr>
            </w:pPr>
            <w:r>
              <w:rPr>
                <w:sz w:val="18"/>
                <w:szCs w:val="18"/>
              </w:rPr>
              <w:t>100</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29</w:t>
            </w:r>
          </w:p>
          <w:p>
            <w:pPr>
              <w:adjustRightInd w:val="0"/>
              <w:snapToGrid w:val="0"/>
              <w:jc w:val="center"/>
              <w:textAlignment w:val="baseline"/>
              <w:rPr>
                <w:sz w:val="18"/>
                <w:szCs w:val="18"/>
              </w:rPr>
            </w:pPr>
            <w:r>
              <w:rPr>
                <w:sz w:val="18"/>
                <w:szCs w:val="18"/>
              </w:rPr>
              <w:t>95</w:t>
            </w:r>
          </w:p>
          <w:p>
            <w:pPr>
              <w:adjustRightInd w:val="0"/>
              <w:snapToGrid w:val="0"/>
              <w:jc w:val="center"/>
              <w:textAlignment w:val="baseline"/>
              <w:rPr>
                <w:sz w:val="18"/>
                <w:szCs w:val="18"/>
              </w:rPr>
            </w:pPr>
            <w:r>
              <w:rPr>
                <w:sz w:val="18"/>
                <w:szCs w:val="18"/>
              </w:rPr>
              <w:t>58</w:t>
            </w:r>
          </w:p>
          <w:p>
            <w:pPr>
              <w:adjustRightInd w:val="0"/>
              <w:snapToGrid w:val="0"/>
              <w:jc w:val="center"/>
              <w:textAlignment w:val="baseline"/>
              <w:rPr>
                <w:sz w:val="18"/>
                <w:szCs w:val="18"/>
              </w:rPr>
            </w:pPr>
            <w:r>
              <w:rPr>
                <w:sz w:val="18"/>
                <w:szCs w:val="18"/>
              </w:rPr>
              <w:t>128</w:t>
            </w:r>
          </w:p>
        </w:tc>
        <w:tc>
          <w:tcPr>
            <w:tcW w:w="473" w:type="pct"/>
            <w:vAlign w:val="center"/>
          </w:tcPr>
          <w:p>
            <w:pPr>
              <w:adjustRightInd w:val="0"/>
              <w:snapToGrid w:val="0"/>
              <w:jc w:val="center"/>
              <w:textAlignment w:val="baseline"/>
              <w:rPr>
                <w:sz w:val="18"/>
                <w:szCs w:val="18"/>
              </w:rPr>
            </w:pPr>
            <w:r>
              <w:rPr>
                <w:sz w:val="18"/>
                <w:szCs w:val="18"/>
              </w:rPr>
              <w:t>50.75</w:t>
            </w:r>
          </w:p>
          <w:p>
            <w:pPr>
              <w:adjustRightInd w:val="0"/>
              <w:snapToGrid w:val="0"/>
              <w:jc w:val="center"/>
              <w:textAlignment w:val="baseline"/>
              <w:rPr>
                <w:sz w:val="18"/>
                <w:szCs w:val="18"/>
              </w:rPr>
            </w:pPr>
            <w:r>
              <w:rPr>
                <w:rFonts w:hint="eastAsia"/>
                <w:sz w:val="18"/>
                <w:szCs w:val="18"/>
              </w:rPr>
              <w:t>4</w:t>
            </w:r>
            <w:r>
              <w:rPr>
                <w:sz w:val="18"/>
                <w:szCs w:val="18"/>
              </w:rPr>
              <w:t>0.45</w:t>
            </w:r>
          </w:p>
          <w:p>
            <w:pPr>
              <w:adjustRightInd w:val="0"/>
              <w:snapToGrid w:val="0"/>
              <w:jc w:val="center"/>
              <w:textAlignment w:val="baseline"/>
              <w:rPr>
                <w:sz w:val="18"/>
                <w:szCs w:val="18"/>
              </w:rPr>
            </w:pPr>
            <w:r>
              <w:rPr>
                <w:rFonts w:hint="eastAsia"/>
                <w:sz w:val="18"/>
                <w:szCs w:val="18"/>
              </w:rPr>
              <w:t>4</w:t>
            </w:r>
            <w:r>
              <w:rPr>
                <w:sz w:val="18"/>
                <w:szCs w:val="18"/>
              </w:rPr>
              <w:t>4.73</w:t>
            </w:r>
          </w:p>
          <w:p>
            <w:pPr>
              <w:adjustRightInd w:val="0"/>
              <w:snapToGrid w:val="0"/>
              <w:jc w:val="center"/>
              <w:textAlignment w:val="baseline"/>
              <w:rPr>
                <w:sz w:val="18"/>
                <w:szCs w:val="18"/>
              </w:rPr>
            </w:pPr>
            <w:r>
              <w:rPr>
                <w:rFonts w:hint="eastAsia"/>
                <w:sz w:val="18"/>
                <w:szCs w:val="18"/>
              </w:rPr>
              <w:t>3</w:t>
            </w:r>
            <w:r>
              <w:rPr>
                <w:sz w:val="18"/>
                <w:szCs w:val="18"/>
              </w:rPr>
              <w:t>7.86</w:t>
            </w:r>
          </w:p>
        </w:tc>
        <w:tc>
          <w:tcPr>
            <w:tcW w:w="368" w:type="pct"/>
            <w:vAlign w:val="center"/>
          </w:tcPr>
          <w:p>
            <w:pPr>
              <w:adjustRightInd w:val="0"/>
              <w:snapToGrid w:val="0"/>
              <w:jc w:val="center"/>
              <w:textAlignment w:val="baseline"/>
              <w:rPr>
                <w:sz w:val="18"/>
                <w:szCs w:val="18"/>
              </w:rPr>
            </w:pPr>
            <w:r>
              <w:rPr>
                <w:rFonts w:hint="eastAsia"/>
                <w:sz w:val="18"/>
                <w:szCs w:val="18"/>
              </w:rPr>
              <w:t>2h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35.75</w:t>
            </w:r>
          </w:p>
          <w:p>
            <w:pPr>
              <w:adjustRightInd w:val="0"/>
              <w:snapToGrid w:val="0"/>
              <w:jc w:val="center"/>
              <w:textAlignment w:val="baseline"/>
              <w:rPr>
                <w:sz w:val="18"/>
                <w:szCs w:val="18"/>
              </w:rPr>
            </w:pPr>
            <w:r>
              <w:rPr>
                <w:sz w:val="18"/>
                <w:szCs w:val="18"/>
              </w:rPr>
              <w:t>25.45</w:t>
            </w:r>
          </w:p>
          <w:p>
            <w:pPr>
              <w:adjustRightInd w:val="0"/>
              <w:snapToGrid w:val="0"/>
              <w:jc w:val="center"/>
              <w:textAlignment w:val="baseline"/>
              <w:rPr>
                <w:sz w:val="18"/>
                <w:szCs w:val="18"/>
              </w:rPr>
            </w:pPr>
            <w:r>
              <w:rPr>
                <w:sz w:val="18"/>
                <w:szCs w:val="18"/>
              </w:rPr>
              <w:t>29.73</w:t>
            </w:r>
          </w:p>
          <w:p>
            <w:pPr>
              <w:adjustRightInd w:val="0"/>
              <w:snapToGrid w:val="0"/>
              <w:jc w:val="center"/>
              <w:textAlignment w:val="baseline"/>
              <w:rPr>
                <w:sz w:val="18"/>
                <w:szCs w:val="18"/>
              </w:rPr>
            </w:pPr>
            <w:r>
              <w:rPr>
                <w:sz w:val="18"/>
                <w:szCs w:val="18"/>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restart"/>
            <w:vAlign w:val="center"/>
          </w:tcPr>
          <w:p>
            <w:pPr>
              <w:adjustRightInd w:val="0"/>
              <w:snapToGrid w:val="0"/>
              <w:jc w:val="center"/>
              <w:textAlignment w:val="baseline"/>
              <w:rPr>
                <w:sz w:val="18"/>
                <w:szCs w:val="18"/>
              </w:rPr>
            </w:pPr>
            <w:r>
              <w:rPr>
                <w:rFonts w:hint="eastAsia"/>
                <w:sz w:val="18"/>
                <w:szCs w:val="18"/>
              </w:rPr>
              <w:t>2</w:t>
            </w:r>
          </w:p>
        </w:tc>
        <w:tc>
          <w:tcPr>
            <w:tcW w:w="462" w:type="pct"/>
            <w:vMerge w:val="restar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小车预处理区</w:t>
            </w: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废油液抽排设备</w:t>
            </w:r>
          </w:p>
        </w:tc>
        <w:tc>
          <w:tcPr>
            <w:tcW w:w="395" w:type="pct"/>
            <w:vAlign w:val="center"/>
          </w:tcPr>
          <w:p>
            <w:pPr>
              <w:adjustRightInd w:val="0"/>
              <w:snapToGrid w:val="0"/>
              <w:jc w:val="center"/>
              <w:textAlignment w:val="baseline"/>
              <w:rPr>
                <w:bCs/>
                <w:sz w:val="18"/>
                <w:szCs w:val="18"/>
              </w:rPr>
            </w:pPr>
            <w:r>
              <w:rPr>
                <w:bCs/>
                <w:sz w:val="18"/>
                <w:szCs w:val="18"/>
              </w:rPr>
              <w:t>80/1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-11</w:t>
            </w:r>
          </w:p>
        </w:tc>
        <w:tc>
          <w:tcPr>
            <w:tcW w:w="263" w:type="pct"/>
            <w:vAlign w:val="center"/>
          </w:tcPr>
          <w:p>
            <w:pPr>
              <w:adjustRightInd w:val="0"/>
              <w:snapToGrid w:val="0"/>
              <w:jc w:val="center"/>
              <w:textAlignment w:val="baseline"/>
              <w:rPr>
                <w:sz w:val="18"/>
                <w:szCs w:val="18"/>
              </w:rPr>
            </w:pPr>
            <w:r>
              <w:rPr>
                <w:sz w:val="18"/>
                <w:szCs w:val="18"/>
              </w:rPr>
              <w:t>48</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29</w:t>
            </w:r>
          </w:p>
          <w:p>
            <w:pPr>
              <w:adjustRightInd w:val="0"/>
              <w:snapToGrid w:val="0"/>
              <w:jc w:val="center"/>
              <w:textAlignment w:val="baseline"/>
              <w:rPr>
                <w:sz w:val="18"/>
                <w:szCs w:val="18"/>
              </w:rPr>
            </w:pPr>
            <w:r>
              <w:rPr>
                <w:sz w:val="18"/>
                <w:szCs w:val="18"/>
              </w:rPr>
              <w:t>46</w:t>
            </w:r>
          </w:p>
          <w:p>
            <w:pPr>
              <w:adjustRightInd w:val="0"/>
              <w:snapToGrid w:val="0"/>
              <w:jc w:val="center"/>
              <w:textAlignment w:val="baseline"/>
              <w:rPr>
                <w:sz w:val="18"/>
                <w:szCs w:val="18"/>
              </w:rPr>
            </w:pPr>
            <w:r>
              <w:rPr>
                <w:sz w:val="18"/>
                <w:szCs w:val="18"/>
              </w:rPr>
              <w:t>58</w:t>
            </w:r>
          </w:p>
          <w:p>
            <w:pPr>
              <w:adjustRightInd w:val="0"/>
              <w:snapToGrid w:val="0"/>
              <w:jc w:val="center"/>
              <w:textAlignment w:val="baseline"/>
              <w:rPr>
                <w:sz w:val="18"/>
                <w:szCs w:val="18"/>
              </w:rPr>
            </w:pPr>
            <w:r>
              <w:rPr>
                <w:sz w:val="18"/>
                <w:szCs w:val="18"/>
              </w:rPr>
              <w:t>177</w:t>
            </w:r>
          </w:p>
        </w:tc>
        <w:tc>
          <w:tcPr>
            <w:tcW w:w="473" w:type="pct"/>
            <w:vAlign w:val="center"/>
          </w:tcPr>
          <w:p>
            <w:pPr>
              <w:adjustRightInd w:val="0"/>
              <w:snapToGrid w:val="0"/>
              <w:jc w:val="center"/>
              <w:textAlignment w:val="baseline"/>
              <w:rPr>
                <w:sz w:val="18"/>
                <w:szCs w:val="18"/>
              </w:rPr>
            </w:pPr>
            <w:r>
              <w:rPr>
                <w:rFonts w:hint="eastAsia"/>
                <w:sz w:val="18"/>
                <w:szCs w:val="18"/>
              </w:rPr>
              <w:t>3</w:t>
            </w:r>
            <w:r>
              <w:rPr>
                <w:sz w:val="18"/>
                <w:szCs w:val="18"/>
              </w:rPr>
              <w:t>7.86</w:t>
            </w:r>
          </w:p>
          <w:p>
            <w:pPr>
              <w:adjustRightInd w:val="0"/>
              <w:snapToGrid w:val="0"/>
              <w:jc w:val="center"/>
              <w:textAlignment w:val="baseline"/>
              <w:rPr>
                <w:sz w:val="18"/>
                <w:szCs w:val="18"/>
              </w:rPr>
            </w:pPr>
            <w:r>
              <w:rPr>
                <w:rFonts w:hint="eastAsia"/>
                <w:sz w:val="18"/>
                <w:szCs w:val="18"/>
              </w:rPr>
              <w:t>4</w:t>
            </w:r>
            <w:r>
              <w:rPr>
                <w:sz w:val="18"/>
                <w:szCs w:val="18"/>
              </w:rPr>
              <w:t>6.74</w:t>
            </w:r>
          </w:p>
          <w:p>
            <w:pPr>
              <w:adjustRightInd w:val="0"/>
              <w:snapToGrid w:val="0"/>
              <w:jc w:val="center"/>
              <w:textAlignment w:val="baseline"/>
              <w:rPr>
                <w:sz w:val="18"/>
                <w:szCs w:val="18"/>
              </w:rPr>
            </w:pPr>
            <w:r>
              <w:rPr>
                <w:rFonts w:hint="eastAsia"/>
                <w:sz w:val="18"/>
                <w:szCs w:val="18"/>
              </w:rPr>
              <w:t>4</w:t>
            </w:r>
            <w:r>
              <w:rPr>
                <w:sz w:val="18"/>
                <w:szCs w:val="18"/>
              </w:rPr>
              <w:t>4.73</w:t>
            </w:r>
          </w:p>
          <w:p>
            <w:pPr>
              <w:adjustRightInd w:val="0"/>
              <w:snapToGrid w:val="0"/>
              <w:jc w:val="center"/>
              <w:textAlignment w:val="baseline"/>
              <w:rPr>
                <w:sz w:val="18"/>
                <w:szCs w:val="18"/>
              </w:rPr>
            </w:pPr>
            <w:r>
              <w:rPr>
                <w:sz w:val="18"/>
                <w:szCs w:val="18"/>
              </w:rPr>
              <w:t>35.04</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22.86</w:t>
            </w:r>
          </w:p>
          <w:p>
            <w:pPr>
              <w:adjustRightInd w:val="0"/>
              <w:snapToGrid w:val="0"/>
              <w:jc w:val="center"/>
              <w:textAlignment w:val="baseline"/>
              <w:rPr>
                <w:sz w:val="18"/>
                <w:szCs w:val="18"/>
              </w:rPr>
            </w:pPr>
            <w:r>
              <w:rPr>
                <w:sz w:val="18"/>
                <w:szCs w:val="18"/>
              </w:rPr>
              <w:t>31.74</w:t>
            </w:r>
          </w:p>
          <w:p>
            <w:pPr>
              <w:adjustRightInd w:val="0"/>
              <w:snapToGrid w:val="0"/>
              <w:jc w:val="center"/>
              <w:textAlignment w:val="baseline"/>
              <w:rPr>
                <w:sz w:val="18"/>
                <w:szCs w:val="18"/>
              </w:rPr>
            </w:pPr>
            <w:r>
              <w:rPr>
                <w:sz w:val="18"/>
                <w:szCs w:val="18"/>
              </w:rPr>
              <w:t>29.73</w:t>
            </w:r>
          </w:p>
          <w:p>
            <w:pPr>
              <w:adjustRightInd w:val="0"/>
              <w:snapToGrid w:val="0"/>
              <w:jc w:val="center"/>
              <w:textAlignment w:val="baseline"/>
              <w:rPr>
                <w:sz w:val="18"/>
                <w:szCs w:val="18"/>
              </w:rPr>
            </w:pPr>
            <w:r>
              <w:rPr>
                <w:sz w:val="18"/>
                <w:szCs w:val="18"/>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continue"/>
            <w:vAlign w:val="center"/>
          </w:tcPr>
          <w:p>
            <w:pPr>
              <w:adjustRightInd w:val="0"/>
              <w:snapToGrid w:val="0"/>
              <w:jc w:val="center"/>
              <w:textAlignment w:val="baseline"/>
              <w:rPr>
                <w:sz w:val="18"/>
                <w:szCs w:val="18"/>
              </w:rPr>
            </w:pPr>
          </w:p>
        </w:tc>
        <w:tc>
          <w:tcPr>
            <w:tcW w:w="462" w:type="pct"/>
            <w:vMerge w:val="continue"/>
            <w:vAlign w:val="center"/>
          </w:tcPr>
          <w:p>
            <w:pPr>
              <w:adjustRightInd w:val="0"/>
              <w:snapToGrid w:val="0"/>
              <w:jc w:val="center"/>
              <w:textAlignment w:val="baseline"/>
              <w:rPr>
                <w:bCs/>
                <w:sz w:val="18"/>
                <w:szCs w:val="18"/>
              </w:rPr>
            </w:pP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冷媒回收设备</w:t>
            </w:r>
          </w:p>
        </w:tc>
        <w:tc>
          <w:tcPr>
            <w:tcW w:w="395" w:type="pct"/>
            <w:vAlign w:val="center"/>
          </w:tcPr>
          <w:p>
            <w:pPr>
              <w:adjustRightInd w:val="0"/>
              <w:snapToGrid w:val="0"/>
              <w:jc w:val="center"/>
              <w:textAlignment w:val="baseline"/>
              <w:rPr>
                <w:bCs/>
                <w:sz w:val="18"/>
                <w:szCs w:val="18"/>
              </w:rPr>
            </w:pPr>
            <w:r>
              <w:rPr>
                <w:bCs/>
                <w:sz w:val="18"/>
                <w:szCs w:val="18"/>
              </w:rPr>
              <w:t>80/1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-11</w:t>
            </w:r>
          </w:p>
        </w:tc>
        <w:tc>
          <w:tcPr>
            <w:tcW w:w="263" w:type="pct"/>
            <w:vAlign w:val="center"/>
          </w:tcPr>
          <w:p>
            <w:pPr>
              <w:adjustRightInd w:val="0"/>
              <w:snapToGrid w:val="0"/>
              <w:jc w:val="center"/>
              <w:textAlignment w:val="baseline"/>
              <w:rPr>
                <w:sz w:val="18"/>
                <w:szCs w:val="18"/>
              </w:rPr>
            </w:pPr>
            <w:r>
              <w:rPr>
                <w:sz w:val="18"/>
                <w:szCs w:val="18"/>
              </w:rPr>
              <w:t>53</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29</w:t>
            </w:r>
          </w:p>
          <w:p>
            <w:pPr>
              <w:adjustRightInd w:val="0"/>
              <w:snapToGrid w:val="0"/>
              <w:jc w:val="center"/>
              <w:textAlignment w:val="baseline"/>
              <w:rPr>
                <w:sz w:val="18"/>
                <w:szCs w:val="18"/>
              </w:rPr>
            </w:pPr>
            <w:r>
              <w:rPr>
                <w:sz w:val="18"/>
                <w:szCs w:val="18"/>
              </w:rPr>
              <w:t>54</w:t>
            </w:r>
          </w:p>
          <w:p>
            <w:pPr>
              <w:adjustRightInd w:val="0"/>
              <w:snapToGrid w:val="0"/>
              <w:jc w:val="center"/>
              <w:textAlignment w:val="baseline"/>
              <w:rPr>
                <w:sz w:val="18"/>
                <w:szCs w:val="18"/>
              </w:rPr>
            </w:pPr>
            <w:r>
              <w:rPr>
                <w:sz w:val="18"/>
                <w:szCs w:val="18"/>
              </w:rPr>
              <w:t>58</w:t>
            </w:r>
          </w:p>
          <w:p>
            <w:pPr>
              <w:adjustRightInd w:val="0"/>
              <w:snapToGrid w:val="0"/>
              <w:jc w:val="center"/>
              <w:textAlignment w:val="baseline"/>
              <w:rPr>
                <w:sz w:val="18"/>
                <w:szCs w:val="18"/>
              </w:rPr>
            </w:pPr>
            <w:r>
              <w:rPr>
                <w:sz w:val="18"/>
                <w:szCs w:val="18"/>
              </w:rPr>
              <w:t>169</w:t>
            </w:r>
          </w:p>
        </w:tc>
        <w:tc>
          <w:tcPr>
            <w:tcW w:w="473" w:type="pct"/>
            <w:vAlign w:val="center"/>
          </w:tcPr>
          <w:p>
            <w:pPr>
              <w:adjustRightInd w:val="0"/>
              <w:snapToGrid w:val="0"/>
              <w:jc w:val="center"/>
              <w:textAlignment w:val="baseline"/>
              <w:rPr>
                <w:sz w:val="18"/>
                <w:szCs w:val="18"/>
              </w:rPr>
            </w:pPr>
            <w:r>
              <w:rPr>
                <w:sz w:val="18"/>
                <w:szCs w:val="18"/>
              </w:rPr>
              <w:t>50.75</w:t>
            </w:r>
          </w:p>
          <w:p>
            <w:pPr>
              <w:adjustRightInd w:val="0"/>
              <w:snapToGrid w:val="0"/>
              <w:jc w:val="center"/>
              <w:textAlignment w:val="baseline"/>
              <w:rPr>
                <w:sz w:val="18"/>
                <w:szCs w:val="18"/>
              </w:rPr>
            </w:pPr>
            <w:r>
              <w:rPr>
                <w:sz w:val="18"/>
                <w:szCs w:val="18"/>
              </w:rPr>
              <w:t>45.35</w:t>
            </w:r>
          </w:p>
          <w:p>
            <w:pPr>
              <w:adjustRightInd w:val="0"/>
              <w:snapToGrid w:val="0"/>
              <w:jc w:val="center"/>
              <w:textAlignment w:val="baseline"/>
              <w:rPr>
                <w:sz w:val="18"/>
                <w:szCs w:val="18"/>
              </w:rPr>
            </w:pPr>
            <w:r>
              <w:rPr>
                <w:sz w:val="18"/>
                <w:szCs w:val="18"/>
              </w:rPr>
              <w:t>44.73</w:t>
            </w:r>
          </w:p>
          <w:p>
            <w:pPr>
              <w:adjustRightInd w:val="0"/>
              <w:snapToGrid w:val="0"/>
              <w:jc w:val="center"/>
              <w:textAlignment w:val="baseline"/>
              <w:rPr>
                <w:sz w:val="18"/>
                <w:szCs w:val="18"/>
              </w:rPr>
            </w:pPr>
            <w:r>
              <w:rPr>
                <w:sz w:val="18"/>
                <w:szCs w:val="18"/>
              </w:rPr>
              <w:t>35.44</w:t>
            </w:r>
          </w:p>
        </w:tc>
        <w:tc>
          <w:tcPr>
            <w:tcW w:w="368" w:type="pct"/>
            <w:vAlign w:val="center"/>
          </w:tcPr>
          <w:p>
            <w:pPr>
              <w:adjustRightInd w:val="0"/>
              <w:snapToGrid w:val="0"/>
              <w:jc w:val="center"/>
              <w:textAlignment w:val="baseline"/>
              <w:rPr>
                <w:sz w:val="18"/>
                <w:szCs w:val="18"/>
              </w:rPr>
            </w:pPr>
            <w:r>
              <w:rPr>
                <w:rFonts w:hint="eastAsia"/>
                <w:sz w:val="18"/>
                <w:szCs w:val="18"/>
              </w:rPr>
              <w:t>2h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35.75</w:t>
            </w:r>
          </w:p>
          <w:p>
            <w:pPr>
              <w:adjustRightInd w:val="0"/>
              <w:snapToGrid w:val="0"/>
              <w:jc w:val="center"/>
              <w:textAlignment w:val="baseline"/>
              <w:rPr>
                <w:sz w:val="18"/>
                <w:szCs w:val="18"/>
              </w:rPr>
            </w:pPr>
            <w:r>
              <w:rPr>
                <w:sz w:val="18"/>
                <w:szCs w:val="18"/>
              </w:rPr>
              <w:t>30.35</w:t>
            </w:r>
          </w:p>
          <w:p>
            <w:pPr>
              <w:adjustRightInd w:val="0"/>
              <w:snapToGrid w:val="0"/>
              <w:jc w:val="center"/>
              <w:textAlignment w:val="baseline"/>
              <w:rPr>
                <w:sz w:val="18"/>
                <w:szCs w:val="18"/>
              </w:rPr>
            </w:pPr>
            <w:r>
              <w:rPr>
                <w:sz w:val="18"/>
                <w:szCs w:val="18"/>
              </w:rPr>
              <w:t>29.73</w:t>
            </w:r>
          </w:p>
          <w:p>
            <w:pPr>
              <w:adjustRightInd w:val="0"/>
              <w:snapToGrid w:val="0"/>
              <w:jc w:val="center"/>
              <w:textAlignment w:val="baseline"/>
              <w:rPr>
                <w:sz w:val="18"/>
                <w:szCs w:val="18"/>
              </w:rPr>
            </w:pPr>
            <w:r>
              <w:rPr>
                <w:sz w:val="18"/>
                <w:szCs w:val="18"/>
              </w:rPr>
              <w:t>20.44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Align w:val="center"/>
          </w:tcPr>
          <w:p>
            <w:pPr>
              <w:adjustRightInd w:val="0"/>
              <w:snapToGrid w:val="0"/>
              <w:jc w:val="center"/>
              <w:textAlignment w:val="baseline"/>
              <w:rPr>
                <w:sz w:val="18"/>
                <w:szCs w:val="18"/>
              </w:rPr>
            </w:pPr>
            <w:r>
              <w:rPr>
                <w:rFonts w:hint="eastAsia"/>
                <w:sz w:val="18"/>
                <w:szCs w:val="18"/>
              </w:rPr>
              <w:t>3</w:t>
            </w:r>
          </w:p>
        </w:tc>
        <w:tc>
          <w:tcPr>
            <w:tcW w:w="462"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精细化拆解区</w:t>
            </w: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玻璃切割器</w:t>
            </w:r>
          </w:p>
        </w:tc>
        <w:tc>
          <w:tcPr>
            <w:tcW w:w="395" w:type="pct"/>
            <w:vAlign w:val="center"/>
          </w:tcPr>
          <w:p>
            <w:pPr>
              <w:adjustRightInd w:val="0"/>
              <w:snapToGrid w:val="0"/>
              <w:jc w:val="center"/>
              <w:textAlignment w:val="baseline"/>
              <w:rPr>
                <w:bCs/>
                <w:sz w:val="18"/>
                <w:szCs w:val="18"/>
              </w:rPr>
            </w:pPr>
            <w:r>
              <w:rPr>
                <w:bCs/>
                <w:sz w:val="18"/>
                <w:szCs w:val="18"/>
              </w:rPr>
              <w:t>95/1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0</w:t>
            </w:r>
          </w:p>
        </w:tc>
        <w:tc>
          <w:tcPr>
            <w:tcW w:w="263" w:type="pct"/>
            <w:vAlign w:val="center"/>
          </w:tcPr>
          <w:p>
            <w:pPr>
              <w:adjustRightInd w:val="0"/>
              <w:snapToGrid w:val="0"/>
              <w:jc w:val="center"/>
              <w:textAlignment w:val="baseline"/>
              <w:rPr>
                <w:sz w:val="18"/>
                <w:szCs w:val="18"/>
              </w:rPr>
            </w:pPr>
            <w:r>
              <w:rPr>
                <w:sz w:val="18"/>
                <w:szCs w:val="18"/>
              </w:rPr>
              <w:t>77</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26</w:t>
            </w:r>
          </w:p>
          <w:p>
            <w:pPr>
              <w:adjustRightInd w:val="0"/>
              <w:snapToGrid w:val="0"/>
              <w:jc w:val="center"/>
              <w:textAlignment w:val="baseline"/>
              <w:rPr>
                <w:sz w:val="18"/>
                <w:szCs w:val="18"/>
              </w:rPr>
            </w:pPr>
            <w:r>
              <w:rPr>
                <w:sz w:val="18"/>
                <w:szCs w:val="18"/>
              </w:rPr>
              <w:t>71</w:t>
            </w:r>
          </w:p>
          <w:p>
            <w:pPr>
              <w:adjustRightInd w:val="0"/>
              <w:snapToGrid w:val="0"/>
              <w:jc w:val="center"/>
              <w:textAlignment w:val="baseline"/>
              <w:rPr>
                <w:sz w:val="18"/>
                <w:szCs w:val="18"/>
              </w:rPr>
            </w:pPr>
            <w:r>
              <w:rPr>
                <w:sz w:val="18"/>
                <w:szCs w:val="18"/>
              </w:rPr>
              <w:t>61</w:t>
            </w:r>
          </w:p>
          <w:p>
            <w:pPr>
              <w:adjustRightInd w:val="0"/>
              <w:snapToGrid w:val="0"/>
              <w:jc w:val="center"/>
              <w:textAlignment w:val="baseline"/>
              <w:rPr>
                <w:sz w:val="18"/>
                <w:szCs w:val="18"/>
              </w:rPr>
            </w:pPr>
            <w:r>
              <w:rPr>
                <w:sz w:val="18"/>
                <w:szCs w:val="18"/>
              </w:rPr>
              <w:t>152</w:t>
            </w:r>
          </w:p>
        </w:tc>
        <w:tc>
          <w:tcPr>
            <w:tcW w:w="473" w:type="pct"/>
            <w:vAlign w:val="center"/>
          </w:tcPr>
          <w:p>
            <w:pPr>
              <w:adjustRightInd w:val="0"/>
              <w:snapToGrid w:val="0"/>
              <w:jc w:val="center"/>
              <w:textAlignment w:val="baseline"/>
              <w:rPr>
                <w:sz w:val="18"/>
                <w:szCs w:val="18"/>
              </w:rPr>
            </w:pPr>
            <w:r>
              <w:rPr>
                <w:sz w:val="18"/>
                <w:szCs w:val="18"/>
              </w:rPr>
              <w:t>66.70</w:t>
            </w:r>
          </w:p>
          <w:p>
            <w:pPr>
              <w:adjustRightInd w:val="0"/>
              <w:snapToGrid w:val="0"/>
              <w:jc w:val="center"/>
              <w:textAlignment w:val="baseline"/>
              <w:rPr>
                <w:sz w:val="18"/>
                <w:szCs w:val="18"/>
              </w:rPr>
            </w:pPr>
            <w:r>
              <w:rPr>
                <w:sz w:val="18"/>
                <w:szCs w:val="18"/>
              </w:rPr>
              <w:t>57.97</w:t>
            </w:r>
          </w:p>
          <w:p>
            <w:pPr>
              <w:adjustRightInd w:val="0"/>
              <w:snapToGrid w:val="0"/>
              <w:jc w:val="center"/>
              <w:textAlignment w:val="baseline"/>
              <w:rPr>
                <w:sz w:val="18"/>
                <w:szCs w:val="18"/>
              </w:rPr>
            </w:pPr>
            <w:r>
              <w:rPr>
                <w:sz w:val="18"/>
                <w:szCs w:val="18"/>
              </w:rPr>
              <w:t>59.29</w:t>
            </w:r>
          </w:p>
          <w:p>
            <w:pPr>
              <w:adjustRightInd w:val="0"/>
              <w:snapToGrid w:val="0"/>
              <w:jc w:val="center"/>
              <w:textAlignment w:val="baseline"/>
              <w:rPr>
                <w:sz w:val="18"/>
                <w:szCs w:val="18"/>
              </w:rPr>
            </w:pPr>
            <w:r>
              <w:rPr>
                <w:sz w:val="18"/>
                <w:szCs w:val="18"/>
              </w:rPr>
              <w:t>51.36</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51.7</w:t>
            </w:r>
          </w:p>
          <w:p>
            <w:pPr>
              <w:adjustRightInd w:val="0"/>
              <w:snapToGrid w:val="0"/>
              <w:jc w:val="center"/>
              <w:textAlignment w:val="baseline"/>
              <w:rPr>
                <w:sz w:val="18"/>
                <w:szCs w:val="18"/>
              </w:rPr>
            </w:pPr>
            <w:r>
              <w:rPr>
                <w:sz w:val="18"/>
                <w:szCs w:val="18"/>
              </w:rPr>
              <w:t>42.97</w:t>
            </w:r>
          </w:p>
          <w:p>
            <w:pPr>
              <w:adjustRightInd w:val="0"/>
              <w:snapToGrid w:val="0"/>
              <w:jc w:val="center"/>
              <w:textAlignment w:val="baseline"/>
              <w:rPr>
                <w:sz w:val="18"/>
                <w:szCs w:val="18"/>
              </w:rPr>
            </w:pPr>
            <w:r>
              <w:rPr>
                <w:sz w:val="18"/>
                <w:szCs w:val="18"/>
              </w:rPr>
              <w:t>44.29</w:t>
            </w:r>
          </w:p>
          <w:p>
            <w:pPr>
              <w:adjustRightInd w:val="0"/>
              <w:snapToGrid w:val="0"/>
              <w:jc w:val="center"/>
              <w:textAlignment w:val="baseline"/>
              <w:rPr>
                <w:sz w:val="18"/>
                <w:szCs w:val="18"/>
              </w:rPr>
            </w:pPr>
            <w:r>
              <w:rPr>
                <w:sz w:val="18"/>
                <w:szCs w:val="18"/>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Align w:val="center"/>
          </w:tcPr>
          <w:p>
            <w:pPr>
              <w:adjustRightInd w:val="0"/>
              <w:snapToGrid w:val="0"/>
              <w:jc w:val="center"/>
              <w:textAlignment w:val="baseline"/>
              <w:rPr>
                <w:sz w:val="18"/>
                <w:szCs w:val="18"/>
              </w:rPr>
            </w:pPr>
            <w:r>
              <w:rPr>
                <w:rFonts w:hint="eastAsia"/>
                <w:sz w:val="18"/>
                <w:szCs w:val="18"/>
              </w:rPr>
              <w:t>4</w:t>
            </w:r>
          </w:p>
        </w:tc>
        <w:tc>
          <w:tcPr>
            <w:tcW w:w="462"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大车预处理区</w:t>
            </w: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冷媒回收设备</w:t>
            </w:r>
          </w:p>
        </w:tc>
        <w:tc>
          <w:tcPr>
            <w:tcW w:w="395" w:type="pct"/>
            <w:vAlign w:val="center"/>
          </w:tcPr>
          <w:p>
            <w:pPr>
              <w:adjustRightInd w:val="0"/>
              <w:snapToGrid w:val="0"/>
              <w:jc w:val="center"/>
              <w:textAlignment w:val="baseline"/>
              <w:rPr>
                <w:bCs/>
                <w:sz w:val="18"/>
                <w:szCs w:val="18"/>
              </w:rPr>
            </w:pPr>
            <w:r>
              <w:rPr>
                <w:bCs/>
                <w:sz w:val="18"/>
                <w:szCs w:val="18"/>
              </w:rPr>
              <w:t>80/1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-20</w:t>
            </w:r>
          </w:p>
        </w:tc>
        <w:tc>
          <w:tcPr>
            <w:tcW w:w="263" w:type="pct"/>
            <w:vAlign w:val="center"/>
          </w:tcPr>
          <w:p>
            <w:pPr>
              <w:adjustRightInd w:val="0"/>
              <w:snapToGrid w:val="0"/>
              <w:jc w:val="center"/>
              <w:textAlignment w:val="baseline"/>
              <w:rPr>
                <w:sz w:val="18"/>
                <w:szCs w:val="18"/>
              </w:rPr>
            </w:pPr>
            <w:r>
              <w:rPr>
                <w:sz w:val="18"/>
                <w:szCs w:val="18"/>
              </w:rPr>
              <w:t>40</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40</w:t>
            </w:r>
          </w:p>
          <w:p>
            <w:pPr>
              <w:adjustRightInd w:val="0"/>
              <w:snapToGrid w:val="0"/>
              <w:jc w:val="center"/>
              <w:textAlignment w:val="baseline"/>
              <w:rPr>
                <w:sz w:val="18"/>
                <w:szCs w:val="18"/>
              </w:rPr>
            </w:pPr>
            <w:r>
              <w:rPr>
                <w:sz w:val="18"/>
                <w:szCs w:val="18"/>
              </w:rPr>
              <w:t>30</w:t>
            </w:r>
          </w:p>
          <w:p>
            <w:pPr>
              <w:adjustRightInd w:val="0"/>
              <w:snapToGrid w:val="0"/>
              <w:jc w:val="center"/>
              <w:textAlignment w:val="baseline"/>
              <w:rPr>
                <w:sz w:val="18"/>
                <w:szCs w:val="18"/>
              </w:rPr>
            </w:pPr>
            <w:r>
              <w:rPr>
                <w:sz w:val="18"/>
                <w:szCs w:val="18"/>
              </w:rPr>
              <w:t>47</w:t>
            </w:r>
          </w:p>
          <w:p>
            <w:pPr>
              <w:adjustRightInd w:val="0"/>
              <w:snapToGrid w:val="0"/>
              <w:jc w:val="center"/>
              <w:textAlignment w:val="baseline"/>
              <w:rPr>
                <w:sz w:val="18"/>
                <w:szCs w:val="18"/>
              </w:rPr>
            </w:pPr>
            <w:r>
              <w:rPr>
                <w:sz w:val="18"/>
                <w:szCs w:val="18"/>
              </w:rPr>
              <w:t>193</w:t>
            </w:r>
          </w:p>
        </w:tc>
        <w:tc>
          <w:tcPr>
            <w:tcW w:w="473" w:type="pct"/>
            <w:vAlign w:val="center"/>
          </w:tcPr>
          <w:p>
            <w:pPr>
              <w:adjustRightInd w:val="0"/>
              <w:snapToGrid w:val="0"/>
              <w:jc w:val="center"/>
              <w:textAlignment w:val="baseline"/>
              <w:rPr>
                <w:sz w:val="18"/>
                <w:szCs w:val="18"/>
              </w:rPr>
            </w:pPr>
            <w:r>
              <w:rPr>
                <w:sz w:val="18"/>
                <w:szCs w:val="18"/>
              </w:rPr>
              <w:t>47.96</w:t>
            </w:r>
          </w:p>
          <w:p>
            <w:pPr>
              <w:adjustRightInd w:val="0"/>
              <w:snapToGrid w:val="0"/>
              <w:jc w:val="center"/>
              <w:textAlignment w:val="baseline"/>
              <w:rPr>
                <w:sz w:val="18"/>
                <w:szCs w:val="18"/>
              </w:rPr>
            </w:pPr>
            <w:r>
              <w:rPr>
                <w:sz w:val="18"/>
                <w:szCs w:val="18"/>
              </w:rPr>
              <w:t>50.46</w:t>
            </w:r>
          </w:p>
          <w:p>
            <w:pPr>
              <w:adjustRightInd w:val="0"/>
              <w:snapToGrid w:val="0"/>
              <w:jc w:val="center"/>
              <w:textAlignment w:val="baseline"/>
              <w:rPr>
                <w:sz w:val="18"/>
                <w:szCs w:val="18"/>
              </w:rPr>
            </w:pPr>
            <w:r>
              <w:rPr>
                <w:sz w:val="18"/>
                <w:szCs w:val="18"/>
              </w:rPr>
              <w:t>46.56</w:t>
            </w:r>
          </w:p>
          <w:p>
            <w:pPr>
              <w:adjustRightInd w:val="0"/>
              <w:snapToGrid w:val="0"/>
              <w:jc w:val="center"/>
              <w:textAlignment w:val="baseline"/>
              <w:rPr>
                <w:sz w:val="18"/>
                <w:szCs w:val="18"/>
              </w:rPr>
            </w:pPr>
            <w:r>
              <w:rPr>
                <w:sz w:val="18"/>
                <w:szCs w:val="18"/>
              </w:rPr>
              <w:t>34.29</w:t>
            </w:r>
          </w:p>
        </w:tc>
        <w:tc>
          <w:tcPr>
            <w:tcW w:w="368" w:type="pct"/>
            <w:vAlign w:val="center"/>
          </w:tcPr>
          <w:p>
            <w:pPr>
              <w:adjustRightInd w:val="0"/>
              <w:snapToGrid w:val="0"/>
              <w:jc w:val="center"/>
              <w:textAlignment w:val="baseline"/>
              <w:rPr>
                <w:sz w:val="18"/>
                <w:szCs w:val="18"/>
              </w:rPr>
            </w:pPr>
            <w:r>
              <w:rPr>
                <w:rFonts w:hint="eastAsia"/>
                <w:sz w:val="18"/>
                <w:szCs w:val="18"/>
              </w:rPr>
              <w:t>2h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32.96</w:t>
            </w:r>
          </w:p>
          <w:p>
            <w:pPr>
              <w:adjustRightInd w:val="0"/>
              <w:snapToGrid w:val="0"/>
              <w:jc w:val="center"/>
              <w:textAlignment w:val="baseline"/>
              <w:rPr>
                <w:sz w:val="18"/>
                <w:szCs w:val="18"/>
              </w:rPr>
            </w:pPr>
            <w:r>
              <w:rPr>
                <w:sz w:val="18"/>
                <w:szCs w:val="18"/>
              </w:rPr>
              <w:t>35.46</w:t>
            </w:r>
          </w:p>
          <w:p>
            <w:pPr>
              <w:adjustRightInd w:val="0"/>
              <w:snapToGrid w:val="0"/>
              <w:jc w:val="center"/>
              <w:textAlignment w:val="baseline"/>
              <w:rPr>
                <w:sz w:val="18"/>
                <w:szCs w:val="18"/>
              </w:rPr>
            </w:pPr>
            <w:r>
              <w:rPr>
                <w:sz w:val="18"/>
                <w:szCs w:val="18"/>
              </w:rPr>
              <w:t>31.56</w:t>
            </w:r>
          </w:p>
          <w:p>
            <w:pPr>
              <w:adjustRightInd w:val="0"/>
              <w:snapToGrid w:val="0"/>
              <w:jc w:val="center"/>
              <w:textAlignment w:val="baseline"/>
              <w:rPr>
                <w:sz w:val="18"/>
                <w:szCs w:val="18"/>
              </w:rPr>
            </w:pPr>
            <w:r>
              <w:rPr>
                <w:sz w:val="18"/>
                <w:szCs w:val="18"/>
              </w:rPr>
              <w:t>19.29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restart"/>
            <w:vAlign w:val="center"/>
          </w:tcPr>
          <w:p>
            <w:pPr>
              <w:adjustRightInd w:val="0"/>
              <w:snapToGrid w:val="0"/>
              <w:jc w:val="center"/>
              <w:textAlignment w:val="baseline"/>
              <w:rPr>
                <w:sz w:val="18"/>
                <w:szCs w:val="18"/>
              </w:rPr>
            </w:pPr>
            <w:r>
              <w:rPr>
                <w:rFonts w:hint="eastAsia"/>
                <w:sz w:val="18"/>
                <w:szCs w:val="18"/>
              </w:rPr>
              <w:t>5</w:t>
            </w:r>
          </w:p>
        </w:tc>
        <w:tc>
          <w:tcPr>
            <w:tcW w:w="462" w:type="pct"/>
            <w:vMerge w:val="restar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高效拆解</w:t>
            </w: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拆车机</w:t>
            </w:r>
          </w:p>
        </w:tc>
        <w:tc>
          <w:tcPr>
            <w:tcW w:w="395" w:type="pct"/>
            <w:vAlign w:val="center"/>
          </w:tcPr>
          <w:p>
            <w:pPr>
              <w:adjustRightInd w:val="0"/>
              <w:snapToGrid w:val="0"/>
              <w:jc w:val="center"/>
              <w:textAlignment w:val="baseline"/>
              <w:rPr>
                <w:bCs/>
                <w:sz w:val="18"/>
                <w:szCs w:val="18"/>
              </w:rPr>
            </w:pPr>
            <w:r>
              <w:rPr>
                <w:bCs/>
                <w:sz w:val="18"/>
                <w:szCs w:val="18"/>
              </w:rPr>
              <w:t>95/1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-36</w:t>
            </w:r>
          </w:p>
        </w:tc>
        <w:tc>
          <w:tcPr>
            <w:tcW w:w="263" w:type="pct"/>
            <w:vAlign w:val="center"/>
          </w:tcPr>
          <w:p>
            <w:pPr>
              <w:adjustRightInd w:val="0"/>
              <w:snapToGrid w:val="0"/>
              <w:jc w:val="center"/>
              <w:textAlignment w:val="baseline"/>
              <w:rPr>
                <w:sz w:val="18"/>
                <w:szCs w:val="18"/>
              </w:rPr>
            </w:pPr>
            <w:r>
              <w:rPr>
                <w:sz w:val="18"/>
                <w:szCs w:val="18"/>
              </w:rPr>
              <w:t>73</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63</w:t>
            </w:r>
          </w:p>
          <w:p>
            <w:pPr>
              <w:adjustRightInd w:val="0"/>
              <w:snapToGrid w:val="0"/>
              <w:jc w:val="center"/>
              <w:textAlignment w:val="baseline"/>
              <w:rPr>
                <w:sz w:val="18"/>
                <w:szCs w:val="18"/>
              </w:rPr>
            </w:pPr>
            <w:r>
              <w:rPr>
                <w:sz w:val="18"/>
                <w:szCs w:val="18"/>
              </w:rPr>
              <w:t>73</w:t>
            </w:r>
          </w:p>
          <w:p>
            <w:pPr>
              <w:adjustRightInd w:val="0"/>
              <w:snapToGrid w:val="0"/>
              <w:jc w:val="center"/>
              <w:textAlignment w:val="baseline"/>
              <w:rPr>
                <w:sz w:val="18"/>
                <w:szCs w:val="18"/>
              </w:rPr>
            </w:pPr>
            <w:r>
              <w:rPr>
                <w:sz w:val="18"/>
                <w:szCs w:val="18"/>
              </w:rPr>
              <w:t>24</w:t>
            </w:r>
          </w:p>
          <w:p>
            <w:pPr>
              <w:adjustRightInd w:val="0"/>
              <w:snapToGrid w:val="0"/>
              <w:jc w:val="center"/>
              <w:textAlignment w:val="baseline"/>
              <w:rPr>
                <w:sz w:val="18"/>
                <w:szCs w:val="18"/>
              </w:rPr>
            </w:pPr>
            <w:r>
              <w:rPr>
                <w:sz w:val="18"/>
                <w:szCs w:val="18"/>
              </w:rPr>
              <w:t>150</w:t>
            </w:r>
          </w:p>
        </w:tc>
        <w:tc>
          <w:tcPr>
            <w:tcW w:w="473" w:type="pct"/>
            <w:vAlign w:val="center"/>
          </w:tcPr>
          <w:p>
            <w:pPr>
              <w:adjustRightInd w:val="0"/>
              <w:snapToGrid w:val="0"/>
              <w:jc w:val="center"/>
              <w:textAlignment w:val="baseline"/>
              <w:rPr>
                <w:sz w:val="18"/>
                <w:szCs w:val="18"/>
              </w:rPr>
            </w:pPr>
            <w:r>
              <w:rPr>
                <w:sz w:val="18"/>
                <w:szCs w:val="18"/>
              </w:rPr>
              <w:t>59.01</w:t>
            </w:r>
          </w:p>
          <w:p>
            <w:pPr>
              <w:adjustRightInd w:val="0"/>
              <w:snapToGrid w:val="0"/>
              <w:jc w:val="center"/>
              <w:textAlignment w:val="baseline"/>
              <w:rPr>
                <w:sz w:val="18"/>
                <w:szCs w:val="18"/>
              </w:rPr>
            </w:pPr>
            <w:r>
              <w:rPr>
                <w:sz w:val="18"/>
                <w:szCs w:val="18"/>
              </w:rPr>
              <w:t>57.73</w:t>
            </w:r>
          </w:p>
          <w:p>
            <w:pPr>
              <w:adjustRightInd w:val="0"/>
              <w:snapToGrid w:val="0"/>
              <w:jc w:val="center"/>
              <w:textAlignment w:val="baseline"/>
              <w:rPr>
                <w:sz w:val="18"/>
                <w:szCs w:val="18"/>
              </w:rPr>
            </w:pPr>
            <w:r>
              <w:rPr>
                <w:sz w:val="18"/>
                <w:szCs w:val="18"/>
              </w:rPr>
              <w:t>67.39</w:t>
            </w:r>
          </w:p>
          <w:p>
            <w:pPr>
              <w:adjustRightInd w:val="0"/>
              <w:snapToGrid w:val="0"/>
              <w:jc w:val="center"/>
              <w:textAlignment w:val="baseline"/>
              <w:rPr>
                <w:sz w:val="18"/>
                <w:szCs w:val="18"/>
              </w:rPr>
            </w:pPr>
            <w:r>
              <w:rPr>
                <w:sz w:val="18"/>
                <w:szCs w:val="18"/>
              </w:rPr>
              <w:t>51.47</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44.01</w:t>
            </w:r>
          </w:p>
          <w:p>
            <w:pPr>
              <w:adjustRightInd w:val="0"/>
              <w:snapToGrid w:val="0"/>
              <w:jc w:val="center"/>
              <w:textAlignment w:val="baseline"/>
              <w:rPr>
                <w:sz w:val="18"/>
                <w:szCs w:val="18"/>
              </w:rPr>
            </w:pPr>
            <w:r>
              <w:rPr>
                <w:sz w:val="18"/>
                <w:szCs w:val="18"/>
              </w:rPr>
              <w:t>42.73</w:t>
            </w:r>
          </w:p>
          <w:p>
            <w:pPr>
              <w:adjustRightInd w:val="0"/>
              <w:snapToGrid w:val="0"/>
              <w:jc w:val="center"/>
              <w:textAlignment w:val="baseline"/>
              <w:rPr>
                <w:sz w:val="18"/>
                <w:szCs w:val="18"/>
              </w:rPr>
            </w:pPr>
            <w:r>
              <w:rPr>
                <w:sz w:val="18"/>
                <w:szCs w:val="18"/>
              </w:rPr>
              <w:t>52.39</w:t>
            </w:r>
          </w:p>
          <w:p>
            <w:pPr>
              <w:adjustRightInd w:val="0"/>
              <w:snapToGrid w:val="0"/>
              <w:jc w:val="center"/>
              <w:textAlignment w:val="baseline"/>
              <w:rPr>
                <w:sz w:val="18"/>
                <w:szCs w:val="18"/>
              </w:rPr>
            </w:pPr>
            <w:r>
              <w:rPr>
                <w:sz w:val="18"/>
                <w:szCs w:val="18"/>
              </w:rPr>
              <w:t>36.47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continue"/>
            <w:vAlign w:val="center"/>
          </w:tcPr>
          <w:p>
            <w:pPr>
              <w:adjustRightInd w:val="0"/>
              <w:snapToGrid w:val="0"/>
              <w:jc w:val="center"/>
              <w:textAlignment w:val="baseline"/>
              <w:rPr>
                <w:sz w:val="18"/>
                <w:szCs w:val="18"/>
              </w:rPr>
            </w:pPr>
          </w:p>
        </w:tc>
        <w:tc>
          <w:tcPr>
            <w:tcW w:w="462" w:type="pct"/>
            <w:vMerge w:val="continue"/>
            <w:vAlign w:val="center"/>
          </w:tcPr>
          <w:p>
            <w:pPr>
              <w:adjustRightInd w:val="0"/>
              <w:snapToGrid w:val="0"/>
              <w:jc w:val="center"/>
              <w:textAlignment w:val="baseline"/>
              <w:rPr>
                <w:bCs/>
                <w:sz w:val="18"/>
                <w:szCs w:val="18"/>
              </w:rPr>
            </w:pP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鹰嘴剪+挖机主机</w:t>
            </w:r>
          </w:p>
        </w:tc>
        <w:tc>
          <w:tcPr>
            <w:tcW w:w="395" w:type="pct"/>
            <w:vAlign w:val="center"/>
          </w:tcPr>
          <w:p>
            <w:pPr>
              <w:adjustRightInd w:val="0"/>
              <w:snapToGrid w:val="0"/>
              <w:jc w:val="center"/>
              <w:textAlignment w:val="baseline"/>
              <w:rPr>
                <w:bCs/>
                <w:sz w:val="18"/>
                <w:szCs w:val="18"/>
              </w:rPr>
            </w:pPr>
            <w:r>
              <w:rPr>
                <w:bCs/>
                <w:sz w:val="18"/>
                <w:szCs w:val="18"/>
              </w:rPr>
              <w:t>95/1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-36</w:t>
            </w:r>
          </w:p>
        </w:tc>
        <w:tc>
          <w:tcPr>
            <w:tcW w:w="263" w:type="pct"/>
            <w:vAlign w:val="center"/>
          </w:tcPr>
          <w:p>
            <w:pPr>
              <w:adjustRightInd w:val="0"/>
              <w:snapToGrid w:val="0"/>
              <w:jc w:val="center"/>
              <w:textAlignment w:val="baseline"/>
              <w:rPr>
                <w:sz w:val="18"/>
                <w:szCs w:val="18"/>
              </w:rPr>
            </w:pPr>
            <w:r>
              <w:rPr>
                <w:sz w:val="18"/>
                <w:szCs w:val="18"/>
              </w:rPr>
              <w:t>68</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63</w:t>
            </w:r>
          </w:p>
          <w:p>
            <w:pPr>
              <w:adjustRightInd w:val="0"/>
              <w:snapToGrid w:val="0"/>
              <w:jc w:val="center"/>
              <w:textAlignment w:val="baseline"/>
              <w:rPr>
                <w:sz w:val="18"/>
                <w:szCs w:val="18"/>
              </w:rPr>
            </w:pPr>
            <w:r>
              <w:rPr>
                <w:sz w:val="18"/>
                <w:szCs w:val="18"/>
              </w:rPr>
              <w:t>69</w:t>
            </w:r>
          </w:p>
          <w:p>
            <w:pPr>
              <w:adjustRightInd w:val="0"/>
              <w:snapToGrid w:val="0"/>
              <w:jc w:val="center"/>
              <w:textAlignment w:val="baseline"/>
              <w:rPr>
                <w:sz w:val="18"/>
                <w:szCs w:val="18"/>
              </w:rPr>
            </w:pPr>
            <w:r>
              <w:rPr>
                <w:sz w:val="18"/>
                <w:szCs w:val="18"/>
              </w:rPr>
              <w:t>24</w:t>
            </w:r>
          </w:p>
          <w:p>
            <w:pPr>
              <w:adjustRightInd w:val="0"/>
              <w:snapToGrid w:val="0"/>
              <w:jc w:val="center"/>
              <w:textAlignment w:val="baseline"/>
              <w:rPr>
                <w:sz w:val="18"/>
                <w:szCs w:val="18"/>
              </w:rPr>
            </w:pPr>
            <w:r>
              <w:rPr>
                <w:sz w:val="18"/>
                <w:szCs w:val="18"/>
              </w:rPr>
              <w:t>154</w:t>
            </w:r>
          </w:p>
        </w:tc>
        <w:tc>
          <w:tcPr>
            <w:tcW w:w="473" w:type="pct"/>
            <w:vAlign w:val="center"/>
          </w:tcPr>
          <w:p>
            <w:pPr>
              <w:adjustRightInd w:val="0"/>
              <w:snapToGrid w:val="0"/>
              <w:jc w:val="center"/>
              <w:textAlignment w:val="baseline"/>
              <w:rPr>
                <w:sz w:val="18"/>
                <w:szCs w:val="18"/>
              </w:rPr>
            </w:pPr>
            <w:r>
              <w:rPr>
                <w:sz w:val="18"/>
                <w:szCs w:val="18"/>
              </w:rPr>
              <w:t>59.01</w:t>
            </w:r>
          </w:p>
          <w:p>
            <w:pPr>
              <w:adjustRightInd w:val="0"/>
              <w:snapToGrid w:val="0"/>
              <w:jc w:val="center"/>
              <w:textAlignment w:val="baseline"/>
              <w:rPr>
                <w:sz w:val="18"/>
                <w:szCs w:val="18"/>
              </w:rPr>
            </w:pPr>
            <w:r>
              <w:rPr>
                <w:sz w:val="18"/>
                <w:szCs w:val="18"/>
              </w:rPr>
              <w:t>58.22</w:t>
            </w:r>
          </w:p>
          <w:p>
            <w:pPr>
              <w:adjustRightInd w:val="0"/>
              <w:snapToGrid w:val="0"/>
              <w:jc w:val="center"/>
              <w:textAlignment w:val="baseline"/>
              <w:rPr>
                <w:sz w:val="18"/>
                <w:szCs w:val="18"/>
              </w:rPr>
            </w:pPr>
            <w:r>
              <w:rPr>
                <w:sz w:val="18"/>
                <w:szCs w:val="18"/>
              </w:rPr>
              <w:t>67.39</w:t>
            </w:r>
          </w:p>
          <w:p>
            <w:pPr>
              <w:adjustRightInd w:val="0"/>
              <w:snapToGrid w:val="0"/>
              <w:jc w:val="center"/>
              <w:textAlignment w:val="baseline"/>
              <w:rPr>
                <w:sz w:val="18"/>
                <w:szCs w:val="18"/>
              </w:rPr>
            </w:pPr>
            <w:r>
              <w:rPr>
                <w:sz w:val="18"/>
                <w:szCs w:val="18"/>
              </w:rPr>
              <w:t>51.24</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44.01</w:t>
            </w:r>
          </w:p>
          <w:p>
            <w:pPr>
              <w:adjustRightInd w:val="0"/>
              <w:snapToGrid w:val="0"/>
              <w:jc w:val="center"/>
              <w:textAlignment w:val="baseline"/>
              <w:rPr>
                <w:sz w:val="18"/>
                <w:szCs w:val="18"/>
              </w:rPr>
            </w:pPr>
            <w:r>
              <w:rPr>
                <w:sz w:val="18"/>
                <w:szCs w:val="18"/>
              </w:rPr>
              <w:t>43.22</w:t>
            </w:r>
          </w:p>
          <w:p>
            <w:pPr>
              <w:adjustRightInd w:val="0"/>
              <w:snapToGrid w:val="0"/>
              <w:jc w:val="center"/>
              <w:textAlignment w:val="baseline"/>
              <w:rPr>
                <w:sz w:val="18"/>
                <w:szCs w:val="18"/>
              </w:rPr>
            </w:pPr>
            <w:r>
              <w:rPr>
                <w:sz w:val="18"/>
                <w:szCs w:val="18"/>
              </w:rPr>
              <w:t>52.39</w:t>
            </w:r>
          </w:p>
          <w:p>
            <w:pPr>
              <w:adjustRightInd w:val="0"/>
              <w:snapToGrid w:val="0"/>
              <w:jc w:val="center"/>
              <w:textAlignment w:val="baseline"/>
              <w:rPr>
                <w:sz w:val="18"/>
                <w:szCs w:val="18"/>
              </w:rPr>
            </w:pPr>
            <w:r>
              <w:rPr>
                <w:sz w:val="18"/>
                <w:szCs w:val="18"/>
              </w:rPr>
              <w:t>36.24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Merge w:val="continue"/>
            <w:vAlign w:val="center"/>
          </w:tcPr>
          <w:p>
            <w:pPr>
              <w:adjustRightInd w:val="0"/>
              <w:snapToGrid w:val="0"/>
              <w:jc w:val="center"/>
              <w:textAlignment w:val="baseline"/>
              <w:rPr>
                <w:sz w:val="18"/>
                <w:szCs w:val="18"/>
              </w:rPr>
            </w:pPr>
          </w:p>
        </w:tc>
        <w:tc>
          <w:tcPr>
            <w:tcW w:w="462" w:type="pct"/>
            <w:vMerge w:val="continue"/>
            <w:vAlign w:val="center"/>
          </w:tcPr>
          <w:p>
            <w:pPr>
              <w:adjustRightInd w:val="0"/>
              <w:snapToGrid w:val="0"/>
              <w:jc w:val="center"/>
              <w:textAlignment w:val="baseline"/>
              <w:rPr>
                <w:bCs/>
                <w:sz w:val="18"/>
                <w:szCs w:val="18"/>
              </w:rPr>
            </w:pPr>
          </w:p>
        </w:tc>
        <w:tc>
          <w:tcPr>
            <w:tcW w:w="650"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等离子切割机</w:t>
            </w:r>
          </w:p>
        </w:tc>
        <w:tc>
          <w:tcPr>
            <w:tcW w:w="395" w:type="pct"/>
            <w:vAlign w:val="center"/>
          </w:tcPr>
          <w:p>
            <w:pPr>
              <w:adjustRightInd w:val="0"/>
              <w:snapToGrid w:val="0"/>
              <w:jc w:val="center"/>
              <w:textAlignment w:val="baseline"/>
              <w:rPr>
                <w:bCs/>
                <w:sz w:val="18"/>
                <w:szCs w:val="18"/>
              </w:rPr>
            </w:pPr>
            <w:r>
              <w:rPr>
                <w:bCs/>
                <w:sz w:val="18"/>
                <w:szCs w:val="18"/>
              </w:rPr>
              <w:t>95/1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-36</w:t>
            </w:r>
          </w:p>
        </w:tc>
        <w:tc>
          <w:tcPr>
            <w:tcW w:w="263" w:type="pct"/>
            <w:vAlign w:val="center"/>
          </w:tcPr>
          <w:p>
            <w:pPr>
              <w:adjustRightInd w:val="0"/>
              <w:snapToGrid w:val="0"/>
              <w:jc w:val="center"/>
              <w:textAlignment w:val="baseline"/>
              <w:rPr>
                <w:sz w:val="18"/>
                <w:szCs w:val="18"/>
              </w:rPr>
            </w:pPr>
            <w:r>
              <w:rPr>
                <w:sz w:val="18"/>
                <w:szCs w:val="18"/>
              </w:rPr>
              <w:t>62</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63</w:t>
            </w:r>
          </w:p>
          <w:p>
            <w:pPr>
              <w:adjustRightInd w:val="0"/>
              <w:snapToGrid w:val="0"/>
              <w:jc w:val="center"/>
              <w:textAlignment w:val="baseline"/>
              <w:rPr>
                <w:sz w:val="18"/>
                <w:szCs w:val="18"/>
              </w:rPr>
            </w:pPr>
            <w:r>
              <w:rPr>
                <w:sz w:val="18"/>
                <w:szCs w:val="18"/>
              </w:rPr>
              <w:t>65</w:t>
            </w:r>
          </w:p>
          <w:p>
            <w:pPr>
              <w:adjustRightInd w:val="0"/>
              <w:snapToGrid w:val="0"/>
              <w:jc w:val="center"/>
              <w:textAlignment w:val="baseline"/>
              <w:rPr>
                <w:sz w:val="18"/>
                <w:szCs w:val="18"/>
              </w:rPr>
            </w:pPr>
            <w:r>
              <w:rPr>
                <w:sz w:val="18"/>
                <w:szCs w:val="18"/>
              </w:rPr>
              <w:t>24</w:t>
            </w:r>
          </w:p>
          <w:p>
            <w:pPr>
              <w:adjustRightInd w:val="0"/>
              <w:snapToGrid w:val="0"/>
              <w:jc w:val="center"/>
              <w:textAlignment w:val="baseline"/>
              <w:rPr>
                <w:sz w:val="18"/>
                <w:szCs w:val="18"/>
              </w:rPr>
            </w:pPr>
            <w:r>
              <w:rPr>
                <w:sz w:val="18"/>
                <w:szCs w:val="18"/>
              </w:rPr>
              <w:t>158</w:t>
            </w:r>
          </w:p>
        </w:tc>
        <w:tc>
          <w:tcPr>
            <w:tcW w:w="473" w:type="pct"/>
            <w:vAlign w:val="center"/>
          </w:tcPr>
          <w:p>
            <w:pPr>
              <w:adjustRightInd w:val="0"/>
              <w:snapToGrid w:val="0"/>
              <w:jc w:val="center"/>
              <w:textAlignment w:val="baseline"/>
              <w:rPr>
                <w:sz w:val="18"/>
                <w:szCs w:val="18"/>
              </w:rPr>
            </w:pPr>
            <w:r>
              <w:rPr>
                <w:sz w:val="18"/>
                <w:szCs w:val="18"/>
              </w:rPr>
              <w:t>59.01</w:t>
            </w:r>
          </w:p>
          <w:p>
            <w:pPr>
              <w:adjustRightInd w:val="0"/>
              <w:snapToGrid w:val="0"/>
              <w:jc w:val="center"/>
              <w:textAlignment w:val="baseline"/>
              <w:rPr>
                <w:sz w:val="18"/>
                <w:szCs w:val="18"/>
              </w:rPr>
            </w:pPr>
            <w:r>
              <w:rPr>
                <w:sz w:val="18"/>
                <w:szCs w:val="18"/>
              </w:rPr>
              <w:t>58.74</w:t>
            </w:r>
          </w:p>
          <w:p>
            <w:pPr>
              <w:adjustRightInd w:val="0"/>
              <w:snapToGrid w:val="0"/>
              <w:jc w:val="center"/>
              <w:textAlignment w:val="baseline"/>
              <w:rPr>
                <w:sz w:val="18"/>
                <w:szCs w:val="18"/>
              </w:rPr>
            </w:pPr>
            <w:r>
              <w:rPr>
                <w:sz w:val="18"/>
                <w:szCs w:val="18"/>
              </w:rPr>
              <w:t>67.39</w:t>
            </w:r>
          </w:p>
          <w:p>
            <w:pPr>
              <w:adjustRightInd w:val="0"/>
              <w:snapToGrid w:val="0"/>
              <w:jc w:val="center"/>
              <w:textAlignment w:val="baseline"/>
              <w:rPr>
                <w:sz w:val="18"/>
                <w:szCs w:val="18"/>
              </w:rPr>
            </w:pPr>
            <w:r>
              <w:rPr>
                <w:sz w:val="18"/>
                <w:szCs w:val="18"/>
              </w:rPr>
              <w:t>51.02</w:t>
            </w:r>
          </w:p>
        </w:tc>
        <w:tc>
          <w:tcPr>
            <w:tcW w:w="368" w:type="pct"/>
            <w:vAlign w:val="center"/>
          </w:tcPr>
          <w:p>
            <w:pPr>
              <w:adjustRightInd w:val="0"/>
              <w:snapToGrid w:val="0"/>
              <w:jc w:val="center"/>
              <w:textAlignment w:val="baseline"/>
              <w:rPr>
                <w:sz w:val="18"/>
                <w:szCs w:val="18"/>
              </w:rPr>
            </w:pPr>
            <w:r>
              <w:rPr>
                <w:rFonts w:hint="eastAsia"/>
                <w:sz w:val="18"/>
                <w:szCs w:val="18"/>
              </w:rPr>
              <w:t>3h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44.01</w:t>
            </w:r>
          </w:p>
          <w:p>
            <w:pPr>
              <w:adjustRightInd w:val="0"/>
              <w:snapToGrid w:val="0"/>
              <w:jc w:val="center"/>
              <w:textAlignment w:val="baseline"/>
              <w:rPr>
                <w:sz w:val="18"/>
                <w:szCs w:val="18"/>
              </w:rPr>
            </w:pPr>
            <w:r>
              <w:rPr>
                <w:sz w:val="18"/>
                <w:szCs w:val="18"/>
              </w:rPr>
              <w:t>43.74</w:t>
            </w:r>
          </w:p>
          <w:p>
            <w:pPr>
              <w:adjustRightInd w:val="0"/>
              <w:snapToGrid w:val="0"/>
              <w:jc w:val="center"/>
              <w:textAlignment w:val="baseline"/>
              <w:rPr>
                <w:sz w:val="18"/>
                <w:szCs w:val="18"/>
              </w:rPr>
            </w:pPr>
            <w:r>
              <w:rPr>
                <w:sz w:val="18"/>
                <w:szCs w:val="18"/>
              </w:rPr>
              <w:t>52.39</w:t>
            </w:r>
          </w:p>
          <w:p>
            <w:pPr>
              <w:adjustRightInd w:val="0"/>
              <w:snapToGrid w:val="0"/>
              <w:jc w:val="center"/>
              <w:textAlignment w:val="baseline"/>
              <w:rPr>
                <w:sz w:val="18"/>
                <w:szCs w:val="18"/>
              </w:rPr>
            </w:pPr>
            <w:r>
              <w:rPr>
                <w:sz w:val="18"/>
                <w:szCs w:val="18"/>
              </w:rPr>
              <w:t>36.02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Align w:val="center"/>
          </w:tcPr>
          <w:p>
            <w:pPr>
              <w:adjustRightInd w:val="0"/>
              <w:snapToGrid w:val="0"/>
              <w:jc w:val="center"/>
              <w:textAlignment w:val="baseline"/>
              <w:rPr>
                <w:sz w:val="18"/>
                <w:szCs w:val="18"/>
              </w:rPr>
            </w:pPr>
            <w:r>
              <w:rPr>
                <w:rFonts w:hint="eastAsia"/>
                <w:sz w:val="18"/>
                <w:szCs w:val="18"/>
              </w:rPr>
              <w:t>6</w:t>
            </w:r>
          </w:p>
        </w:tc>
        <w:tc>
          <w:tcPr>
            <w:tcW w:w="462"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气囊引爆区</w:t>
            </w:r>
          </w:p>
        </w:tc>
        <w:tc>
          <w:tcPr>
            <w:tcW w:w="650" w:type="pct"/>
            <w:vAlign w:val="center"/>
          </w:tcPr>
          <w:p>
            <w:pPr>
              <w:adjustRightInd w:val="0"/>
              <w:snapToGrid w:val="0"/>
              <w:jc w:val="center"/>
              <w:textAlignment w:val="baseline"/>
              <w:rPr>
                <w:rFonts w:ascii="宋体" w:hAnsi="宋体" w:cs="宋体"/>
                <w:kern w:val="0"/>
                <w:sz w:val="18"/>
                <w:szCs w:val="18"/>
                <w:lang w:bidi="ar"/>
              </w:rPr>
            </w:pPr>
            <w:r>
              <w:rPr>
                <w:rFonts w:hint="eastAsia" w:ascii="宋体" w:hAnsi="宋体" w:cs="宋体"/>
                <w:kern w:val="0"/>
                <w:sz w:val="18"/>
                <w:szCs w:val="18"/>
                <w:lang w:bidi="ar"/>
              </w:rPr>
              <w:t>气囊引爆箱</w:t>
            </w:r>
          </w:p>
        </w:tc>
        <w:tc>
          <w:tcPr>
            <w:tcW w:w="395" w:type="pct"/>
            <w:vAlign w:val="center"/>
          </w:tcPr>
          <w:p>
            <w:pPr>
              <w:adjustRightInd w:val="0"/>
              <w:snapToGrid w:val="0"/>
              <w:jc w:val="center"/>
              <w:textAlignment w:val="baseline"/>
              <w:rPr>
                <w:bCs/>
                <w:sz w:val="18"/>
                <w:szCs w:val="18"/>
              </w:rPr>
            </w:pPr>
            <w:r>
              <w:rPr>
                <w:rFonts w:hint="eastAsia"/>
                <w:bCs/>
                <w:sz w:val="18"/>
                <w:szCs w:val="18"/>
              </w:rPr>
              <w:t>1</w:t>
            </w:r>
            <w:r>
              <w:rPr>
                <w:bCs/>
                <w:sz w:val="18"/>
                <w:szCs w:val="18"/>
              </w:rPr>
              <w:t>00/1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-29</w:t>
            </w:r>
          </w:p>
        </w:tc>
        <w:tc>
          <w:tcPr>
            <w:tcW w:w="263" w:type="pct"/>
            <w:vAlign w:val="center"/>
          </w:tcPr>
          <w:p>
            <w:pPr>
              <w:adjustRightInd w:val="0"/>
              <w:snapToGrid w:val="0"/>
              <w:jc w:val="center"/>
              <w:textAlignment w:val="baseline"/>
              <w:rPr>
                <w:sz w:val="18"/>
                <w:szCs w:val="18"/>
              </w:rPr>
            </w:pPr>
            <w:r>
              <w:rPr>
                <w:sz w:val="18"/>
                <w:szCs w:val="18"/>
              </w:rPr>
              <w:t>36</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46</w:t>
            </w:r>
          </w:p>
          <w:p>
            <w:pPr>
              <w:adjustRightInd w:val="0"/>
              <w:snapToGrid w:val="0"/>
              <w:jc w:val="center"/>
              <w:textAlignment w:val="baseline"/>
              <w:rPr>
                <w:sz w:val="18"/>
                <w:szCs w:val="18"/>
              </w:rPr>
            </w:pPr>
            <w:r>
              <w:rPr>
                <w:sz w:val="18"/>
                <w:szCs w:val="18"/>
              </w:rPr>
              <w:t>35</w:t>
            </w:r>
          </w:p>
          <w:p>
            <w:pPr>
              <w:adjustRightInd w:val="0"/>
              <w:snapToGrid w:val="0"/>
              <w:jc w:val="center"/>
              <w:textAlignment w:val="baseline"/>
              <w:rPr>
                <w:sz w:val="18"/>
                <w:szCs w:val="18"/>
              </w:rPr>
            </w:pPr>
            <w:r>
              <w:rPr>
                <w:sz w:val="18"/>
                <w:szCs w:val="18"/>
              </w:rPr>
              <w:t>41</w:t>
            </w:r>
          </w:p>
          <w:p>
            <w:pPr>
              <w:adjustRightInd w:val="0"/>
              <w:snapToGrid w:val="0"/>
              <w:jc w:val="center"/>
              <w:textAlignment w:val="baseline"/>
              <w:rPr>
                <w:sz w:val="18"/>
                <w:szCs w:val="18"/>
              </w:rPr>
            </w:pPr>
            <w:r>
              <w:rPr>
                <w:sz w:val="18"/>
                <w:szCs w:val="18"/>
              </w:rPr>
              <w:t>188</w:t>
            </w:r>
          </w:p>
        </w:tc>
        <w:tc>
          <w:tcPr>
            <w:tcW w:w="473" w:type="pct"/>
            <w:vAlign w:val="center"/>
          </w:tcPr>
          <w:p>
            <w:pPr>
              <w:adjustRightInd w:val="0"/>
              <w:snapToGrid w:val="0"/>
              <w:jc w:val="center"/>
              <w:textAlignment w:val="baseline"/>
              <w:rPr>
                <w:sz w:val="18"/>
                <w:szCs w:val="18"/>
              </w:rPr>
            </w:pPr>
            <w:r>
              <w:rPr>
                <w:sz w:val="18"/>
                <w:szCs w:val="18"/>
              </w:rPr>
              <w:t>66.74</w:t>
            </w:r>
          </w:p>
          <w:p>
            <w:pPr>
              <w:adjustRightInd w:val="0"/>
              <w:snapToGrid w:val="0"/>
              <w:jc w:val="center"/>
              <w:textAlignment w:val="baseline"/>
              <w:rPr>
                <w:sz w:val="18"/>
                <w:szCs w:val="18"/>
              </w:rPr>
            </w:pPr>
            <w:r>
              <w:rPr>
                <w:sz w:val="18"/>
                <w:szCs w:val="18"/>
              </w:rPr>
              <w:t>69.11</w:t>
            </w:r>
          </w:p>
          <w:p>
            <w:pPr>
              <w:adjustRightInd w:val="0"/>
              <w:snapToGrid w:val="0"/>
              <w:jc w:val="center"/>
              <w:textAlignment w:val="baseline"/>
              <w:rPr>
                <w:sz w:val="18"/>
                <w:szCs w:val="18"/>
              </w:rPr>
            </w:pPr>
            <w:r>
              <w:rPr>
                <w:sz w:val="18"/>
                <w:szCs w:val="18"/>
              </w:rPr>
              <w:t>67.74</w:t>
            </w:r>
          </w:p>
          <w:p>
            <w:pPr>
              <w:adjustRightInd w:val="0"/>
              <w:snapToGrid w:val="0"/>
              <w:jc w:val="center"/>
              <w:textAlignment w:val="baseline"/>
              <w:rPr>
                <w:sz w:val="18"/>
                <w:szCs w:val="18"/>
              </w:rPr>
            </w:pPr>
            <w:r>
              <w:rPr>
                <w:sz w:val="18"/>
                <w:szCs w:val="18"/>
              </w:rPr>
              <w:t>54.51</w:t>
            </w:r>
          </w:p>
        </w:tc>
        <w:tc>
          <w:tcPr>
            <w:tcW w:w="368" w:type="pct"/>
            <w:vAlign w:val="center"/>
          </w:tcPr>
          <w:p>
            <w:pPr>
              <w:adjustRightInd w:val="0"/>
              <w:snapToGrid w:val="0"/>
              <w:jc w:val="center"/>
              <w:textAlignment w:val="baseline"/>
              <w:rPr>
                <w:sz w:val="18"/>
                <w:szCs w:val="18"/>
              </w:rPr>
            </w:pPr>
            <w:r>
              <w:rPr>
                <w:rFonts w:hint="eastAsia"/>
                <w:sz w:val="18"/>
                <w:szCs w:val="18"/>
              </w:rPr>
              <w:t>5</w:t>
            </w:r>
            <w:r>
              <w:rPr>
                <w:sz w:val="18"/>
                <w:szCs w:val="18"/>
              </w:rPr>
              <w:t>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51.74</w:t>
            </w:r>
          </w:p>
          <w:p>
            <w:pPr>
              <w:adjustRightInd w:val="0"/>
              <w:snapToGrid w:val="0"/>
              <w:jc w:val="center"/>
              <w:textAlignment w:val="baseline"/>
              <w:rPr>
                <w:sz w:val="18"/>
                <w:szCs w:val="18"/>
              </w:rPr>
            </w:pPr>
            <w:r>
              <w:rPr>
                <w:sz w:val="18"/>
                <w:szCs w:val="18"/>
              </w:rPr>
              <w:t>54.11</w:t>
            </w:r>
          </w:p>
          <w:p>
            <w:pPr>
              <w:adjustRightInd w:val="0"/>
              <w:snapToGrid w:val="0"/>
              <w:jc w:val="center"/>
              <w:textAlignment w:val="baseline"/>
              <w:rPr>
                <w:sz w:val="18"/>
                <w:szCs w:val="18"/>
              </w:rPr>
            </w:pPr>
            <w:r>
              <w:rPr>
                <w:sz w:val="18"/>
                <w:szCs w:val="18"/>
              </w:rPr>
              <w:t>52.74</w:t>
            </w:r>
          </w:p>
          <w:p>
            <w:pPr>
              <w:adjustRightInd w:val="0"/>
              <w:snapToGrid w:val="0"/>
              <w:jc w:val="center"/>
              <w:textAlignment w:val="baseline"/>
              <w:rPr>
                <w:sz w:val="18"/>
                <w:szCs w:val="18"/>
              </w:rPr>
            </w:pPr>
            <w:r>
              <w:rPr>
                <w:sz w:val="18"/>
                <w:szCs w:val="18"/>
              </w:rPr>
              <w:t>39.51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Align w:val="center"/>
          </w:tcPr>
          <w:p>
            <w:pPr>
              <w:adjustRightInd w:val="0"/>
              <w:snapToGrid w:val="0"/>
              <w:jc w:val="center"/>
              <w:textAlignment w:val="baseline"/>
              <w:rPr>
                <w:sz w:val="18"/>
                <w:szCs w:val="18"/>
              </w:rPr>
            </w:pPr>
            <w:r>
              <w:rPr>
                <w:rFonts w:hint="eastAsia"/>
                <w:sz w:val="18"/>
                <w:szCs w:val="18"/>
              </w:rPr>
              <w:t>7</w:t>
            </w:r>
          </w:p>
        </w:tc>
        <w:tc>
          <w:tcPr>
            <w:tcW w:w="462" w:type="pct"/>
            <w:vAlign w:val="center"/>
          </w:tcPr>
          <w:p>
            <w:pPr>
              <w:adjustRightInd w:val="0"/>
              <w:snapToGrid w:val="0"/>
              <w:jc w:val="center"/>
              <w:textAlignment w:val="baseline"/>
              <w:rPr>
                <w:bCs/>
                <w:sz w:val="18"/>
                <w:szCs w:val="18"/>
              </w:rPr>
            </w:pPr>
            <w:r>
              <w:rPr>
                <w:rFonts w:hint="eastAsia" w:ascii="宋体" w:hAnsi="宋体" w:cs="宋体"/>
                <w:kern w:val="0"/>
                <w:sz w:val="18"/>
                <w:szCs w:val="18"/>
                <w:lang w:bidi="ar"/>
              </w:rPr>
              <w:t>打包区</w:t>
            </w:r>
          </w:p>
        </w:tc>
        <w:tc>
          <w:tcPr>
            <w:tcW w:w="650" w:type="pct"/>
            <w:vAlign w:val="center"/>
          </w:tcPr>
          <w:p>
            <w:pPr>
              <w:adjustRightInd w:val="0"/>
              <w:snapToGrid w:val="0"/>
              <w:jc w:val="center"/>
              <w:textAlignment w:val="baseline"/>
              <w:rPr>
                <w:rFonts w:ascii="宋体" w:hAnsi="宋体" w:cs="宋体"/>
                <w:kern w:val="0"/>
                <w:sz w:val="18"/>
                <w:szCs w:val="18"/>
                <w:lang w:bidi="ar"/>
              </w:rPr>
            </w:pPr>
            <w:r>
              <w:rPr>
                <w:rFonts w:hint="eastAsia" w:ascii="宋体" w:hAnsi="宋体" w:cs="宋体"/>
                <w:kern w:val="0"/>
                <w:sz w:val="18"/>
                <w:szCs w:val="18"/>
                <w:lang w:bidi="ar"/>
              </w:rPr>
              <w:t>打包机</w:t>
            </w:r>
          </w:p>
        </w:tc>
        <w:tc>
          <w:tcPr>
            <w:tcW w:w="395" w:type="pct"/>
            <w:vAlign w:val="center"/>
          </w:tcPr>
          <w:p>
            <w:pPr>
              <w:adjustRightInd w:val="0"/>
              <w:snapToGrid w:val="0"/>
              <w:jc w:val="center"/>
              <w:textAlignment w:val="baseline"/>
              <w:rPr>
                <w:bCs/>
                <w:sz w:val="18"/>
                <w:szCs w:val="18"/>
              </w:rPr>
            </w:pPr>
            <w:r>
              <w:rPr>
                <w:rFonts w:hint="eastAsia"/>
                <w:bCs/>
                <w:sz w:val="18"/>
                <w:szCs w:val="18"/>
              </w:rPr>
              <w:t>8</w:t>
            </w:r>
            <w:r>
              <w:rPr>
                <w:bCs/>
                <w:sz w:val="18"/>
                <w:szCs w:val="18"/>
              </w:rPr>
              <w:t>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-11</w:t>
            </w:r>
          </w:p>
        </w:tc>
        <w:tc>
          <w:tcPr>
            <w:tcW w:w="263" w:type="pct"/>
            <w:vAlign w:val="center"/>
          </w:tcPr>
          <w:p>
            <w:pPr>
              <w:adjustRightInd w:val="0"/>
              <w:snapToGrid w:val="0"/>
              <w:jc w:val="center"/>
              <w:textAlignment w:val="baseline"/>
              <w:rPr>
                <w:sz w:val="18"/>
                <w:szCs w:val="18"/>
              </w:rPr>
            </w:pPr>
            <w:r>
              <w:rPr>
                <w:sz w:val="18"/>
                <w:szCs w:val="18"/>
              </w:rPr>
              <w:t>150</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60</w:t>
            </w:r>
          </w:p>
          <w:p>
            <w:pPr>
              <w:adjustRightInd w:val="0"/>
              <w:snapToGrid w:val="0"/>
              <w:jc w:val="center"/>
              <w:textAlignment w:val="baseline"/>
              <w:rPr>
                <w:sz w:val="18"/>
                <w:szCs w:val="18"/>
              </w:rPr>
            </w:pPr>
            <w:r>
              <w:rPr>
                <w:sz w:val="18"/>
                <w:szCs w:val="18"/>
              </w:rPr>
              <w:t>140</w:t>
            </w:r>
          </w:p>
          <w:p>
            <w:pPr>
              <w:adjustRightInd w:val="0"/>
              <w:snapToGrid w:val="0"/>
              <w:jc w:val="center"/>
              <w:textAlignment w:val="baseline"/>
              <w:rPr>
                <w:sz w:val="18"/>
                <w:szCs w:val="18"/>
              </w:rPr>
            </w:pPr>
            <w:r>
              <w:rPr>
                <w:sz w:val="18"/>
                <w:szCs w:val="18"/>
              </w:rPr>
              <w:t>27</w:t>
            </w:r>
          </w:p>
          <w:p>
            <w:pPr>
              <w:adjustRightInd w:val="0"/>
              <w:snapToGrid w:val="0"/>
              <w:jc w:val="center"/>
              <w:textAlignment w:val="baseline"/>
              <w:rPr>
                <w:sz w:val="18"/>
                <w:szCs w:val="18"/>
              </w:rPr>
            </w:pPr>
            <w:r>
              <w:rPr>
                <w:sz w:val="18"/>
                <w:szCs w:val="18"/>
              </w:rPr>
              <w:t>83</w:t>
            </w:r>
          </w:p>
        </w:tc>
        <w:tc>
          <w:tcPr>
            <w:tcW w:w="473" w:type="pct"/>
            <w:vAlign w:val="center"/>
          </w:tcPr>
          <w:p>
            <w:pPr>
              <w:adjustRightInd w:val="0"/>
              <w:snapToGrid w:val="0"/>
              <w:jc w:val="center"/>
              <w:textAlignment w:val="baseline"/>
              <w:rPr>
                <w:sz w:val="18"/>
                <w:szCs w:val="18"/>
              </w:rPr>
            </w:pPr>
            <w:r>
              <w:rPr>
                <w:sz w:val="18"/>
                <w:szCs w:val="18"/>
              </w:rPr>
              <w:t>49.43</w:t>
            </w:r>
          </w:p>
          <w:p>
            <w:pPr>
              <w:adjustRightInd w:val="0"/>
              <w:snapToGrid w:val="0"/>
              <w:jc w:val="center"/>
              <w:textAlignment w:val="baseline"/>
              <w:rPr>
                <w:sz w:val="18"/>
                <w:szCs w:val="18"/>
              </w:rPr>
            </w:pPr>
            <w:r>
              <w:rPr>
                <w:sz w:val="18"/>
                <w:szCs w:val="18"/>
              </w:rPr>
              <w:t>42.07</w:t>
            </w:r>
          </w:p>
          <w:p>
            <w:pPr>
              <w:adjustRightInd w:val="0"/>
              <w:snapToGrid w:val="0"/>
              <w:jc w:val="center"/>
              <w:textAlignment w:val="baseline"/>
              <w:rPr>
                <w:sz w:val="18"/>
                <w:szCs w:val="18"/>
              </w:rPr>
            </w:pPr>
            <w:r>
              <w:rPr>
                <w:sz w:val="18"/>
                <w:szCs w:val="18"/>
              </w:rPr>
              <w:t>56.37</w:t>
            </w:r>
          </w:p>
          <w:p>
            <w:pPr>
              <w:adjustRightInd w:val="0"/>
              <w:snapToGrid w:val="0"/>
              <w:jc w:val="center"/>
              <w:textAlignment w:val="baseline"/>
              <w:rPr>
                <w:sz w:val="18"/>
                <w:szCs w:val="18"/>
              </w:rPr>
            </w:pPr>
            <w:r>
              <w:rPr>
                <w:sz w:val="18"/>
                <w:szCs w:val="18"/>
              </w:rPr>
              <w:t>46.61</w:t>
            </w:r>
          </w:p>
        </w:tc>
        <w:tc>
          <w:tcPr>
            <w:tcW w:w="368" w:type="pct"/>
            <w:vAlign w:val="center"/>
          </w:tcPr>
          <w:p>
            <w:pPr>
              <w:adjustRightInd w:val="0"/>
              <w:snapToGrid w:val="0"/>
              <w:jc w:val="center"/>
              <w:textAlignment w:val="baseline"/>
              <w:rPr>
                <w:sz w:val="18"/>
                <w:szCs w:val="18"/>
              </w:rPr>
            </w:pPr>
            <w:r>
              <w:rPr>
                <w:rFonts w:hint="eastAsia"/>
                <w:sz w:val="18"/>
                <w:szCs w:val="18"/>
              </w:rPr>
              <w:t>5</w:t>
            </w:r>
            <w:r>
              <w:rPr>
                <w:sz w:val="18"/>
                <w:szCs w:val="18"/>
              </w:rPr>
              <w:t>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34.43</w:t>
            </w:r>
          </w:p>
          <w:p>
            <w:pPr>
              <w:adjustRightInd w:val="0"/>
              <w:snapToGrid w:val="0"/>
              <w:jc w:val="center"/>
              <w:textAlignment w:val="baseline"/>
              <w:rPr>
                <w:sz w:val="18"/>
                <w:szCs w:val="18"/>
              </w:rPr>
            </w:pPr>
            <w:r>
              <w:rPr>
                <w:sz w:val="18"/>
                <w:szCs w:val="18"/>
              </w:rPr>
              <w:t>27.07</w:t>
            </w:r>
          </w:p>
          <w:p>
            <w:pPr>
              <w:adjustRightInd w:val="0"/>
              <w:snapToGrid w:val="0"/>
              <w:jc w:val="center"/>
              <w:textAlignment w:val="baseline"/>
              <w:rPr>
                <w:sz w:val="18"/>
                <w:szCs w:val="18"/>
              </w:rPr>
            </w:pPr>
            <w:r>
              <w:rPr>
                <w:sz w:val="18"/>
                <w:szCs w:val="18"/>
              </w:rPr>
              <w:t>41.37</w:t>
            </w:r>
          </w:p>
          <w:p>
            <w:pPr>
              <w:adjustRightInd w:val="0"/>
              <w:snapToGrid w:val="0"/>
              <w:jc w:val="center"/>
              <w:textAlignment w:val="baseline"/>
              <w:rPr>
                <w:sz w:val="18"/>
                <w:szCs w:val="18"/>
              </w:rPr>
            </w:pPr>
            <w:r>
              <w:rPr>
                <w:sz w:val="18"/>
                <w:szCs w:val="18"/>
              </w:rPr>
              <w:t>31.61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 w:hRule="atLeast"/>
          <w:jc w:val="center"/>
        </w:trPr>
        <w:tc>
          <w:tcPr>
            <w:tcW w:w="192" w:type="pct"/>
            <w:vAlign w:val="center"/>
          </w:tcPr>
          <w:p>
            <w:pPr>
              <w:adjustRightInd w:val="0"/>
              <w:snapToGrid w:val="0"/>
              <w:jc w:val="center"/>
              <w:textAlignment w:val="baseline"/>
              <w:rPr>
                <w:sz w:val="18"/>
                <w:szCs w:val="18"/>
              </w:rPr>
            </w:pPr>
            <w:r>
              <w:rPr>
                <w:rFonts w:hint="eastAsia"/>
                <w:sz w:val="18"/>
                <w:szCs w:val="18"/>
              </w:rPr>
              <w:t>8</w:t>
            </w:r>
          </w:p>
        </w:tc>
        <w:tc>
          <w:tcPr>
            <w:tcW w:w="462" w:type="pct"/>
            <w:vAlign w:val="center"/>
          </w:tcPr>
          <w:p>
            <w:pPr>
              <w:adjustRightInd w:val="0"/>
              <w:snapToGrid w:val="0"/>
              <w:jc w:val="center"/>
              <w:textAlignment w:val="baseline"/>
              <w:rPr>
                <w:bCs/>
                <w:sz w:val="18"/>
                <w:szCs w:val="18"/>
              </w:rPr>
            </w:pPr>
            <w:r>
              <w:rPr>
                <w:rFonts w:hint="eastAsia"/>
                <w:bCs/>
                <w:sz w:val="18"/>
                <w:szCs w:val="18"/>
              </w:rPr>
              <w:t>破碎</w:t>
            </w:r>
          </w:p>
        </w:tc>
        <w:tc>
          <w:tcPr>
            <w:tcW w:w="650" w:type="pct"/>
            <w:vAlign w:val="center"/>
          </w:tcPr>
          <w:p>
            <w:pPr>
              <w:adjustRightInd w:val="0"/>
              <w:snapToGrid w:val="0"/>
              <w:jc w:val="center"/>
              <w:textAlignment w:val="baseline"/>
              <w:rPr>
                <w:rFonts w:ascii="宋体" w:hAnsi="宋体" w:cs="宋体"/>
                <w:kern w:val="0"/>
                <w:sz w:val="18"/>
                <w:szCs w:val="18"/>
                <w:lang w:bidi="ar"/>
              </w:rPr>
            </w:pPr>
            <w:r>
              <w:rPr>
                <w:rFonts w:hint="eastAsia"/>
                <w:bCs/>
                <w:sz w:val="18"/>
                <w:szCs w:val="18"/>
              </w:rPr>
              <w:t>废钢破碎生产机</w:t>
            </w:r>
          </w:p>
        </w:tc>
        <w:tc>
          <w:tcPr>
            <w:tcW w:w="395" w:type="pct"/>
            <w:vAlign w:val="center"/>
          </w:tcPr>
          <w:p>
            <w:pPr>
              <w:adjustRightInd w:val="0"/>
              <w:snapToGrid w:val="0"/>
              <w:jc w:val="center"/>
              <w:textAlignment w:val="baseline"/>
              <w:rPr>
                <w:bCs/>
                <w:sz w:val="18"/>
                <w:szCs w:val="18"/>
              </w:rPr>
            </w:pPr>
            <w:r>
              <w:rPr>
                <w:bCs/>
                <w:sz w:val="18"/>
                <w:szCs w:val="18"/>
              </w:rPr>
              <w:t>95/1</w:t>
            </w:r>
          </w:p>
        </w:tc>
        <w:tc>
          <w:tcPr>
            <w:tcW w:w="255" w:type="pct"/>
            <w:vMerge w:val="continue"/>
            <w:vAlign w:val="center"/>
          </w:tcPr>
          <w:p>
            <w:pPr>
              <w:adjustRightInd w:val="0"/>
              <w:snapToGrid w:val="0"/>
              <w:jc w:val="center"/>
              <w:textAlignment w:val="baseline"/>
              <w:rPr>
                <w:sz w:val="18"/>
                <w:szCs w:val="18"/>
              </w:rPr>
            </w:pPr>
          </w:p>
        </w:tc>
        <w:tc>
          <w:tcPr>
            <w:tcW w:w="261" w:type="pct"/>
            <w:vAlign w:val="center"/>
          </w:tcPr>
          <w:p>
            <w:pPr>
              <w:adjustRightInd w:val="0"/>
              <w:snapToGrid w:val="0"/>
              <w:jc w:val="center"/>
              <w:textAlignment w:val="baseline"/>
              <w:rPr>
                <w:sz w:val="18"/>
                <w:szCs w:val="18"/>
              </w:rPr>
            </w:pPr>
            <w:r>
              <w:rPr>
                <w:sz w:val="18"/>
                <w:szCs w:val="18"/>
              </w:rPr>
              <w:t>-9</w:t>
            </w:r>
          </w:p>
        </w:tc>
        <w:tc>
          <w:tcPr>
            <w:tcW w:w="263" w:type="pct"/>
            <w:vAlign w:val="center"/>
          </w:tcPr>
          <w:p>
            <w:pPr>
              <w:adjustRightInd w:val="0"/>
              <w:snapToGrid w:val="0"/>
              <w:jc w:val="center"/>
              <w:textAlignment w:val="baseline"/>
              <w:rPr>
                <w:sz w:val="18"/>
                <w:szCs w:val="18"/>
              </w:rPr>
            </w:pPr>
            <w:r>
              <w:rPr>
                <w:sz w:val="18"/>
                <w:szCs w:val="18"/>
              </w:rPr>
              <w:t>155</w:t>
            </w:r>
          </w:p>
        </w:tc>
        <w:tc>
          <w:tcPr>
            <w:tcW w:w="262" w:type="pct"/>
            <w:vAlign w:val="center"/>
          </w:tcPr>
          <w:p>
            <w:pPr>
              <w:adjustRightInd w:val="0"/>
              <w:snapToGrid w:val="0"/>
              <w:jc w:val="center"/>
              <w:textAlignment w:val="baseline"/>
              <w:rPr>
                <w:sz w:val="18"/>
                <w:szCs w:val="18"/>
              </w:rPr>
            </w:pPr>
            <w:r>
              <w:rPr>
                <w:sz w:val="18"/>
                <w:szCs w:val="18"/>
              </w:rPr>
              <w:t>1</w:t>
            </w:r>
          </w:p>
        </w:tc>
        <w:tc>
          <w:tcPr>
            <w:tcW w:w="473" w:type="pct"/>
            <w:vAlign w:val="center"/>
          </w:tcPr>
          <w:p>
            <w:pPr>
              <w:adjustRightInd w:val="0"/>
              <w:snapToGrid w:val="0"/>
              <w:jc w:val="center"/>
              <w:textAlignment w:val="baseline"/>
              <w:rPr>
                <w:sz w:val="18"/>
                <w:szCs w:val="18"/>
              </w:rPr>
            </w:pPr>
            <w:r>
              <w:rPr>
                <w:sz w:val="18"/>
                <w:szCs w:val="18"/>
              </w:rPr>
              <w:t>66</w:t>
            </w:r>
          </w:p>
          <w:p>
            <w:pPr>
              <w:adjustRightInd w:val="0"/>
              <w:snapToGrid w:val="0"/>
              <w:jc w:val="center"/>
              <w:textAlignment w:val="baseline"/>
              <w:rPr>
                <w:sz w:val="18"/>
                <w:szCs w:val="18"/>
              </w:rPr>
            </w:pPr>
            <w:r>
              <w:rPr>
                <w:sz w:val="18"/>
                <w:szCs w:val="18"/>
              </w:rPr>
              <w:t>150</w:t>
            </w:r>
          </w:p>
          <w:p>
            <w:pPr>
              <w:adjustRightInd w:val="0"/>
              <w:snapToGrid w:val="0"/>
              <w:jc w:val="center"/>
              <w:textAlignment w:val="baseline"/>
              <w:rPr>
                <w:sz w:val="18"/>
                <w:szCs w:val="18"/>
              </w:rPr>
            </w:pPr>
            <w:r>
              <w:rPr>
                <w:sz w:val="18"/>
                <w:szCs w:val="18"/>
              </w:rPr>
              <w:t>21</w:t>
            </w:r>
          </w:p>
          <w:p>
            <w:pPr>
              <w:adjustRightInd w:val="0"/>
              <w:snapToGrid w:val="0"/>
              <w:jc w:val="center"/>
              <w:textAlignment w:val="baseline"/>
              <w:rPr>
                <w:sz w:val="18"/>
                <w:szCs w:val="18"/>
              </w:rPr>
            </w:pPr>
            <w:r>
              <w:rPr>
                <w:sz w:val="18"/>
                <w:szCs w:val="18"/>
              </w:rPr>
              <w:t>73</w:t>
            </w:r>
          </w:p>
        </w:tc>
        <w:tc>
          <w:tcPr>
            <w:tcW w:w="473" w:type="pct"/>
            <w:vAlign w:val="center"/>
          </w:tcPr>
          <w:p>
            <w:pPr>
              <w:adjustRightInd w:val="0"/>
              <w:snapToGrid w:val="0"/>
              <w:jc w:val="center"/>
              <w:textAlignment w:val="baseline"/>
              <w:rPr>
                <w:sz w:val="18"/>
                <w:szCs w:val="18"/>
              </w:rPr>
            </w:pPr>
            <w:r>
              <w:rPr>
                <w:sz w:val="18"/>
                <w:szCs w:val="18"/>
              </w:rPr>
              <w:t>58.60</w:t>
            </w:r>
          </w:p>
          <w:p>
            <w:pPr>
              <w:adjustRightInd w:val="0"/>
              <w:snapToGrid w:val="0"/>
              <w:jc w:val="center"/>
              <w:textAlignment w:val="baseline"/>
              <w:rPr>
                <w:sz w:val="18"/>
                <w:szCs w:val="18"/>
              </w:rPr>
            </w:pPr>
            <w:r>
              <w:rPr>
                <w:sz w:val="18"/>
                <w:szCs w:val="18"/>
              </w:rPr>
              <w:t>51.47</w:t>
            </w:r>
          </w:p>
          <w:p>
            <w:pPr>
              <w:adjustRightInd w:val="0"/>
              <w:snapToGrid w:val="0"/>
              <w:jc w:val="center"/>
              <w:textAlignment w:val="baseline"/>
              <w:rPr>
                <w:sz w:val="18"/>
                <w:szCs w:val="18"/>
              </w:rPr>
            </w:pPr>
            <w:r>
              <w:rPr>
                <w:sz w:val="18"/>
                <w:szCs w:val="18"/>
              </w:rPr>
              <w:t>68.55</w:t>
            </w:r>
          </w:p>
          <w:p>
            <w:pPr>
              <w:adjustRightInd w:val="0"/>
              <w:snapToGrid w:val="0"/>
              <w:jc w:val="center"/>
              <w:textAlignment w:val="baseline"/>
              <w:rPr>
                <w:sz w:val="18"/>
                <w:szCs w:val="18"/>
              </w:rPr>
            </w:pPr>
            <w:r>
              <w:rPr>
                <w:sz w:val="18"/>
                <w:szCs w:val="18"/>
              </w:rPr>
              <w:t>57.73</w:t>
            </w:r>
          </w:p>
        </w:tc>
        <w:tc>
          <w:tcPr>
            <w:tcW w:w="368" w:type="pct"/>
            <w:vAlign w:val="center"/>
          </w:tcPr>
          <w:p>
            <w:pPr>
              <w:adjustRightInd w:val="0"/>
              <w:snapToGrid w:val="0"/>
              <w:jc w:val="center"/>
              <w:textAlignment w:val="baseline"/>
              <w:rPr>
                <w:sz w:val="18"/>
                <w:szCs w:val="18"/>
              </w:rPr>
            </w:pPr>
            <w:r>
              <w:rPr>
                <w:sz w:val="18"/>
                <w:szCs w:val="18"/>
              </w:rPr>
              <w:t>6</w:t>
            </w:r>
            <w:r>
              <w:rPr>
                <w:rFonts w:hint="eastAsia"/>
                <w:sz w:val="18"/>
                <w:szCs w:val="18"/>
              </w:rPr>
              <w:t>h</w:t>
            </w:r>
          </w:p>
        </w:tc>
        <w:tc>
          <w:tcPr>
            <w:tcW w:w="421" w:type="pct"/>
            <w:vAlign w:val="center"/>
          </w:tcPr>
          <w:p>
            <w:pPr>
              <w:adjustRightInd w:val="0"/>
              <w:snapToGrid w:val="0"/>
              <w:jc w:val="center"/>
              <w:textAlignment w:val="baseline"/>
              <w:rPr>
                <w:sz w:val="18"/>
                <w:szCs w:val="18"/>
              </w:rPr>
            </w:pPr>
            <w:r>
              <w:rPr>
                <w:rFonts w:hint="eastAsia"/>
                <w:sz w:val="18"/>
                <w:szCs w:val="18"/>
              </w:rPr>
              <w:t>1</w:t>
            </w:r>
            <w:r>
              <w:rPr>
                <w:sz w:val="18"/>
                <w:szCs w:val="18"/>
              </w:rPr>
              <w:t>5</w:t>
            </w:r>
          </w:p>
        </w:tc>
        <w:tc>
          <w:tcPr>
            <w:tcW w:w="524" w:type="pct"/>
            <w:vAlign w:val="center"/>
          </w:tcPr>
          <w:p>
            <w:pPr>
              <w:adjustRightInd w:val="0"/>
              <w:snapToGrid w:val="0"/>
              <w:jc w:val="center"/>
              <w:textAlignment w:val="baseline"/>
              <w:rPr>
                <w:sz w:val="18"/>
                <w:szCs w:val="18"/>
              </w:rPr>
            </w:pPr>
            <w:r>
              <w:rPr>
                <w:sz w:val="18"/>
                <w:szCs w:val="18"/>
              </w:rPr>
              <w:t>43.6</w:t>
            </w:r>
          </w:p>
          <w:p>
            <w:pPr>
              <w:adjustRightInd w:val="0"/>
              <w:snapToGrid w:val="0"/>
              <w:jc w:val="center"/>
              <w:textAlignment w:val="baseline"/>
              <w:rPr>
                <w:sz w:val="18"/>
                <w:szCs w:val="18"/>
              </w:rPr>
            </w:pPr>
            <w:r>
              <w:rPr>
                <w:sz w:val="18"/>
                <w:szCs w:val="18"/>
              </w:rPr>
              <w:t>36.47</w:t>
            </w:r>
          </w:p>
          <w:p>
            <w:pPr>
              <w:adjustRightInd w:val="0"/>
              <w:snapToGrid w:val="0"/>
              <w:jc w:val="center"/>
              <w:textAlignment w:val="baseline"/>
              <w:rPr>
                <w:sz w:val="18"/>
                <w:szCs w:val="18"/>
              </w:rPr>
            </w:pPr>
            <w:r>
              <w:rPr>
                <w:sz w:val="18"/>
                <w:szCs w:val="18"/>
              </w:rPr>
              <w:t>53.55</w:t>
            </w:r>
          </w:p>
          <w:p>
            <w:pPr>
              <w:adjustRightInd w:val="0"/>
              <w:snapToGrid w:val="0"/>
              <w:jc w:val="center"/>
              <w:textAlignment w:val="baseline"/>
              <w:rPr>
                <w:sz w:val="18"/>
                <w:szCs w:val="18"/>
              </w:rPr>
            </w:pPr>
            <w:r>
              <w:rPr>
                <w:sz w:val="18"/>
                <w:szCs w:val="18"/>
              </w:rPr>
              <w:t>42.73</w:t>
            </w:r>
          </w:p>
        </w:tc>
      </w:tr>
    </w:tbl>
    <w:p>
      <w:pPr>
        <w:autoSpaceDE w:val="0"/>
        <w:autoSpaceDN w:val="0"/>
        <w:adjustRightInd w:val="0"/>
        <w:snapToGrid w:val="0"/>
        <w:spacing w:line="360" w:lineRule="auto"/>
        <w:ind w:firstLine="360" w:firstLineChars="200"/>
        <w:jc w:val="left"/>
        <w:rPr>
          <w:sz w:val="18"/>
          <w:szCs w:val="18"/>
        </w:rPr>
      </w:pPr>
    </w:p>
    <w:p>
      <w:pPr>
        <w:autoSpaceDE w:val="0"/>
        <w:autoSpaceDN w:val="0"/>
        <w:adjustRightInd w:val="0"/>
        <w:snapToGrid w:val="0"/>
        <w:spacing w:line="360" w:lineRule="auto"/>
        <w:ind w:firstLine="360" w:firstLineChars="200"/>
        <w:jc w:val="left"/>
        <w:rPr>
          <w:kern w:val="21"/>
          <w:sz w:val="18"/>
          <w:szCs w:val="18"/>
        </w:rPr>
      </w:pPr>
      <w:r>
        <w:rPr>
          <w:sz w:val="18"/>
          <w:szCs w:val="18"/>
        </w:rPr>
        <w:t>注：</w:t>
      </w:r>
      <w:r>
        <w:rPr>
          <w:rFonts w:hint="eastAsia"/>
          <w:sz w:val="18"/>
          <w:szCs w:val="18"/>
        </w:rPr>
        <w:t>拟建项目以厂区东南点为空间相对位置坐标原点。</w:t>
      </w:r>
    </w:p>
    <w:p>
      <w:pPr>
        <w:spacing w:line="480" w:lineRule="exact"/>
        <w:jc w:val="center"/>
        <w:rPr>
          <w:bCs/>
          <w:sz w:val="18"/>
          <w:szCs w:val="18"/>
        </w:rPr>
        <w:sectPr>
          <w:pgSz w:w="16838" w:h="11906" w:orient="landscape"/>
          <w:pgMar w:top="1531" w:right="1701" w:bottom="1531" w:left="1701" w:header="851" w:footer="851" w:gutter="0"/>
          <w:cols w:space="720" w:num="1"/>
          <w:docGrid w:linePitch="312" w:charSpace="0"/>
        </w:sect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162" w:type="dxa"/>
            <w:vAlign w:val="center"/>
          </w:tcPr>
          <w:p>
            <w:pPr>
              <w:adjustRightInd w:val="0"/>
              <w:snapToGrid w:val="0"/>
              <w:spacing w:line="360" w:lineRule="auto"/>
              <w:rPr>
                <w:b/>
                <w:bCs/>
                <w:sz w:val="24"/>
              </w:rPr>
            </w:pPr>
            <w:r>
              <w:rPr>
                <w:rFonts w:hint="eastAsia"/>
                <w:b/>
                <w:bCs/>
                <w:sz w:val="24"/>
              </w:rPr>
              <w:t>4.2.3.2 噪声治理措施及影响分析</w:t>
            </w:r>
          </w:p>
          <w:p>
            <w:pPr>
              <w:adjustRightInd w:val="0"/>
              <w:snapToGrid w:val="0"/>
              <w:spacing w:line="360" w:lineRule="auto"/>
              <w:ind w:firstLine="480" w:firstLineChars="200"/>
              <w:rPr>
                <w:bCs/>
                <w:sz w:val="24"/>
              </w:rPr>
            </w:pPr>
            <w:r>
              <w:rPr>
                <w:rFonts w:hint="eastAsia"/>
                <w:bCs/>
                <w:sz w:val="24"/>
              </w:rPr>
              <w:t>（1）噪声污染防治措施</w:t>
            </w:r>
          </w:p>
          <w:p>
            <w:pPr>
              <w:adjustRightInd w:val="0"/>
              <w:snapToGrid w:val="0"/>
              <w:spacing w:line="360" w:lineRule="auto"/>
              <w:ind w:firstLine="480" w:firstLineChars="200"/>
              <w:rPr>
                <w:bCs/>
                <w:sz w:val="24"/>
              </w:rPr>
            </w:pPr>
            <w:r>
              <w:rPr>
                <w:rFonts w:hint="eastAsia"/>
                <w:bCs/>
                <w:sz w:val="24"/>
              </w:rPr>
              <w:t>拟建项目拟采取以下治理措施：</w:t>
            </w:r>
          </w:p>
          <w:p>
            <w:pPr>
              <w:adjustRightInd w:val="0"/>
              <w:snapToGrid w:val="0"/>
              <w:spacing w:line="360" w:lineRule="auto"/>
              <w:ind w:firstLine="480" w:firstLineChars="200"/>
              <w:rPr>
                <w:bCs/>
                <w:sz w:val="24"/>
              </w:rPr>
            </w:pPr>
            <w:r>
              <w:rPr>
                <w:rFonts w:hint="eastAsia"/>
                <w:bCs/>
                <w:sz w:val="24"/>
              </w:rPr>
              <w:t>1）在保证生产工艺正常运行的同时注意选用低噪声的设备；</w:t>
            </w:r>
          </w:p>
          <w:p>
            <w:pPr>
              <w:adjustRightInd w:val="0"/>
              <w:snapToGrid w:val="0"/>
              <w:spacing w:line="360" w:lineRule="auto"/>
              <w:ind w:firstLine="480" w:firstLineChars="200"/>
              <w:rPr>
                <w:bCs/>
                <w:sz w:val="24"/>
              </w:rPr>
            </w:pPr>
            <w:r>
              <w:rPr>
                <w:rFonts w:hint="eastAsia"/>
                <w:bCs/>
                <w:sz w:val="24"/>
              </w:rPr>
              <w:t>2）将主要噪声设备置于室内，减轻对外环境的噪声影响；</w:t>
            </w:r>
          </w:p>
          <w:p>
            <w:pPr>
              <w:adjustRightInd w:val="0"/>
              <w:snapToGrid w:val="0"/>
              <w:spacing w:line="360" w:lineRule="auto"/>
              <w:ind w:firstLine="480" w:firstLineChars="200"/>
              <w:rPr>
                <w:bCs/>
                <w:sz w:val="24"/>
              </w:rPr>
            </w:pPr>
            <w:r>
              <w:rPr>
                <w:rFonts w:hint="eastAsia"/>
                <w:bCs/>
                <w:sz w:val="24"/>
              </w:rPr>
              <w:t>3）加强管理，对原材料和产品的装卸和转移不得随意扔、丢、抛、倒，以减少碰撞和运输噪声。</w:t>
            </w:r>
          </w:p>
          <w:p>
            <w:pPr>
              <w:adjustRightInd w:val="0"/>
              <w:snapToGrid w:val="0"/>
              <w:spacing w:line="360" w:lineRule="auto"/>
              <w:ind w:firstLine="480" w:firstLineChars="200"/>
              <w:rPr>
                <w:bCs/>
                <w:sz w:val="24"/>
              </w:rPr>
            </w:pPr>
            <w:r>
              <w:rPr>
                <w:rFonts w:hint="eastAsia"/>
                <w:bCs/>
                <w:sz w:val="24"/>
              </w:rPr>
              <w:t>综上，采用以上措施可较好地降低噪声影响，防止噪声污染。</w:t>
            </w:r>
          </w:p>
          <w:p>
            <w:pPr>
              <w:adjustRightInd w:val="0"/>
              <w:snapToGrid w:val="0"/>
              <w:spacing w:line="360" w:lineRule="auto"/>
              <w:ind w:firstLine="480" w:firstLineChars="200"/>
              <w:rPr>
                <w:bCs/>
                <w:sz w:val="24"/>
              </w:rPr>
            </w:pPr>
            <w:r>
              <w:rPr>
                <w:rFonts w:hint="eastAsia"/>
                <w:bCs/>
                <w:sz w:val="24"/>
              </w:rPr>
              <w:t>（2）噪声影响分析</w:t>
            </w:r>
          </w:p>
          <w:p>
            <w:pPr>
              <w:adjustRightInd w:val="0"/>
              <w:snapToGrid w:val="0"/>
              <w:spacing w:line="360" w:lineRule="auto"/>
              <w:ind w:firstLine="480" w:firstLineChars="200"/>
              <w:rPr>
                <w:bCs/>
                <w:sz w:val="24"/>
              </w:rPr>
            </w:pPr>
            <w:r>
              <w:rPr>
                <w:rFonts w:hint="eastAsia"/>
                <w:bCs/>
                <w:sz w:val="24"/>
              </w:rPr>
              <w:t>1）噪声预测模式</w:t>
            </w:r>
          </w:p>
          <w:p>
            <w:pPr>
              <w:adjustRightInd w:val="0"/>
              <w:snapToGrid w:val="0"/>
              <w:spacing w:line="360" w:lineRule="auto"/>
              <w:ind w:firstLine="480" w:firstLineChars="200"/>
              <w:rPr>
                <w:bCs/>
                <w:sz w:val="24"/>
              </w:rPr>
            </w:pPr>
            <w:r>
              <w:rPr>
                <w:rFonts w:hint="eastAsia"/>
                <w:bCs/>
                <w:sz w:val="24"/>
              </w:rPr>
              <w:t>噪声影响预测选用《环境影响评价技术导则 声环境》（HJ2.4-2021）中推荐的模式，并对照评价标准对预测结果进行评价。</w:t>
            </w:r>
          </w:p>
          <w:p>
            <w:pPr>
              <w:adjustRightInd w:val="0"/>
              <w:snapToGrid w:val="0"/>
              <w:spacing w:line="360" w:lineRule="auto"/>
              <w:ind w:firstLine="480" w:firstLineChars="200"/>
              <w:rPr>
                <w:bCs/>
                <w:sz w:val="24"/>
              </w:rPr>
            </w:pPr>
            <w:r>
              <w:rPr>
                <w:rFonts w:hint="eastAsia"/>
                <w:bCs/>
                <w:sz w:val="24"/>
              </w:rPr>
              <w:t>室内声源等效室外声源声功率级计算公式如下：</w:t>
            </w:r>
          </w:p>
          <w:p>
            <w:pPr>
              <w:adjustRightInd w:val="0"/>
              <w:snapToGrid w:val="0"/>
              <w:spacing w:line="360" w:lineRule="auto"/>
              <w:ind w:firstLine="480" w:firstLineChars="200"/>
              <w:jc w:val="center"/>
              <w:rPr>
                <w:bCs/>
                <w:sz w:val="24"/>
              </w:rPr>
            </w:pPr>
            <w:r>
              <w:rPr>
                <w:bCs/>
                <w:sz w:val="24"/>
              </w:rPr>
              <w:t>L</w:t>
            </w:r>
            <w:r>
              <w:rPr>
                <w:bCs/>
                <w:sz w:val="24"/>
                <w:vertAlign w:val="subscript"/>
              </w:rPr>
              <w:t>p2</w:t>
            </w:r>
            <w:r>
              <w:rPr>
                <w:bCs/>
                <w:sz w:val="24"/>
              </w:rPr>
              <w:t>=L</w:t>
            </w:r>
            <w:r>
              <w:rPr>
                <w:bCs/>
                <w:sz w:val="24"/>
                <w:vertAlign w:val="subscript"/>
              </w:rPr>
              <w:t>p1</w:t>
            </w:r>
            <w:r>
              <w:rPr>
                <w:bCs/>
                <w:sz w:val="24"/>
              </w:rPr>
              <w:t>-(TL+6)</w:t>
            </w:r>
          </w:p>
          <w:p>
            <w:pPr>
              <w:adjustRightInd w:val="0"/>
              <w:snapToGrid w:val="0"/>
              <w:spacing w:line="360" w:lineRule="auto"/>
              <w:ind w:firstLine="480" w:firstLineChars="200"/>
              <w:rPr>
                <w:bCs/>
                <w:sz w:val="24"/>
              </w:rPr>
            </w:pPr>
            <w:r>
              <w:rPr>
                <w:rFonts w:hint="eastAsia"/>
                <w:bCs/>
                <w:sz w:val="24"/>
              </w:rPr>
              <w:t>式中：L</w:t>
            </w:r>
            <w:r>
              <w:rPr>
                <w:rFonts w:hint="eastAsia"/>
                <w:bCs/>
                <w:sz w:val="24"/>
                <w:vertAlign w:val="subscript"/>
              </w:rPr>
              <w:t>p1</w:t>
            </w:r>
            <w:r>
              <w:rPr>
                <w:rFonts w:hint="eastAsia"/>
                <w:bCs/>
                <w:sz w:val="24"/>
              </w:rPr>
              <w:t>——靠近开口处（或窗户）室内某倍频带的声压级或A声级，dB；</w:t>
            </w:r>
          </w:p>
          <w:p>
            <w:pPr>
              <w:adjustRightInd w:val="0"/>
              <w:snapToGrid w:val="0"/>
              <w:spacing w:line="360" w:lineRule="auto"/>
              <w:ind w:firstLine="1200" w:firstLineChars="500"/>
              <w:rPr>
                <w:bCs/>
                <w:sz w:val="24"/>
              </w:rPr>
            </w:pPr>
            <w:r>
              <w:rPr>
                <w:rFonts w:hint="eastAsia"/>
                <w:bCs/>
                <w:sz w:val="24"/>
              </w:rPr>
              <w:t>L</w:t>
            </w:r>
            <w:r>
              <w:rPr>
                <w:rFonts w:hint="eastAsia"/>
                <w:bCs/>
                <w:sz w:val="24"/>
                <w:vertAlign w:val="subscript"/>
              </w:rPr>
              <w:t>p2</w:t>
            </w:r>
            <w:r>
              <w:rPr>
                <w:rFonts w:hint="eastAsia"/>
                <w:bCs/>
                <w:sz w:val="24"/>
              </w:rPr>
              <w:t>——靠近开口处（或窗户）室外某倍频带的声压级或A声级，dB；</w:t>
            </w:r>
          </w:p>
          <w:p>
            <w:pPr>
              <w:adjustRightInd w:val="0"/>
              <w:snapToGrid w:val="0"/>
              <w:spacing w:line="360" w:lineRule="auto"/>
              <w:ind w:firstLine="1200" w:firstLineChars="500"/>
              <w:rPr>
                <w:bCs/>
                <w:sz w:val="24"/>
              </w:rPr>
            </w:pPr>
            <w:r>
              <w:rPr>
                <w:rFonts w:hint="eastAsia"/>
                <w:bCs/>
                <w:sz w:val="24"/>
              </w:rPr>
              <w:t>TL——隔墙（或窗户）倍频带或A声级的隔声量，dB，取10dB(A)。</w:t>
            </w:r>
          </w:p>
          <w:p>
            <w:pPr>
              <w:adjustRightInd w:val="0"/>
              <w:snapToGrid w:val="0"/>
              <w:spacing w:line="360" w:lineRule="auto"/>
              <w:ind w:firstLine="480" w:firstLineChars="200"/>
              <w:rPr>
                <w:bCs/>
                <w:sz w:val="24"/>
              </w:rPr>
            </w:pPr>
            <w:r>
              <w:rPr>
                <w:rFonts w:hint="eastAsia"/>
                <w:bCs/>
                <w:sz w:val="24"/>
              </w:rPr>
              <w:t>预测点的预测等效声级（Leqg）：</w:t>
            </w:r>
          </w:p>
          <w:p>
            <w:pPr>
              <w:adjustRightInd w:val="0"/>
              <w:snapToGrid w:val="0"/>
              <w:spacing w:line="360" w:lineRule="auto"/>
              <w:ind w:firstLine="420" w:firstLineChars="200"/>
              <w:jc w:val="center"/>
              <w:rPr>
                <w:bCs/>
                <w:sz w:val="24"/>
              </w:rPr>
            </w:pPr>
            <w:r>
              <w:drawing>
                <wp:inline distT="0" distB="0" distL="0" distR="0">
                  <wp:extent cx="2113915" cy="45974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14051" cy="459824"/>
                          </a:xfrm>
                          <a:prstGeom prst="rect">
                            <a:avLst/>
                          </a:prstGeom>
                          <a:noFill/>
                          <a:ln>
                            <a:noFill/>
                          </a:ln>
                        </pic:spPr>
                      </pic:pic>
                    </a:graphicData>
                  </a:graphic>
                </wp:inline>
              </w:drawing>
            </w:r>
          </w:p>
          <w:p>
            <w:pPr>
              <w:adjustRightInd w:val="0"/>
              <w:snapToGrid w:val="0"/>
              <w:spacing w:line="360" w:lineRule="auto"/>
              <w:ind w:firstLine="480" w:firstLineChars="200"/>
              <w:rPr>
                <w:bCs/>
                <w:sz w:val="24"/>
              </w:rPr>
            </w:pPr>
            <w:r>
              <w:rPr>
                <w:rFonts w:hint="eastAsia"/>
                <w:bCs/>
                <w:sz w:val="24"/>
              </w:rPr>
              <w:t>式中：L</w:t>
            </w:r>
            <w:r>
              <w:rPr>
                <w:rFonts w:hint="eastAsia"/>
                <w:bCs/>
                <w:sz w:val="24"/>
                <w:vertAlign w:val="subscript"/>
              </w:rPr>
              <w:t>eqg</w:t>
            </w:r>
            <w:r>
              <w:rPr>
                <w:rFonts w:hint="eastAsia"/>
                <w:bCs/>
                <w:sz w:val="24"/>
              </w:rPr>
              <w:t>——建设项目声源在预测点产生的噪声贡献值，dB（A）；</w:t>
            </w:r>
          </w:p>
          <w:p>
            <w:pPr>
              <w:adjustRightInd w:val="0"/>
              <w:snapToGrid w:val="0"/>
              <w:spacing w:line="360" w:lineRule="auto"/>
              <w:ind w:firstLine="480" w:firstLineChars="200"/>
              <w:rPr>
                <w:bCs/>
                <w:sz w:val="24"/>
              </w:rPr>
            </w:pPr>
            <w:r>
              <w:rPr>
                <w:rFonts w:hint="eastAsia"/>
                <w:bCs/>
                <w:sz w:val="24"/>
              </w:rPr>
              <w:t xml:space="preserve">      T——用于计算等效声级的时间，s；</w:t>
            </w:r>
          </w:p>
          <w:p>
            <w:pPr>
              <w:adjustRightInd w:val="0"/>
              <w:snapToGrid w:val="0"/>
              <w:spacing w:line="360" w:lineRule="auto"/>
              <w:ind w:firstLine="1200" w:firstLineChars="500"/>
              <w:rPr>
                <w:bCs/>
                <w:sz w:val="24"/>
              </w:rPr>
            </w:pPr>
            <w:r>
              <w:rPr>
                <w:rFonts w:hint="eastAsia"/>
                <w:bCs/>
                <w:sz w:val="24"/>
              </w:rPr>
              <w:t>N——室外声源个数；</w:t>
            </w:r>
          </w:p>
          <w:p>
            <w:pPr>
              <w:adjustRightInd w:val="0"/>
              <w:snapToGrid w:val="0"/>
              <w:spacing w:line="360" w:lineRule="auto"/>
              <w:ind w:firstLine="1200" w:firstLineChars="500"/>
              <w:rPr>
                <w:bCs/>
                <w:sz w:val="24"/>
              </w:rPr>
            </w:pPr>
            <w:r>
              <w:rPr>
                <w:rFonts w:hint="eastAsia"/>
                <w:bCs/>
                <w:sz w:val="24"/>
              </w:rPr>
              <w:t>t</w:t>
            </w:r>
            <w:r>
              <w:rPr>
                <w:rFonts w:hint="eastAsia"/>
                <w:bCs/>
                <w:sz w:val="24"/>
                <w:vertAlign w:val="subscript"/>
              </w:rPr>
              <w:t>i</w:t>
            </w:r>
            <w:r>
              <w:rPr>
                <w:rFonts w:hint="eastAsia"/>
                <w:bCs/>
                <w:sz w:val="24"/>
              </w:rPr>
              <w:t>——在T时间内i声源工作时间；</w:t>
            </w:r>
          </w:p>
          <w:p>
            <w:pPr>
              <w:adjustRightInd w:val="0"/>
              <w:snapToGrid w:val="0"/>
              <w:spacing w:line="360" w:lineRule="auto"/>
              <w:ind w:firstLine="1200" w:firstLineChars="500"/>
              <w:rPr>
                <w:bCs/>
                <w:sz w:val="24"/>
              </w:rPr>
            </w:pPr>
            <w:r>
              <w:rPr>
                <w:rFonts w:hint="eastAsia"/>
                <w:bCs/>
                <w:sz w:val="24"/>
              </w:rPr>
              <w:t>M——等效室外声源个数；</w:t>
            </w:r>
          </w:p>
          <w:p>
            <w:pPr>
              <w:adjustRightInd w:val="0"/>
              <w:snapToGrid w:val="0"/>
              <w:spacing w:line="360" w:lineRule="auto"/>
              <w:ind w:firstLine="1200" w:firstLineChars="500"/>
              <w:rPr>
                <w:bCs/>
                <w:sz w:val="24"/>
              </w:rPr>
            </w:pPr>
            <w:r>
              <w:rPr>
                <w:rFonts w:hint="eastAsia"/>
                <w:bCs/>
                <w:sz w:val="24"/>
              </w:rPr>
              <w:t>t</w:t>
            </w:r>
            <w:r>
              <w:rPr>
                <w:rFonts w:hint="eastAsia"/>
                <w:bCs/>
                <w:sz w:val="24"/>
                <w:vertAlign w:val="subscript"/>
              </w:rPr>
              <w:t>j</w:t>
            </w:r>
            <w:r>
              <w:rPr>
                <w:rFonts w:hint="eastAsia"/>
                <w:bCs/>
                <w:sz w:val="24"/>
              </w:rPr>
              <w:t>——在T时间内j声源工作时间。</w:t>
            </w:r>
          </w:p>
          <w:p>
            <w:pPr>
              <w:adjustRightInd w:val="0"/>
              <w:snapToGrid w:val="0"/>
              <w:spacing w:line="360" w:lineRule="auto"/>
              <w:ind w:firstLine="480" w:firstLineChars="200"/>
              <w:rPr>
                <w:bCs/>
                <w:sz w:val="24"/>
              </w:rPr>
            </w:pPr>
            <w:r>
              <w:rPr>
                <w:rFonts w:hint="eastAsia"/>
                <w:bCs/>
                <w:sz w:val="24"/>
              </w:rPr>
              <w:t>预测点的预测等效声级（Leqg）：</w:t>
            </w:r>
          </w:p>
          <w:p>
            <w:pPr>
              <w:adjustRightInd w:val="0"/>
              <w:snapToGrid w:val="0"/>
              <w:spacing w:line="360" w:lineRule="auto"/>
              <w:ind w:firstLine="420" w:firstLineChars="200"/>
              <w:jc w:val="center"/>
              <w:rPr>
                <w:bCs/>
                <w:sz w:val="24"/>
              </w:rPr>
            </w:pPr>
            <w:r>
              <w:rPr>
                <w:kern w:val="0"/>
              </w:rPr>
              <w:object>
                <v:shape id="_x0000_i1030" o:spt="75" type="#_x0000_t75" style="height:26.85pt;width:199.9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adjustRightInd w:val="0"/>
              <w:snapToGrid w:val="0"/>
              <w:spacing w:line="360" w:lineRule="auto"/>
              <w:ind w:firstLine="480" w:firstLineChars="200"/>
              <w:rPr>
                <w:bCs/>
                <w:sz w:val="24"/>
              </w:rPr>
            </w:pPr>
            <w:r>
              <w:rPr>
                <w:rFonts w:hint="eastAsia"/>
                <w:bCs/>
                <w:sz w:val="24"/>
              </w:rPr>
              <w:t>式中：L</w:t>
            </w:r>
            <w:r>
              <w:rPr>
                <w:rFonts w:hint="eastAsia"/>
                <w:bCs/>
                <w:sz w:val="24"/>
                <w:vertAlign w:val="subscript"/>
              </w:rPr>
              <w:t>eqg</w:t>
            </w:r>
            <w:r>
              <w:rPr>
                <w:rFonts w:hint="eastAsia"/>
                <w:bCs/>
                <w:sz w:val="24"/>
              </w:rPr>
              <w:t>——建设项目声源在预测点产生的噪声贡献值，dB（A）；</w:t>
            </w:r>
          </w:p>
          <w:p>
            <w:pPr>
              <w:adjustRightInd w:val="0"/>
              <w:snapToGrid w:val="0"/>
              <w:spacing w:line="360" w:lineRule="auto"/>
              <w:ind w:firstLine="480" w:firstLineChars="200"/>
              <w:rPr>
                <w:bCs/>
                <w:sz w:val="24"/>
              </w:rPr>
            </w:pPr>
            <w:r>
              <w:rPr>
                <w:rFonts w:hint="eastAsia"/>
                <w:bCs/>
                <w:sz w:val="24"/>
              </w:rPr>
              <w:t xml:space="preserve">      L</w:t>
            </w:r>
            <w:r>
              <w:rPr>
                <w:rFonts w:hint="eastAsia"/>
                <w:bCs/>
                <w:sz w:val="24"/>
                <w:vertAlign w:val="subscript"/>
              </w:rPr>
              <w:t>eqb</w:t>
            </w:r>
            <w:r>
              <w:rPr>
                <w:rFonts w:hint="eastAsia"/>
                <w:bCs/>
                <w:sz w:val="24"/>
              </w:rPr>
              <w:t>——预测点的背景噪声值，dB（A）。</w:t>
            </w:r>
          </w:p>
          <w:p>
            <w:pPr>
              <w:adjustRightInd w:val="0"/>
              <w:snapToGrid w:val="0"/>
              <w:spacing w:line="360" w:lineRule="auto"/>
              <w:ind w:firstLine="480" w:firstLineChars="200"/>
              <w:rPr>
                <w:bCs/>
                <w:sz w:val="24"/>
              </w:rPr>
            </w:pPr>
            <w:r>
              <w:rPr>
                <w:rFonts w:hint="eastAsia"/>
                <w:bCs/>
                <w:sz w:val="24"/>
              </w:rPr>
              <w:t>拟建项目夜间不生产，主要生产设备均置于厂房内，未露天安置，其噪声源强降低，主要采用建筑隔声、设置减震垫措施降噪，可使噪声在车间内得到有效控制，噪声值可降低15～25dB（A）。各侧厂界处的预测噪声值见表4.2.3-</w:t>
            </w:r>
            <w:r>
              <w:rPr>
                <w:bCs/>
                <w:sz w:val="24"/>
              </w:rPr>
              <w:t>2</w:t>
            </w:r>
            <w:r>
              <w:rPr>
                <w:rFonts w:hint="eastAsia"/>
                <w:bCs/>
                <w:sz w:val="24"/>
              </w:rPr>
              <w:t>。</w:t>
            </w:r>
          </w:p>
          <w:p>
            <w:pPr>
              <w:adjustRightInd w:val="0"/>
              <w:snapToGrid w:val="0"/>
              <w:spacing w:line="360" w:lineRule="auto"/>
              <w:ind w:firstLine="480" w:firstLineChars="200"/>
              <w:rPr>
                <w:bCs/>
                <w:sz w:val="24"/>
              </w:rPr>
            </w:pPr>
            <w:r>
              <w:rPr>
                <w:rFonts w:hint="eastAsia"/>
                <w:bCs/>
                <w:sz w:val="24"/>
              </w:rPr>
              <w:t>2）噪声影响预测结果</w:t>
            </w:r>
          </w:p>
          <w:p>
            <w:pPr>
              <w:adjustRightInd w:val="0"/>
              <w:snapToGrid w:val="0"/>
              <w:spacing w:line="360" w:lineRule="auto"/>
              <w:ind w:firstLine="480" w:firstLineChars="200"/>
              <w:rPr>
                <w:bCs/>
                <w:sz w:val="24"/>
              </w:rPr>
            </w:pPr>
            <w:r>
              <w:rPr>
                <w:rFonts w:hint="eastAsia"/>
                <w:bCs/>
                <w:sz w:val="24"/>
              </w:rPr>
              <w:t>本次评价预测拟建项目建成后正常运行时项目各噪声源对各厂界的影响预测结果见表4.2.3-2。</w:t>
            </w:r>
          </w:p>
          <w:p>
            <w:pPr>
              <w:spacing w:line="360" w:lineRule="auto"/>
              <w:jc w:val="center"/>
              <w:rPr>
                <w:sz w:val="18"/>
                <w:szCs w:val="18"/>
              </w:rPr>
            </w:pPr>
            <w:r>
              <w:rPr>
                <w:sz w:val="18"/>
                <w:szCs w:val="18"/>
              </w:rPr>
              <w:t>表</w:t>
            </w:r>
            <w:r>
              <w:rPr>
                <w:rFonts w:hint="eastAsia"/>
                <w:bCs/>
                <w:sz w:val="18"/>
                <w:szCs w:val="18"/>
              </w:rPr>
              <w:t>4.2.3-2</w:t>
            </w:r>
            <w:r>
              <w:rPr>
                <w:sz w:val="18"/>
                <w:szCs w:val="18"/>
              </w:rPr>
              <w:t>拟建项目厂界噪声预测结果</w:t>
            </w:r>
            <w:r>
              <w:rPr>
                <w:rFonts w:hint="eastAsia"/>
                <w:sz w:val="18"/>
                <w:szCs w:val="18"/>
              </w:rPr>
              <w:t xml:space="preserve">  </w:t>
            </w:r>
            <w:r>
              <w:rPr>
                <w:sz w:val="18"/>
                <w:szCs w:val="18"/>
              </w:rPr>
              <w:t>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654"/>
              <w:gridCol w:w="2051"/>
              <w:gridCol w:w="1275"/>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05" w:type="pct"/>
                  <w:gridSpan w:val="2"/>
                  <w:tcBorders>
                    <w:left w:val="single" w:color="auto" w:sz="4" w:space="0"/>
                  </w:tcBorders>
                  <w:vAlign w:val="center"/>
                </w:tcPr>
                <w:p>
                  <w:pPr>
                    <w:pStyle w:val="112"/>
                    <w:spacing w:before="0" w:after="0" w:line="240" w:lineRule="exact"/>
                    <w:jc w:val="center"/>
                    <w:rPr>
                      <w:sz w:val="18"/>
                      <w:szCs w:val="18"/>
                    </w:rPr>
                  </w:pPr>
                  <w:r>
                    <w:rPr>
                      <w:rFonts w:hint="eastAsia"/>
                      <w:sz w:val="18"/>
                      <w:szCs w:val="18"/>
                    </w:rPr>
                    <w:t>预测点位</w:t>
                  </w:r>
                </w:p>
              </w:tc>
              <w:tc>
                <w:tcPr>
                  <w:tcW w:w="1292" w:type="pct"/>
                  <w:vAlign w:val="center"/>
                </w:tcPr>
                <w:p>
                  <w:pPr>
                    <w:pStyle w:val="112"/>
                    <w:spacing w:before="0" w:after="0" w:line="240" w:lineRule="exact"/>
                    <w:jc w:val="center"/>
                    <w:rPr>
                      <w:sz w:val="18"/>
                      <w:szCs w:val="18"/>
                    </w:rPr>
                  </w:pPr>
                  <w:r>
                    <w:rPr>
                      <w:rFonts w:hint="eastAsia"/>
                      <w:sz w:val="18"/>
                      <w:szCs w:val="18"/>
                    </w:rPr>
                    <w:t>预测值</w:t>
                  </w:r>
                </w:p>
              </w:tc>
              <w:tc>
                <w:tcPr>
                  <w:tcW w:w="803" w:type="pct"/>
                  <w:vAlign w:val="center"/>
                </w:tcPr>
                <w:p>
                  <w:pPr>
                    <w:pStyle w:val="112"/>
                    <w:spacing w:before="0" w:after="0" w:line="240" w:lineRule="exact"/>
                    <w:jc w:val="center"/>
                    <w:rPr>
                      <w:sz w:val="18"/>
                      <w:szCs w:val="18"/>
                    </w:rPr>
                  </w:pPr>
                  <w:r>
                    <w:rPr>
                      <w:rFonts w:hint="eastAsia"/>
                      <w:sz w:val="18"/>
                      <w:szCs w:val="18"/>
                    </w:rPr>
                    <w:t>标准值</w:t>
                  </w:r>
                </w:p>
              </w:tc>
              <w:tc>
                <w:tcPr>
                  <w:tcW w:w="999" w:type="pct"/>
                  <w:tcBorders>
                    <w:right w:val="single" w:color="auto" w:sz="4" w:space="0"/>
                  </w:tcBorders>
                  <w:vAlign w:val="center"/>
                </w:tcPr>
                <w:p>
                  <w:pPr>
                    <w:pStyle w:val="112"/>
                    <w:spacing w:before="0" w:after="0" w:line="240" w:lineRule="exact"/>
                    <w:jc w:val="center"/>
                    <w:rPr>
                      <w:sz w:val="18"/>
                      <w:szCs w:val="18"/>
                    </w:rPr>
                  </w:pPr>
                  <w:r>
                    <w:rPr>
                      <w:rFonts w:hint="eastAsia"/>
                      <w:sz w:val="18"/>
                      <w:szCs w:val="18"/>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pct"/>
                  <w:tcBorders>
                    <w:left w:val="single" w:color="auto" w:sz="4" w:space="0"/>
                  </w:tcBorders>
                  <w:vAlign w:val="center"/>
                </w:tcPr>
                <w:p>
                  <w:pPr>
                    <w:pStyle w:val="36"/>
                    <w:spacing w:beforeLines="0" w:afterLines="0" w:line="240" w:lineRule="exact"/>
                    <w:rPr>
                      <w:sz w:val="18"/>
                      <w:szCs w:val="18"/>
                    </w:rPr>
                  </w:pPr>
                  <w:r>
                    <w:rPr>
                      <w:rFonts w:hint="eastAsia"/>
                      <w:sz w:val="18"/>
                      <w:szCs w:val="18"/>
                    </w:rPr>
                    <w:t>东厂界</w:t>
                  </w:r>
                </w:p>
              </w:tc>
              <w:tc>
                <w:tcPr>
                  <w:tcW w:w="1042" w:type="pct"/>
                  <w:vAlign w:val="center"/>
                </w:tcPr>
                <w:p>
                  <w:pPr>
                    <w:pStyle w:val="112"/>
                    <w:spacing w:before="0" w:after="0" w:line="240" w:lineRule="exact"/>
                    <w:jc w:val="center"/>
                    <w:rPr>
                      <w:sz w:val="18"/>
                      <w:szCs w:val="18"/>
                    </w:rPr>
                  </w:pPr>
                  <w:r>
                    <w:rPr>
                      <w:rFonts w:hint="eastAsia"/>
                      <w:sz w:val="18"/>
                      <w:szCs w:val="18"/>
                    </w:rPr>
                    <w:t>昼间</w:t>
                  </w:r>
                </w:p>
              </w:tc>
              <w:tc>
                <w:tcPr>
                  <w:tcW w:w="1292" w:type="pct"/>
                  <w:vAlign w:val="center"/>
                </w:tcPr>
                <w:p>
                  <w:pPr>
                    <w:pStyle w:val="112"/>
                    <w:spacing w:before="0" w:after="0" w:line="240" w:lineRule="exact"/>
                    <w:jc w:val="center"/>
                    <w:rPr>
                      <w:sz w:val="18"/>
                      <w:szCs w:val="18"/>
                    </w:rPr>
                  </w:pPr>
                  <w:r>
                    <w:rPr>
                      <w:rFonts w:hint="eastAsia"/>
                      <w:sz w:val="18"/>
                      <w:szCs w:val="18"/>
                    </w:rPr>
                    <w:t>62.12</w:t>
                  </w:r>
                </w:p>
              </w:tc>
              <w:tc>
                <w:tcPr>
                  <w:tcW w:w="803" w:type="pct"/>
                  <w:vAlign w:val="center"/>
                </w:tcPr>
                <w:p>
                  <w:pPr>
                    <w:pStyle w:val="112"/>
                    <w:spacing w:before="0" w:after="0" w:line="240" w:lineRule="exact"/>
                    <w:jc w:val="center"/>
                    <w:rPr>
                      <w:sz w:val="18"/>
                      <w:szCs w:val="18"/>
                    </w:rPr>
                  </w:pPr>
                  <w:r>
                    <w:rPr>
                      <w:rFonts w:hint="eastAsia"/>
                      <w:sz w:val="18"/>
                      <w:szCs w:val="18"/>
                    </w:rPr>
                    <w:t>65</w:t>
                  </w:r>
                </w:p>
              </w:tc>
              <w:tc>
                <w:tcPr>
                  <w:tcW w:w="999" w:type="pct"/>
                  <w:tcBorders>
                    <w:right w:val="single" w:color="auto" w:sz="4" w:space="0"/>
                  </w:tcBorders>
                  <w:vAlign w:val="center"/>
                </w:tcPr>
                <w:p>
                  <w:pPr>
                    <w:pStyle w:val="112"/>
                    <w:spacing w:before="0" w:after="0" w:line="24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pct"/>
                  <w:tcBorders>
                    <w:left w:val="single" w:color="auto" w:sz="4" w:space="0"/>
                  </w:tcBorders>
                  <w:vAlign w:val="center"/>
                </w:tcPr>
                <w:p>
                  <w:pPr>
                    <w:pStyle w:val="36"/>
                    <w:spacing w:beforeLines="0" w:afterLines="0" w:line="240" w:lineRule="exact"/>
                    <w:rPr>
                      <w:sz w:val="18"/>
                      <w:szCs w:val="18"/>
                    </w:rPr>
                  </w:pPr>
                  <w:r>
                    <w:rPr>
                      <w:rFonts w:hint="eastAsia"/>
                      <w:sz w:val="18"/>
                      <w:szCs w:val="18"/>
                    </w:rPr>
                    <w:t>南厂界</w:t>
                  </w:r>
                </w:p>
              </w:tc>
              <w:tc>
                <w:tcPr>
                  <w:tcW w:w="1042" w:type="pct"/>
                  <w:vAlign w:val="center"/>
                </w:tcPr>
                <w:p>
                  <w:pPr>
                    <w:pStyle w:val="112"/>
                    <w:spacing w:before="0" w:after="0" w:line="240" w:lineRule="exact"/>
                    <w:jc w:val="center"/>
                    <w:rPr>
                      <w:sz w:val="18"/>
                      <w:szCs w:val="18"/>
                    </w:rPr>
                  </w:pPr>
                  <w:r>
                    <w:rPr>
                      <w:rFonts w:hint="eastAsia"/>
                      <w:sz w:val="18"/>
                      <w:szCs w:val="18"/>
                    </w:rPr>
                    <w:t>昼间</w:t>
                  </w:r>
                </w:p>
              </w:tc>
              <w:tc>
                <w:tcPr>
                  <w:tcW w:w="1292" w:type="pct"/>
                  <w:vAlign w:val="center"/>
                </w:tcPr>
                <w:p>
                  <w:pPr>
                    <w:pStyle w:val="112"/>
                    <w:spacing w:before="0" w:after="0" w:line="240" w:lineRule="exact"/>
                    <w:jc w:val="center"/>
                    <w:rPr>
                      <w:sz w:val="18"/>
                      <w:szCs w:val="18"/>
                    </w:rPr>
                  </w:pPr>
                  <w:r>
                    <w:rPr>
                      <w:rFonts w:hint="eastAsia"/>
                      <w:sz w:val="18"/>
                      <w:szCs w:val="18"/>
                    </w:rPr>
                    <w:t>61.35</w:t>
                  </w:r>
                </w:p>
              </w:tc>
              <w:tc>
                <w:tcPr>
                  <w:tcW w:w="803" w:type="pct"/>
                  <w:vAlign w:val="center"/>
                </w:tcPr>
                <w:p>
                  <w:pPr>
                    <w:pStyle w:val="112"/>
                    <w:spacing w:before="0" w:after="0" w:line="240" w:lineRule="exact"/>
                    <w:jc w:val="center"/>
                    <w:rPr>
                      <w:sz w:val="18"/>
                      <w:szCs w:val="18"/>
                    </w:rPr>
                  </w:pPr>
                  <w:r>
                    <w:rPr>
                      <w:rFonts w:hint="eastAsia"/>
                      <w:sz w:val="18"/>
                      <w:szCs w:val="18"/>
                    </w:rPr>
                    <w:t>65</w:t>
                  </w:r>
                </w:p>
              </w:tc>
              <w:tc>
                <w:tcPr>
                  <w:tcW w:w="999" w:type="pct"/>
                  <w:tcBorders>
                    <w:right w:val="single" w:color="auto" w:sz="4" w:space="0"/>
                  </w:tcBorders>
                  <w:vAlign w:val="center"/>
                </w:tcPr>
                <w:p>
                  <w:pPr>
                    <w:pStyle w:val="112"/>
                    <w:spacing w:before="0" w:after="0" w:line="24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pct"/>
                  <w:tcBorders>
                    <w:left w:val="single" w:color="auto" w:sz="4" w:space="0"/>
                  </w:tcBorders>
                  <w:vAlign w:val="center"/>
                </w:tcPr>
                <w:p>
                  <w:pPr>
                    <w:pStyle w:val="36"/>
                    <w:spacing w:beforeLines="0" w:afterLines="0" w:line="240" w:lineRule="exact"/>
                    <w:rPr>
                      <w:sz w:val="18"/>
                      <w:szCs w:val="18"/>
                    </w:rPr>
                  </w:pPr>
                  <w:r>
                    <w:rPr>
                      <w:rFonts w:hint="eastAsia"/>
                      <w:sz w:val="18"/>
                      <w:szCs w:val="18"/>
                    </w:rPr>
                    <w:t>西厂界</w:t>
                  </w:r>
                </w:p>
              </w:tc>
              <w:tc>
                <w:tcPr>
                  <w:tcW w:w="1042" w:type="pct"/>
                  <w:vAlign w:val="center"/>
                </w:tcPr>
                <w:p>
                  <w:pPr>
                    <w:pStyle w:val="112"/>
                    <w:spacing w:before="0" w:after="0" w:line="240" w:lineRule="exact"/>
                    <w:jc w:val="center"/>
                    <w:rPr>
                      <w:sz w:val="18"/>
                      <w:szCs w:val="18"/>
                    </w:rPr>
                  </w:pPr>
                  <w:r>
                    <w:rPr>
                      <w:rFonts w:hint="eastAsia"/>
                      <w:sz w:val="18"/>
                      <w:szCs w:val="18"/>
                    </w:rPr>
                    <w:t>昼间</w:t>
                  </w:r>
                </w:p>
              </w:tc>
              <w:tc>
                <w:tcPr>
                  <w:tcW w:w="1292" w:type="pct"/>
                  <w:vAlign w:val="center"/>
                </w:tcPr>
                <w:p>
                  <w:pPr>
                    <w:pStyle w:val="112"/>
                    <w:spacing w:before="0" w:after="0" w:line="240" w:lineRule="exact"/>
                    <w:jc w:val="center"/>
                    <w:rPr>
                      <w:sz w:val="18"/>
                      <w:szCs w:val="18"/>
                    </w:rPr>
                  </w:pPr>
                  <w:r>
                    <w:rPr>
                      <w:rFonts w:hint="eastAsia"/>
                      <w:sz w:val="18"/>
                      <w:szCs w:val="18"/>
                    </w:rPr>
                    <w:t>59.12</w:t>
                  </w:r>
                </w:p>
              </w:tc>
              <w:tc>
                <w:tcPr>
                  <w:tcW w:w="803" w:type="pct"/>
                  <w:vAlign w:val="center"/>
                </w:tcPr>
                <w:p>
                  <w:pPr>
                    <w:pStyle w:val="112"/>
                    <w:spacing w:before="0" w:after="0" w:line="240" w:lineRule="exact"/>
                    <w:jc w:val="center"/>
                    <w:rPr>
                      <w:sz w:val="18"/>
                      <w:szCs w:val="18"/>
                    </w:rPr>
                  </w:pPr>
                  <w:r>
                    <w:rPr>
                      <w:rFonts w:hint="eastAsia"/>
                      <w:sz w:val="18"/>
                      <w:szCs w:val="18"/>
                    </w:rPr>
                    <w:t>65</w:t>
                  </w:r>
                </w:p>
              </w:tc>
              <w:tc>
                <w:tcPr>
                  <w:tcW w:w="999" w:type="pct"/>
                  <w:tcBorders>
                    <w:right w:val="single" w:color="auto" w:sz="4" w:space="0"/>
                  </w:tcBorders>
                  <w:vAlign w:val="center"/>
                </w:tcPr>
                <w:p>
                  <w:pPr>
                    <w:pStyle w:val="112"/>
                    <w:spacing w:before="0" w:after="0" w:line="240" w:lineRule="exact"/>
                    <w:jc w:val="center"/>
                    <w:rPr>
                      <w:sz w:val="18"/>
                      <w:szCs w:val="18"/>
                    </w:rPr>
                  </w:pPr>
                  <w:r>
                    <w:rPr>
                      <w:rFonts w:hint="eastAsia"/>
                      <w:sz w:val="18"/>
                      <w:szCs w:val="18"/>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pct"/>
                  <w:tcBorders>
                    <w:left w:val="single" w:color="auto" w:sz="4" w:space="0"/>
                  </w:tcBorders>
                  <w:vAlign w:val="center"/>
                </w:tcPr>
                <w:p>
                  <w:pPr>
                    <w:pStyle w:val="36"/>
                    <w:spacing w:beforeLines="0" w:afterLines="0" w:line="240" w:lineRule="exact"/>
                    <w:rPr>
                      <w:sz w:val="18"/>
                      <w:szCs w:val="18"/>
                    </w:rPr>
                  </w:pPr>
                  <w:r>
                    <w:rPr>
                      <w:rFonts w:hint="eastAsia"/>
                      <w:sz w:val="18"/>
                      <w:szCs w:val="18"/>
                    </w:rPr>
                    <w:t>北厂界</w:t>
                  </w:r>
                </w:p>
              </w:tc>
              <w:tc>
                <w:tcPr>
                  <w:tcW w:w="1042" w:type="pct"/>
                  <w:vAlign w:val="center"/>
                </w:tcPr>
                <w:p>
                  <w:pPr>
                    <w:pStyle w:val="112"/>
                    <w:spacing w:before="0" w:after="0" w:line="240" w:lineRule="exact"/>
                    <w:jc w:val="center"/>
                    <w:rPr>
                      <w:sz w:val="18"/>
                      <w:szCs w:val="18"/>
                    </w:rPr>
                  </w:pPr>
                  <w:r>
                    <w:rPr>
                      <w:rFonts w:hint="eastAsia"/>
                      <w:sz w:val="18"/>
                      <w:szCs w:val="18"/>
                    </w:rPr>
                    <w:t>昼间</w:t>
                  </w:r>
                </w:p>
              </w:tc>
              <w:tc>
                <w:tcPr>
                  <w:tcW w:w="1292" w:type="pct"/>
                  <w:vAlign w:val="center"/>
                </w:tcPr>
                <w:p>
                  <w:pPr>
                    <w:pStyle w:val="112"/>
                    <w:spacing w:before="0" w:after="0" w:line="240" w:lineRule="exact"/>
                    <w:jc w:val="center"/>
                    <w:rPr>
                      <w:sz w:val="18"/>
                      <w:szCs w:val="18"/>
                    </w:rPr>
                  </w:pPr>
                  <w:r>
                    <w:rPr>
                      <w:rFonts w:hint="eastAsia"/>
                      <w:sz w:val="18"/>
                      <w:szCs w:val="18"/>
                    </w:rPr>
                    <w:t>59.75</w:t>
                  </w:r>
                </w:p>
              </w:tc>
              <w:tc>
                <w:tcPr>
                  <w:tcW w:w="803" w:type="pct"/>
                  <w:vAlign w:val="center"/>
                </w:tcPr>
                <w:p>
                  <w:pPr>
                    <w:pStyle w:val="112"/>
                    <w:spacing w:before="0" w:after="0" w:line="240" w:lineRule="exact"/>
                    <w:jc w:val="center"/>
                    <w:rPr>
                      <w:sz w:val="18"/>
                      <w:szCs w:val="18"/>
                    </w:rPr>
                  </w:pPr>
                  <w:r>
                    <w:rPr>
                      <w:rFonts w:hint="eastAsia"/>
                      <w:sz w:val="18"/>
                      <w:szCs w:val="18"/>
                    </w:rPr>
                    <w:t>65</w:t>
                  </w:r>
                </w:p>
              </w:tc>
              <w:tc>
                <w:tcPr>
                  <w:tcW w:w="999" w:type="pct"/>
                  <w:tcBorders>
                    <w:right w:val="single" w:color="auto" w:sz="4" w:space="0"/>
                  </w:tcBorders>
                  <w:vAlign w:val="center"/>
                </w:tcPr>
                <w:p>
                  <w:pPr>
                    <w:pStyle w:val="112"/>
                    <w:spacing w:before="0" w:after="0" w:line="240" w:lineRule="exact"/>
                    <w:jc w:val="center"/>
                    <w:rPr>
                      <w:sz w:val="18"/>
                      <w:szCs w:val="18"/>
                    </w:rPr>
                  </w:pPr>
                  <w:r>
                    <w:rPr>
                      <w:rFonts w:hint="eastAsia"/>
                      <w:sz w:val="18"/>
                      <w:szCs w:val="18"/>
                    </w:rPr>
                    <w:t>达标</w:t>
                  </w:r>
                </w:p>
              </w:tc>
            </w:tr>
          </w:tbl>
          <w:p>
            <w:pPr>
              <w:adjustRightInd w:val="0"/>
              <w:snapToGrid w:val="0"/>
              <w:spacing w:line="360" w:lineRule="auto"/>
              <w:ind w:firstLine="480" w:firstLineChars="200"/>
              <w:rPr>
                <w:sz w:val="24"/>
              </w:rPr>
            </w:pPr>
            <w:r>
              <w:rPr>
                <w:sz w:val="24"/>
              </w:rPr>
              <w:t>根据表</w:t>
            </w:r>
            <w:r>
              <w:rPr>
                <w:rFonts w:hint="eastAsia"/>
                <w:bCs/>
                <w:sz w:val="24"/>
                <w:szCs w:val="21"/>
              </w:rPr>
              <w:t>4.2.3-2</w:t>
            </w:r>
            <w:r>
              <w:rPr>
                <w:sz w:val="24"/>
              </w:rPr>
              <w:t>的预测结果可以看出</w:t>
            </w:r>
            <w:r>
              <w:rPr>
                <w:rFonts w:hint="eastAsia"/>
                <w:sz w:val="24"/>
              </w:rPr>
              <w:t>，</w:t>
            </w:r>
            <w:r>
              <w:rPr>
                <w:sz w:val="24"/>
              </w:rPr>
              <w:t>设备噪声源厂界噪声</w:t>
            </w:r>
            <w:r>
              <w:rPr>
                <w:rFonts w:hint="eastAsia"/>
                <w:sz w:val="24"/>
              </w:rPr>
              <w:t>预测值</w:t>
            </w:r>
            <w:r>
              <w:rPr>
                <w:sz w:val="24"/>
              </w:rPr>
              <w:t>符合《工业企业厂界环境噪声排放标准》（GB12348-2008）中</w:t>
            </w:r>
            <w:r>
              <w:rPr>
                <w:rFonts w:hint="eastAsia"/>
                <w:sz w:val="24"/>
              </w:rPr>
              <w:t>3类要求</w:t>
            </w:r>
            <w:r>
              <w:rPr>
                <w:sz w:val="24"/>
                <w:szCs w:val="21"/>
              </w:rPr>
              <w:t>，</w:t>
            </w:r>
            <w:r>
              <w:rPr>
                <w:sz w:val="24"/>
              </w:rPr>
              <w:t>拟建项目噪声对周边环境影响较小。</w:t>
            </w:r>
          </w:p>
          <w:p>
            <w:pPr>
              <w:adjustRightInd w:val="0"/>
              <w:snapToGrid w:val="0"/>
              <w:spacing w:line="360" w:lineRule="auto"/>
              <w:ind w:firstLine="29" w:firstLineChars="12"/>
              <w:rPr>
                <w:b/>
                <w:bCs/>
                <w:sz w:val="24"/>
              </w:rPr>
            </w:pPr>
            <w:r>
              <w:rPr>
                <w:rFonts w:hint="eastAsia"/>
                <w:b/>
                <w:bCs/>
                <w:sz w:val="24"/>
              </w:rPr>
              <w:t>4.2.3.3 营运期噪声污染源监测计划</w:t>
            </w:r>
          </w:p>
          <w:p>
            <w:pPr>
              <w:adjustRightInd w:val="0"/>
              <w:snapToGrid w:val="0"/>
              <w:spacing w:line="360" w:lineRule="auto"/>
              <w:ind w:firstLine="480" w:firstLineChars="200"/>
              <w:rPr>
                <w:bCs/>
                <w:sz w:val="24"/>
              </w:rPr>
            </w:pPr>
            <w:r>
              <w:rPr>
                <w:rFonts w:hint="eastAsia"/>
                <w:bCs/>
                <w:sz w:val="24"/>
              </w:rPr>
              <w:t>按照建设项目环境保护管理有关规定，需要对本项目营运期的污染源进行定期监测，以了解环境保护治理设施的运行情况，为拟定正确的环境保护计划提供依据。监测重点是对本项目营运期的污染源进行监测，根据《排污单位自行监测技术指南 总则》（HJ 819-2017），拟建项目具体监测内容和频率见表4.2.3-3。</w:t>
            </w:r>
          </w:p>
          <w:p>
            <w:pPr>
              <w:adjustRightInd w:val="0"/>
              <w:snapToGrid w:val="0"/>
              <w:spacing w:line="360" w:lineRule="auto"/>
              <w:ind w:firstLine="360" w:firstLineChars="200"/>
              <w:jc w:val="center"/>
              <w:rPr>
                <w:bCs/>
                <w:sz w:val="18"/>
                <w:szCs w:val="18"/>
              </w:rPr>
            </w:pPr>
            <w:r>
              <w:rPr>
                <w:rFonts w:hint="eastAsia"/>
                <w:bCs/>
                <w:sz w:val="18"/>
                <w:szCs w:val="18"/>
              </w:rPr>
              <w:t>表4.2.3-3本项目营运期噪声污染源监测计划一览表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12"/>
              <w:gridCol w:w="1606"/>
              <w:gridCol w:w="1274"/>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40" w:lineRule="exact"/>
                    <w:jc w:val="center"/>
                    <w:rPr>
                      <w:bCs/>
                      <w:sz w:val="18"/>
                      <w:szCs w:val="18"/>
                    </w:rPr>
                  </w:pPr>
                  <w:r>
                    <w:rPr>
                      <w:rFonts w:hint="eastAsia"/>
                      <w:bCs/>
                      <w:sz w:val="18"/>
                      <w:szCs w:val="18"/>
                    </w:rPr>
                    <w:t>分类</w:t>
                  </w:r>
                </w:p>
              </w:tc>
              <w:tc>
                <w:tcPr>
                  <w:tcW w:w="1212" w:type="dxa"/>
                  <w:vAlign w:val="center"/>
                </w:tcPr>
                <w:p>
                  <w:pPr>
                    <w:adjustRightInd w:val="0"/>
                    <w:snapToGrid w:val="0"/>
                    <w:spacing w:line="240" w:lineRule="exact"/>
                    <w:jc w:val="center"/>
                    <w:rPr>
                      <w:bCs/>
                      <w:sz w:val="18"/>
                      <w:szCs w:val="18"/>
                    </w:rPr>
                  </w:pPr>
                  <w:r>
                    <w:rPr>
                      <w:rFonts w:hint="eastAsia"/>
                      <w:bCs/>
                      <w:sz w:val="18"/>
                      <w:szCs w:val="18"/>
                    </w:rPr>
                    <w:t>采样点位置</w:t>
                  </w:r>
                </w:p>
              </w:tc>
              <w:tc>
                <w:tcPr>
                  <w:tcW w:w="1606" w:type="dxa"/>
                  <w:vAlign w:val="center"/>
                </w:tcPr>
                <w:p>
                  <w:pPr>
                    <w:adjustRightInd w:val="0"/>
                    <w:snapToGrid w:val="0"/>
                    <w:spacing w:line="240" w:lineRule="exact"/>
                    <w:jc w:val="center"/>
                    <w:rPr>
                      <w:bCs/>
                      <w:sz w:val="18"/>
                      <w:szCs w:val="18"/>
                    </w:rPr>
                  </w:pPr>
                  <w:r>
                    <w:rPr>
                      <w:rFonts w:hint="eastAsia"/>
                      <w:bCs/>
                      <w:sz w:val="18"/>
                      <w:szCs w:val="18"/>
                    </w:rPr>
                    <w:t>监测项目</w:t>
                  </w:r>
                </w:p>
              </w:tc>
              <w:tc>
                <w:tcPr>
                  <w:tcW w:w="1274" w:type="dxa"/>
                  <w:vAlign w:val="center"/>
                </w:tcPr>
                <w:p>
                  <w:pPr>
                    <w:adjustRightInd w:val="0"/>
                    <w:snapToGrid w:val="0"/>
                    <w:spacing w:line="240" w:lineRule="exact"/>
                    <w:jc w:val="center"/>
                    <w:rPr>
                      <w:bCs/>
                      <w:sz w:val="18"/>
                      <w:szCs w:val="18"/>
                    </w:rPr>
                  </w:pPr>
                  <w:r>
                    <w:rPr>
                      <w:rFonts w:hint="eastAsia"/>
                      <w:bCs/>
                      <w:sz w:val="18"/>
                      <w:szCs w:val="18"/>
                    </w:rPr>
                    <w:t>监测频次</w:t>
                  </w:r>
                </w:p>
              </w:tc>
              <w:tc>
                <w:tcPr>
                  <w:tcW w:w="3094" w:type="dxa"/>
                  <w:vAlign w:val="center"/>
                </w:tcPr>
                <w:p>
                  <w:pPr>
                    <w:spacing w:line="240" w:lineRule="exact"/>
                    <w:jc w:val="center"/>
                    <w:rPr>
                      <w:bCs/>
                      <w:sz w:val="18"/>
                      <w:szCs w:val="18"/>
                    </w:rPr>
                  </w:pPr>
                  <w:r>
                    <w:rPr>
                      <w:rFonts w:hint="eastAsia"/>
                      <w:bCs/>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adjustRightInd w:val="0"/>
                    <w:snapToGrid w:val="0"/>
                    <w:spacing w:line="240" w:lineRule="exact"/>
                    <w:jc w:val="center"/>
                    <w:rPr>
                      <w:bCs/>
                      <w:sz w:val="18"/>
                      <w:szCs w:val="18"/>
                    </w:rPr>
                  </w:pPr>
                  <w:r>
                    <w:rPr>
                      <w:rFonts w:hint="eastAsia"/>
                      <w:bCs/>
                      <w:sz w:val="18"/>
                      <w:szCs w:val="18"/>
                    </w:rPr>
                    <w:t>噪声</w:t>
                  </w:r>
                </w:p>
              </w:tc>
              <w:tc>
                <w:tcPr>
                  <w:tcW w:w="1212" w:type="dxa"/>
                  <w:vAlign w:val="center"/>
                </w:tcPr>
                <w:p>
                  <w:pPr>
                    <w:adjustRightInd w:val="0"/>
                    <w:snapToGrid w:val="0"/>
                    <w:spacing w:line="240" w:lineRule="exact"/>
                    <w:jc w:val="center"/>
                    <w:rPr>
                      <w:bCs/>
                      <w:sz w:val="18"/>
                      <w:szCs w:val="18"/>
                    </w:rPr>
                  </w:pPr>
                  <w:r>
                    <w:rPr>
                      <w:rFonts w:hint="eastAsia"/>
                      <w:bCs/>
                      <w:sz w:val="18"/>
                      <w:szCs w:val="18"/>
                    </w:rPr>
                    <w:t>各厂界</w:t>
                  </w:r>
                </w:p>
              </w:tc>
              <w:tc>
                <w:tcPr>
                  <w:tcW w:w="1606" w:type="dxa"/>
                  <w:vAlign w:val="center"/>
                </w:tcPr>
                <w:p>
                  <w:pPr>
                    <w:adjustRightInd w:val="0"/>
                    <w:snapToGrid w:val="0"/>
                    <w:spacing w:line="240" w:lineRule="exact"/>
                    <w:jc w:val="center"/>
                    <w:rPr>
                      <w:bCs/>
                      <w:sz w:val="18"/>
                      <w:szCs w:val="18"/>
                    </w:rPr>
                  </w:pPr>
                  <w:r>
                    <w:rPr>
                      <w:rFonts w:hint="eastAsia"/>
                      <w:bCs/>
                      <w:sz w:val="18"/>
                      <w:szCs w:val="18"/>
                    </w:rPr>
                    <w:t>昼间等效A声级</w:t>
                  </w:r>
                </w:p>
              </w:tc>
              <w:tc>
                <w:tcPr>
                  <w:tcW w:w="1274" w:type="dxa"/>
                  <w:vAlign w:val="center"/>
                </w:tcPr>
                <w:p>
                  <w:pPr>
                    <w:adjustRightInd w:val="0"/>
                    <w:snapToGrid w:val="0"/>
                    <w:spacing w:line="240" w:lineRule="exact"/>
                    <w:jc w:val="center"/>
                    <w:rPr>
                      <w:bCs/>
                      <w:sz w:val="18"/>
                      <w:szCs w:val="18"/>
                    </w:rPr>
                  </w:pPr>
                  <w:r>
                    <w:rPr>
                      <w:rFonts w:hint="eastAsia"/>
                      <w:bCs/>
                      <w:sz w:val="18"/>
                      <w:szCs w:val="18"/>
                    </w:rPr>
                    <w:t>季度/次</w:t>
                  </w:r>
                </w:p>
              </w:tc>
              <w:tc>
                <w:tcPr>
                  <w:tcW w:w="3094" w:type="dxa"/>
                  <w:vAlign w:val="center"/>
                </w:tcPr>
                <w:p>
                  <w:pPr>
                    <w:spacing w:line="240" w:lineRule="exact"/>
                    <w:jc w:val="center"/>
                    <w:rPr>
                      <w:sz w:val="18"/>
                      <w:szCs w:val="18"/>
                    </w:rPr>
                  </w:pPr>
                  <w:r>
                    <w:rPr>
                      <w:rFonts w:hint="eastAsia"/>
                      <w:sz w:val="18"/>
                      <w:szCs w:val="18"/>
                    </w:rPr>
                    <w:t>《工业企业厂界环境噪声排放标准》（GB12348-2008）3类标准</w:t>
                  </w:r>
                </w:p>
              </w:tc>
            </w:tr>
          </w:tbl>
          <w:p>
            <w:pPr>
              <w:adjustRightInd w:val="0"/>
              <w:snapToGrid w:val="0"/>
              <w:spacing w:line="480" w:lineRule="exact"/>
              <w:rPr>
                <w:b/>
                <w:bCs/>
                <w:sz w:val="24"/>
              </w:rPr>
            </w:pPr>
            <w:r>
              <w:rPr>
                <w:rFonts w:hint="eastAsia"/>
                <w:b/>
                <w:bCs/>
                <w:sz w:val="24"/>
              </w:rPr>
              <w:t>4.2.4固体废物</w:t>
            </w:r>
          </w:p>
          <w:p>
            <w:pPr>
              <w:adjustRightInd w:val="0"/>
              <w:snapToGrid w:val="0"/>
              <w:spacing w:line="480" w:lineRule="exact"/>
              <w:ind w:firstLine="480" w:firstLineChars="200"/>
              <w:rPr>
                <w:bCs/>
                <w:sz w:val="24"/>
              </w:rPr>
            </w:pPr>
            <w:r>
              <w:rPr>
                <w:rFonts w:hint="eastAsia"/>
                <w:bCs/>
                <w:sz w:val="24"/>
              </w:rPr>
              <w:t>拟建项目产生的固体废物主要包括危险废物（废铅蓄电池、含多氯联苯的废电容器、废尾气催化剂、废矿物油与含矿物油废物、废电路板及其元件、废机油滤清器、废油箱、石棉废物、含汞废物、污水处理站污泥、废含油抹布及劳保用品、废活性炭、沾染危化品的废包装材料），一般工业固废（废旧动力蓄电池（不包含铅蓄电池）、废液化气罐、引爆后的安全气囊、废制冷剂、布袋除尘器截留粉尘）、其他废物（破碎的玻璃、轮胎、轮毂、塑料等）以及生活垃圾。</w:t>
            </w:r>
          </w:p>
          <w:p>
            <w:pPr>
              <w:adjustRightInd w:val="0"/>
              <w:snapToGrid w:val="0"/>
              <w:spacing w:line="480" w:lineRule="exact"/>
              <w:ind w:firstLine="480" w:firstLineChars="200"/>
              <w:rPr>
                <w:bCs/>
                <w:sz w:val="24"/>
              </w:rPr>
            </w:pPr>
            <w:r>
              <w:rPr>
                <w:rFonts w:hint="eastAsia"/>
                <w:bCs/>
                <w:sz w:val="24"/>
              </w:rPr>
              <w:t>（1）危险废物</w:t>
            </w:r>
          </w:p>
          <w:p>
            <w:pPr>
              <w:adjustRightInd w:val="0"/>
              <w:snapToGrid w:val="0"/>
              <w:spacing w:line="480" w:lineRule="exact"/>
              <w:ind w:firstLine="480" w:firstLineChars="200"/>
              <w:rPr>
                <w:bCs/>
                <w:sz w:val="24"/>
              </w:rPr>
            </w:pPr>
            <w:r>
              <w:rPr>
                <w:rFonts w:hint="eastAsia"/>
                <w:bCs/>
                <w:sz w:val="24"/>
              </w:rPr>
              <w:t>废铅蓄电池：根据《报废机动车拆解企业污染控制技术规范》（HJ348-</w:t>
            </w:r>
            <w:r>
              <w:rPr>
                <w:bCs/>
                <w:sz w:val="24"/>
              </w:rPr>
              <w:t>2022</w:t>
            </w:r>
            <w:r>
              <w:rPr>
                <w:rFonts w:hint="eastAsia"/>
                <w:bCs/>
                <w:sz w:val="24"/>
              </w:rPr>
              <w:t>），废铅蓄电池应按照危险废物的有关规定进行管理和处置。根据物料平衡，拟建项目废蓄电池产生量为</w:t>
            </w:r>
            <w:r>
              <w:rPr>
                <w:bCs/>
                <w:sz w:val="24"/>
              </w:rPr>
              <w:t>1215</w:t>
            </w:r>
            <w:r>
              <w:rPr>
                <w:rFonts w:hint="eastAsia"/>
                <w:bCs/>
                <w:sz w:val="24"/>
              </w:rPr>
              <w:t>t/a，属于危险废</w:t>
            </w:r>
            <w:r>
              <w:rPr>
                <w:bCs/>
                <w:sz w:val="24"/>
              </w:rPr>
              <w:t>物HW31（900-052-31）</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bCs/>
                <w:sz w:val="24"/>
              </w:rPr>
              <w:t>含多氯联苯的废电容器</w:t>
            </w:r>
            <w:r>
              <w:rPr>
                <w:rFonts w:hint="eastAsia"/>
                <w:sz w:val="24"/>
              </w:rPr>
              <w:t>：拟建项目</w:t>
            </w:r>
            <w:r>
              <w:rPr>
                <w:rFonts w:hint="eastAsia"/>
                <w:bCs/>
                <w:sz w:val="24"/>
              </w:rPr>
              <w:t>含多氯联苯的废电容器</w:t>
            </w:r>
            <w:r>
              <w:rPr>
                <w:rFonts w:hint="eastAsia"/>
                <w:sz w:val="24"/>
              </w:rPr>
              <w:t>量为</w:t>
            </w:r>
            <w:r>
              <w:rPr>
                <w:sz w:val="24"/>
              </w:rPr>
              <w:t>147</w:t>
            </w:r>
            <w:r>
              <w:rPr>
                <w:rFonts w:hint="eastAsia"/>
                <w:sz w:val="24"/>
              </w:rPr>
              <w:t>t/a，属于危险</w:t>
            </w:r>
            <w:r>
              <w:rPr>
                <w:sz w:val="24"/>
              </w:rPr>
              <w:t>废物HW10</w:t>
            </w:r>
            <w:r>
              <w:rPr>
                <w:rFonts w:hint="eastAsia"/>
                <w:sz w:val="24"/>
              </w:rPr>
              <w:t>（</w:t>
            </w:r>
            <w:r>
              <w:rPr>
                <w:sz w:val="24"/>
              </w:rPr>
              <w:t>900-008-10</w:t>
            </w:r>
            <w:r>
              <w:rPr>
                <w:rFonts w:hint="eastAsia"/>
                <w:sz w:val="24"/>
              </w:rPr>
              <w:t>）</w:t>
            </w:r>
            <w:r>
              <w:rPr>
                <w:sz w:val="24"/>
              </w:rPr>
              <w:t>，集中收集后，</w:t>
            </w:r>
            <w:r>
              <w:rPr>
                <w:rFonts w:hint="eastAsia"/>
                <w:bCs/>
                <w:sz w:val="24"/>
              </w:rPr>
              <w:t>交由持有相应类别危险废物经营许可证的单位处理。</w:t>
            </w:r>
          </w:p>
          <w:p>
            <w:pPr>
              <w:adjustRightInd w:val="0"/>
              <w:snapToGrid w:val="0"/>
              <w:spacing w:line="480" w:lineRule="exact"/>
              <w:ind w:firstLine="480" w:firstLineChars="200"/>
              <w:rPr>
                <w:bCs/>
                <w:sz w:val="24"/>
              </w:rPr>
            </w:pPr>
            <w:r>
              <w:rPr>
                <w:rFonts w:hint="eastAsia"/>
                <w:bCs/>
                <w:sz w:val="24"/>
              </w:rPr>
              <w:t>废尾气催化剂：根据《报废机动车拆解企业污染控制技术规范》（HJ348-</w:t>
            </w:r>
            <w:r>
              <w:rPr>
                <w:bCs/>
                <w:sz w:val="24"/>
              </w:rPr>
              <w:t>2022</w:t>
            </w:r>
            <w:r>
              <w:rPr>
                <w:rFonts w:hint="eastAsia"/>
                <w:bCs/>
                <w:sz w:val="24"/>
              </w:rPr>
              <w:t>），废尾气催化剂应按照危险废物的有关规定进行管理和处置。根据物料平衡，拟建项目废尾气催化剂产生量为</w:t>
            </w:r>
            <w:r>
              <w:rPr>
                <w:bCs/>
                <w:sz w:val="24"/>
              </w:rPr>
              <w:t>79.49</w:t>
            </w:r>
            <w:r>
              <w:rPr>
                <w:rFonts w:hint="eastAsia"/>
                <w:bCs/>
                <w:sz w:val="24"/>
              </w:rPr>
              <w:t>t/a，属于危险废</w:t>
            </w:r>
            <w:r>
              <w:rPr>
                <w:bCs/>
                <w:sz w:val="24"/>
              </w:rPr>
              <w:t>物HW50（900-049-50）</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bCs/>
                <w:sz w:val="24"/>
              </w:rPr>
              <w:t>废矿物油与含矿物油废物：根据《报废机动车拆解企业污染控制技术规范》（HJ348-</w:t>
            </w:r>
            <w:r>
              <w:rPr>
                <w:bCs/>
                <w:sz w:val="24"/>
              </w:rPr>
              <w:t>2022</w:t>
            </w:r>
            <w:r>
              <w:rPr>
                <w:rFonts w:hint="eastAsia"/>
                <w:bCs/>
                <w:sz w:val="24"/>
              </w:rPr>
              <w:t>），废矿物油与含矿物油废物应按照危险废物的有关规定进行管理和处置。根据物料平衡，拟建项目废矿物油与含矿物油废物产生量为</w:t>
            </w:r>
            <w:r>
              <w:rPr>
                <w:bCs/>
                <w:sz w:val="24"/>
              </w:rPr>
              <w:t>606.15</w:t>
            </w:r>
            <w:r>
              <w:rPr>
                <w:rFonts w:hint="eastAsia"/>
                <w:bCs/>
                <w:sz w:val="24"/>
              </w:rPr>
              <w:t>t/a，属于危险废</w:t>
            </w:r>
            <w:r>
              <w:rPr>
                <w:bCs/>
                <w:sz w:val="24"/>
              </w:rPr>
              <w:t>物HW08（900-199-08）</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bCs/>
                <w:sz w:val="24"/>
              </w:rPr>
              <w:t>废电路板及其元件：根据《报废机动车拆解企业污染控制技术规范》（HJ348-</w:t>
            </w:r>
            <w:r>
              <w:rPr>
                <w:bCs/>
                <w:sz w:val="24"/>
              </w:rPr>
              <w:t>2022</w:t>
            </w:r>
            <w:r>
              <w:rPr>
                <w:rFonts w:hint="eastAsia"/>
                <w:bCs/>
                <w:sz w:val="24"/>
              </w:rPr>
              <w:t>），废电路板及其元件应按照危险废物的有关规定进行管理和处置。根据物料平衡，拟建项目废电路板及其元件产生量为</w:t>
            </w:r>
            <w:r>
              <w:rPr>
                <w:bCs/>
                <w:sz w:val="24"/>
              </w:rPr>
              <w:t>840</w:t>
            </w:r>
            <w:r>
              <w:rPr>
                <w:rFonts w:hint="eastAsia"/>
                <w:bCs/>
                <w:sz w:val="24"/>
              </w:rPr>
              <w:t>t/a，属于危险废</w:t>
            </w:r>
            <w:r>
              <w:rPr>
                <w:bCs/>
                <w:sz w:val="24"/>
              </w:rPr>
              <w:t>物HW49（900-045-49）</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bCs/>
                <w:sz w:val="24"/>
              </w:rPr>
              <w:t>废机油滤清器：</w:t>
            </w:r>
            <w:r>
              <w:rPr>
                <w:rFonts w:hint="eastAsia"/>
                <w:sz w:val="24"/>
              </w:rPr>
              <w:t>拟建项目</w:t>
            </w:r>
            <w:r>
              <w:rPr>
                <w:rFonts w:hint="eastAsia"/>
                <w:bCs/>
                <w:sz w:val="24"/>
              </w:rPr>
              <w:t>废机油滤清器</w:t>
            </w:r>
            <w:r>
              <w:rPr>
                <w:rFonts w:hint="eastAsia"/>
                <w:sz w:val="24"/>
              </w:rPr>
              <w:t>量为</w:t>
            </w:r>
            <w:r>
              <w:rPr>
                <w:sz w:val="24"/>
              </w:rPr>
              <w:t>9.15</w:t>
            </w:r>
            <w:r>
              <w:rPr>
                <w:rFonts w:hint="eastAsia"/>
                <w:sz w:val="24"/>
              </w:rPr>
              <w:t>t/a，属于危险</w:t>
            </w:r>
            <w:r>
              <w:rPr>
                <w:sz w:val="24"/>
              </w:rPr>
              <w:t>废物HW49</w:t>
            </w:r>
            <w:r>
              <w:rPr>
                <w:rFonts w:hint="eastAsia"/>
                <w:sz w:val="24"/>
              </w:rPr>
              <w:t>（</w:t>
            </w:r>
            <w:r>
              <w:rPr>
                <w:sz w:val="24"/>
              </w:rPr>
              <w:t>900-041-49</w:t>
            </w:r>
            <w:r>
              <w:rPr>
                <w:rFonts w:hint="eastAsia"/>
                <w:sz w:val="24"/>
              </w:rPr>
              <w:t>）</w:t>
            </w:r>
            <w:r>
              <w:rPr>
                <w:sz w:val="24"/>
              </w:rPr>
              <w:t>，集中收集后，</w:t>
            </w:r>
            <w:r>
              <w:rPr>
                <w:rFonts w:hint="eastAsia"/>
                <w:bCs/>
                <w:sz w:val="24"/>
              </w:rPr>
              <w:t>交由持有相应类别危险废物经营许可证的单位处理。</w:t>
            </w:r>
          </w:p>
          <w:p>
            <w:pPr>
              <w:adjustRightInd w:val="0"/>
              <w:snapToGrid w:val="0"/>
              <w:spacing w:line="480" w:lineRule="exact"/>
              <w:ind w:firstLine="480" w:firstLineChars="200"/>
              <w:rPr>
                <w:bCs/>
                <w:sz w:val="24"/>
              </w:rPr>
            </w:pPr>
            <w:r>
              <w:rPr>
                <w:rFonts w:hint="eastAsia"/>
                <w:bCs/>
                <w:sz w:val="24"/>
              </w:rPr>
              <w:t>废油箱：</w:t>
            </w:r>
            <w:r>
              <w:rPr>
                <w:rFonts w:hint="eastAsia"/>
                <w:sz w:val="24"/>
              </w:rPr>
              <w:t>拟建项目</w:t>
            </w:r>
            <w:r>
              <w:rPr>
                <w:rFonts w:hint="eastAsia"/>
                <w:bCs/>
                <w:sz w:val="24"/>
              </w:rPr>
              <w:t>废油箱</w:t>
            </w:r>
            <w:r>
              <w:rPr>
                <w:rFonts w:hint="eastAsia"/>
                <w:sz w:val="24"/>
              </w:rPr>
              <w:t>量为</w:t>
            </w:r>
            <w:r>
              <w:rPr>
                <w:sz w:val="24"/>
              </w:rPr>
              <w:t>652.5</w:t>
            </w:r>
            <w:r>
              <w:rPr>
                <w:rFonts w:hint="eastAsia"/>
                <w:sz w:val="24"/>
              </w:rPr>
              <w:t>t/a，属于危险</w:t>
            </w:r>
            <w:r>
              <w:rPr>
                <w:sz w:val="24"/>
              </w:rPr>
              <w:t>废物HW49</w:t>
            </w:r>
            <w:r>
              <w:rPr>
                <w:rFonts w:hint="eastAsia"/>
                <w:sz w:val="24"/>
              </w:rPr>
              <w:t>（</w:t>
            </w:r>
            <w:r>
              <w:rPr>
                <w:sz w:val="24"/>
              </w:rPr>
              <w:t>900-041-49</w:t>
            </w:r>
            <w:r>
              <w:rPr>
                <w:rFonts w:hint="eastAsia"/>
                <w:sz w:val="24"/>
              </w:rPr>
              <w:t>）</w:t>
            </w:r>
            <w:r>
              <w:rPr>
                <w:sz w:val="24"/>
              </w:rPr>
              <w:t>，集中收集后，</w:t>
            </w:r>
            <w:r>
              <w:rPr>
                <w:rFonts w:hint="eastAsia"/>
                <w:bCs/>
                <w:sz w:val="24"/>
              </w:rPr>
              <w:t>交由持有相应类别危险废物经营许可证的单位处理。</w:t>
            </w:r>
          </w:p>
          <w:p>
            <w:pPr>
              <w:adjustRightInd w:val="0"/>
              <w:snapToGrid w:val="0"/>
              <w:spacing w:line="480" w:lineRule="exact"/>
              <w:ind w:firstLine="480" w:firstLineChars="200"/>
              <w:rPr>
                <w:bCs/>
                <w:sz w:val="24"/>
              </w:rPr>
            </w:pPr>
            <w:r>
              <w:rPr>
                <w:rFonts w:hint="eastAsia"/>
                <w:bCs/>
                <w:sz w:val="24"/>
              </w:rPr>
              <w:t>石棉废物：根据《报废机动车拆解企业污染控制技术规范》（HJ348-</w:t>
            </w:r>
            <w:r>
              <w:rPr>
                <w:bCs/>
                <w:sz w:val="24"/>
              </w:rPr>
              <w:t>2022</w:t>
            </w:r>
            <w:r>
              <w:rPr>
                <w:rFonts w:hint="eastAsia"/>
                <w:bCs/>
                <w:sz w:val="24"/>
              </w:rPr>
              <w:t>），石棉废物应按照危险废物的有关规定进行管理和处置。根据物料平衡，拟建项目石棉废物产生量为</w:t>
            </w:r>
            <w:r>
              <w:rPr>
                <w:bCs/>
                <w:sz w:val="24"/>
              </w:rPr>
              <w:t>1.5</w:t>
            </w:r>
            <w:r>
              <w:rPr>
                <w:rFonts w:hint="eastAsia"/>
                <w:bCs/>
                <w:sz w:val="24"/>
              </w:rPr>
              <w:t>t/a，属于危险废</w:t>
            </w:r>
            <w:r>
              <w:rPr>
                <w:bCs/>
                <w:sz w:val="24"/>
              </w:rPr>
              <w:t>物HW36（900-032-36）</w:t>
            </w:r>
            <w:r>
              <w:rPr>
                <w:rFonts w:hint="eastAsia"/>
                <w:bCs/>
                <w:sz w:val="24"/>
              </w:rPr>
              <w:t>，集中收集后，交由持有相应类别危险废物经营许可证的单位处理。</w:t>
            </w:r>
          </w:p>
          <w:p>
            <w:pPr>
              <w:adjustRightInd w:val="0"/>
              <w:snapToGrid w:val="0"/>
              <w:spacing w:line="480" w:lineRule="exact"/>
              <w:ind w:firstLine="480" w:firstLineChars="200"/>
              <w:rPr>
                <w:bCs/>
                <w:sz w:val="24"/>
              </w:rPr>
            </w:pPr>
            <w:r>
              <w:rPr>
                <w:rFonts w:hint="eastAsia"/>
                <w:bCs/>
                <w:sz w:val="24"/>
              </w:rPr>
              <w:t>含汞废物：根据《报废机动车拆解企业污染控制技术规范》（HJ348-</w:t>
            </w:r>
            <w:r>
              <w:rPr>
                <w:bCs/>
                <w:sz w:val="24"/>
              </w:rPr>
              <w:t>2022</w:t>
            </w:r>
            <w:r>
              <w:rPr>
                <w:rFonts w:hint="eastAsia"/>
                <w:bCs/>
                <w:sz w:val="24"/>
              </w:rPr>
              <w:t>），含汞废物应按照危险废物的有关规定进行管理和处置。根据物料平衡，拟建项目含汞废物产生量为</w:t>
            </w:r>
            <w:r>
              <w:rPr>
                <w:bCs/>
                <w:sz w:val="24"/>
              </w:rPr>
              <w:t>1.5</w:t>
            </w:r>
            <w:r>
              <w:rPr>
                <w:rFonts w:hint="eastAsia"/>
                <w:bCs/>
                <w:sz w:val="24"/>
              </w:rPr>
              <w:t>t/a，属于危险废</w:t>
            </w:r>
            <w:r>
              <w:rPr>
                <w:bCs/>
                <w:sz w:val="24"/>
              </w:rPr>
              <w:t>物HW29（900-023-29）</w:t>
            </w:r>
            <w:r>
              <w:rPr>
                <w:rFonts w:hint="eastAsia"/>
                <w:bCs/>
                <w:sz w:val="24"/>
              </w:rPr>
              <w:t>，集中收集后，交由持有相应类别危险废物经营许可证的单位处理。</w:t>
            </w:r>
          </w:p>
          <w:p>
            <w:pPr>
              <w:adjustRightInd w:val="0"/>
              <w:snapToGrid w:val="0"/>
              <w:spacing w:line="480" w:lineRule="exact"/>
              <w:ind w:firstLine="480" w:firstLineChars="200"/>
              <w:rPr>
                <w:bCs/>
              </w:rPr>
            </w:pPr>
            <w:r>
              <w:rPr>
                <w:rFonts w:hint="eastAsia"/>
                <w:bCs/>
                <w:sz w:val="24"/>
              </w:rPr>
              <w:t>污水处理站污泥：根据业主提供的资料，拟建项目污水处理站中产生的浮渣主要为石油等，约5t/a，属于危险废物HW08（</w:t>
            </w:r>
            <w:r>
              <w:rPr>
                <w:bCs/>
                <w:sz w:val="24"/>
              </w:rPr>
              <w:t>900-210-08</w:t>
            </w:r>
            <w:r>
              <w:rPr>
                <w:rFonts w:hint="eastAsia"/>
                <w:bCs/>
                <w:sz w:val="24"/>
              </w:rPr>
              <w:t>），集中收集后，交有危险废物处理资质的单位处理。</w:t>
            </w:r>
          </w:p>
          <w:p>
            <w:pPr>
              <w:adjustRightInd w:val="0"/>
              <w:snapToGrid w:val="0"/>
              <w:spacing w:line="480" w:lineRule="exact"/>
              <w:ind w:firstLine="480" w:firstLineChars="200"/>
              <w:rPr>
                <w:bCs/>
              </w:rPr>
            </w:pPr>
            <w:r>
              <w:rPr>
                <w:rFonts w:hint="eastAsia"/>
                <w:bCs/>
                <w:sz w:val="24"/>
              </w:rPr>
              <w:t>废含油抹布及劳保用品</w:t>
            </w:r>
            <w:r>
              <w:rPr>
                <w:rFonts w:hint="eastAsia"/>
                <w:bCs/>
              </w:rPr>
              <w:t>：</w:t>
            </w:r>
            <w:r>
              <w:rPr>
                <w:rFonts w:hint="eastAsia"/>
                <w:bCs/>
                <w:sz w:val="24"/>
              </w:rPr>
              <w:t>根据业主提供的资料，拟建项目废含油抹布及劳保用品产生量约0</w:t>
            </w:r>
            <w:r>
              <w:rPr>
                <w:bCs/>
                <w:sz w:val="24"/>
              </w:rPr>
              <w:t>.</w:t>
            </w:r>
            <w:r>
              <w:rPr>
                <w:rFonts w:hint="eastAsia"/>
                <w:bCs/>
                <w:sz w:val="24"/>
              </w:rPr>
              <w:t>5t/a，属于危险废物HW</w:t>
            </w:r>
            <w:r>
              <w:rPr>
                <w:bCs/>
                <w:sz w:val="24"/>
              </w:rPr>
              <w:t>49</w:t>
            </w:r>
            <w:r>
              <w:rPr>
                <w:rFonts w:hint="eastAsia"/>
                <w:bCs/>
                <w:sz w:val="24"/>
              </w:rPr>
              <w:t>（</w:t>
            </w:r>
            <w:r>
              <w:rPr>
                <w:bCs/>
                <w:sz w:val="24"/>
              </w:rPr>
              <w:t>900-041-49</w:t>
            </w:r>
            <w:r>
              <w:rPr>
                <w:rFonts w:hint="eastAsia"/>
                <w:bCs/>
                <w:sz w:val="24"/>
              </w:rPr>
              <w:t>），集中收集后，交有危险废物处理资质的单位处理。</w:t>
            </w:r>
          </w:p>
          <w:p>
            <w:pPr>
              <w:adjustRightInd w:val="0"/>
              <w:snapToGrid w:val="0"/>
              <w:spacing w:line="480" w:lineRule="exact"/>
              <w:ind w:firstLine="480" w:firstLineChars="200"/>
              <w:rPr>
                <w:bCs/>
                <w:sz w:val="24"/>
              </w:rPr>
            </w:pPr>
            <w:r>
              <w:rPr>
                <w:rFonts w:hint="eastAsia"/>
                <w:bCs/>
                <w:sz w:val="24"/>
              </w:rPr>
              <w:t>废活性炭</w:t>
            </w:r>
            <w:r>
              <w:rPr>
                <w:rFonts w:hint="eastAsia"/>
                <w:bCs/>
              </w:rPr>
              <w:t>：</w:t>
            </w:r>
            <w:r>
              <w:rPr>
                <w:rFonts w:hint="eastAsia"/>
                <w:bCs/>
                <w:sz w:val="24"/>
              </w:rPr>
              <w:t>汽车拆解过程产生的油液挥发废气经“二级活性炭吸附”处理。根据废气计算，废气处理装置中活性炭吸附的有机废气约</w:t>
            </w:r>
            <w:r>
              <w:rPr>
                <w:bCs/>
                <w:sz w:val="24"/>
              </w:rPr>
              <w:t>0.05</w:t>
            </w:r>
            <w:r>
              <w:rPr>
                <w:rFonts w:hint="eastAsia"/>
                <w:bCs/>
                <w:sz w:val="24"/>
              </w:rPr>
              <w:t>t/a，活性炭有效吸附量按照经验系数0.25t/t-活性炭计，则需要更换的废活性炭量约</w:t>
            </w:r>
            <w:r>
              <w:rPr>
                <w:bCs/>
                <w:sz w:val="24"/>
              </w:rPr>
              <w:t>0.25</w:t>
            </w:r>
            <w:r>
              <w:rPr>
                <w:rFonts w:hint="eastAsia"/>
                <w:bCs/>
                <w:sz w:val="24"/>
              </w:rPr>
              <w:t>t/a，属于危险废物HW</w:t>
            </w:r>
            <w:r>
              <w:rPr>
                <w:bCs/>
                <w:sz w:val="24"/>
              </w:rPr>
              <w:t>49</w:t>
            </w:r>
            <w:r>
              <w:rPr>
                <w:rFonts w:hint="eastAsia"/>
                <w:bCs/>
                <w:sz w:val="24"/>
              </w:rPr>
              <w:t>（</w:t>
            </w:r>
            <w:r>
              <w:rPr>
                <w:bCs/>
                <w:sz w:val="24"/>
              </w:rPr>
              <w:t>900-039-49</w:t>
            </w:r>
            <w:r>
              <w:rPr>
                <w:rFonts w:hint="eastAsia"/>
                <w:bCs/>
                <w:sz w:val="24"/>
              </w:rPr>
              <w:t>），集中收集后，交由持有相应类别危险废物经营许可证的单位处理。评价要求建设单位应定期更换活性炭，更换频次不得少于一个季度。</w:t>
            </w:r>
          </w:p>
          <w:p>
            <w:pPr>
              <w:adjustRightInd w:val="0"/>
              <w:snapToGrid w:val="0"/>
              <w:spacing w:line="480" w:lineRule="exact"/>
              <w:ind w:firstLine="480" w:firstLineChars="200"/>
              <w:rPr>
                <w:bCs/>
              </w:rPr>
            </w:pPr>
            <w:r>
              <w:rPr>
                <w:rFonts w:hint="eastAsia"/>
                <w:bCs/>
                <w:sz w:val="24"/>
              </w:rPr>
              <w:t>沾染危化品的废包装材料：拟建项目生产过程使用的原辅材料在脱包装过程中产生直接接触原辅料的包装材料，产生量约0.05t/a，属于危险废物HW</w:t>
            </w:r>
            <w:r>
              <w:rPr>
                <w:bCs/>
                <w:sz w:val="24"/>
              </w:rPr>
              <w:t>49</w:t>
            </w:r>
            <w:r>
              <w:rPr>
                <w:rFonts w:hint="eastAsia"/>
                <w:bCs/>
                <w:sz w:val="24"/>
              </w:rPr>
              <w:t>（900-041-49），集中收集后，交有危险废物处理资质的单位处理。</w:t>
            </w:r>
          </w:p>
          <w:p>
            <w:pPr>
              <w:adjustRightInd w:val="0"/>
              <w:snapToGrid w:val="0"/>
              <w:spacing w:line="480" w:lineRule="exact"/>
              <w:ind w:firstLine="480" w:firstLineChars="200"/>
              <w:rPr>
                <w:bCs/>
                <w:sz w:val="24"/>
              </w:rPr>
            </w:pPr>
            <w:r>
              <w:rPr>
                <w:rFonts w:hint="eastAsia"/>
                <w:bCs/>
                <w:sz w:val="24"/>
              </w:rPr>
              <w:t>（2）一般工业固废</w:t>
            </w:r>
          </w:p>
          <w:p>
            <w:pPr>
              <w:pStyle w:val="61"/>
              <w:autoSpaceDE w:val="0"/>
              <w:autoSpaceDN w:val="0"/>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rPr>
              <w:t>废旧动力蓄电池（不包含铅蓄电池）：根据</w:t>
            </w:r>
            <w:r>
              <w:rPr>
                <w:rFonts w:ascii="Times New Roman" w:hAnsi="Times New Roman" w:cs="Times New Roman"/>
                <w:bCs/>
                <w:kern w:val="2"/>
              </w:rPr>
              <w:t>《报废机动车拆解企业污染控制技术规范》（HJ348-2022），</w:t>
            </w:r>
            <w:r>
              <w:rPr>
                <w:rFonts w:ascii="Times New Roman" w:hAnsi="Times New Roman" w:cs="Times New Roman"/>
                <w:bCs/>
              </w:rPr>
              <w:t>废旧动力蓄电池（不包含铅蓄电池）属于一般工业固废。</w:t>
            </w:r>
            <w:r>
              <w:rPr>
                <w:rFonts w:ascii="Times New Roman" w:hAnsi="Times New Roman" w:cs="Times New Roman"/>
                <w:bCs/>
                <w:kern w:val="2"/>
              </w:rPr>
              <w:t>根据物料平衡，拟建项目</w:t>
            </w:r>
            <w:r>
              <w:rPr>
                <w:rFonts w:ascii="Times New Roman" w:hAnsi="Times New Roman" w:cs="Times New Roman"/>
                <w:bCs/>
              </w:rPr>
              <w:t>废旧动力蓄电池（不包含铅蓄电池）（代码：421-001-13）</w:t>
            </w:r>
            <w:r>
              <w:rPr>
                <w:rFonts w:ascii="Times New Roman" w:hAnsi="Times New Roman" w:cs="Times New Roman"/>
                <w:bCs/>
                <w:kern w:val="2"/>
              </w:rPr>
              <w:t>产生量为2625t/a，</w:t>
            </w:r>
            <w:r>
              <w:rPr>
                <w:rFonts w:ascii="Times New Roman" w:hAnsi="Times New Roman" w:cs="Times New Roman"/>
                <w:bCs/>
              </w:rPr>
              <w:t>集中收集后，交售给新能源汽车生产企业建立的动力蓄电池回收服务网点，或符合国家对动力蓄电池梯次利用管理有关要求的梯次利用企业，或者从事废旧动力蓄电池综合利用的企业。</w:t>
            </w:r>
          </w:p>
          <w:p>
            <w:pPr>
              <w:pStyle w:val="61"/>
              <w:autoSpaceDE w:val="0"/>
              <w:autoSpaceDN w:val="0"/>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rPr>
              <w:t>废液化气罐：根据</w:t>
            </w:r>
            <w:r>
              <w:rPr>
                <w:rFonts w:ascii="Times New Roman" w:hAnsi="Times New Roman" w:cs="Times New Roman"/>
                <w:bCs/>
                <w:kern w:val="2"/>
              </w:rPr>
              <w:t>《报废机动车拆解企业污染控制技术规范》（HJ348-2022），</w:t>
            </w:r>
            <w:r>
              <w:rPr>
                <w:rFonts w:ascii="Times New Roman" w:hAnsi="Times New Roman" w:cs="Times New Roman"/>
                <w:bCs/>
              </w:rPr>
              <w:t>废液化气罐属于一般工业固废。</w:t>
            </w:r>
            <w:r>
              <w:rPr>
                <w:rFonts w:ascii="Times New Roman" w:hAnsi="Times New Roman" w:cs="Times New Roman"/>
                <w:bCs/>
                <w:kern w:val="2"/>
              </w:rPr>
              <w:t>根据物料平衡，拟建项目</w:t>
            </w:r>
            <w:r>
              <w:rPr>
                <w:rFonts w:ascii="Times New Roman" w:hAnsi="Times New Roman" w:cs="Times New Roman"/>
                <w:bCs/>
              </w:rPr>
              <w:t>废液化气罐（代码：421-002-99）</w:t>
            </w:r>
            <w:r>
              <w:rPr>
                <w:rFonts w:ascii="Times New Roman" w:hAnsi="Times New Roman" w:cs="Times New Roman"/>
                <w:bCs/>
                <w:kern w:val="2"/>
              </w:rPr>
              <w:t>产生量为129t/a，</w:t>
            </w:r>
            <w:r>
              <w:rPr>
                <w:rFonts w:ascii="Times New Roman" w:hAnsi="Times New Roman" w:cs="Times New Roman"/>
                <w:bCs/>
              </w:rPr>
              <w:t>集中收集后，交由具有相应资质的单位利用和处置。</w:t>
            </w:r>
          </w:p>
          <w:p>
            <w:pPr>
              <w:pStyle w:val="61"/>
              <w:autoSpaceDE w:val="0"/>
              <w:autoSpaceDN w:val="0"/>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rPr>
              <w:t>引爆后的安全气囊：根据</w:t>
            </w:r>
            <w:r>
              <w:rPr>
                <w:rFonts w:ascii="Times New Roman" w:hAnsi="Times New Roman" w:cs="Times New Roman"/>
                <w:bCs/>
                <w:kern w:val="2"/>
              </w:rPr>
              <w:t>《报废机动车拆解企业污染控制技术规范》（HJ348-2022），</w:t>
            </w:r>
            <w:r>
              <w:rPr>
                <w:rFonts w:ascii="Times New Roman" w:hAnsi="Times New Roman" w:cs="Times New Roman"/>
                <w:bCs/>
              </w:rPr>
              <w:t>引爆后的安全气囊属于一般工业固废。</w:t>
            </w:r>
            <w:r>
              <w:rPr>
                <w:rFonts w:ascii="Times New Roman" w:hAnsi="Times New Roman" w:cs="Times New Roman"/>
                <w:bCs/>
                <w:kern w:val="2"/>
              </w:rPr>
              <w:t>根据物料平衡，拟建项目</w:t>
            </w:r>
            <w:r>
              <w:rPr>
                <w:rFonts w:ascii="Times New Roman" w:hAnsi="Times New Roman" w:cs="Times New Roman"/>
                <w:bCs/>
              </w:rPr>
              <w:t>引爆后的安全气囊（代码：421-003-99）</w:t>
            </w:r>
            <w:r>
              <w:rPr>
                <w:rFonts w:ascii="Times New Roman" w:hAnsi="Times New Roman" w:cs="Times New Roman"/>
                <w:bCs/>
                <w:kern w:val="2"/>
              </w:rPr>
              <w:t>产生量为141.77t/a，</w:t>
            </w:r>
            <w:r>
              <w:rPr>
                <w:rFonts w:ascii="Times New Roman" w:hAnsi="Times New Roman" w:cs="Times New Roman"/>
                <w:bCs/>
              </w:rPr>
              <w:t>集中收集后，交由具有相应处理能力或经营范围的单位利用和处置。</w:t>
            </w:r>
          </w:p>
          <w:p>
            <w:pPr>
              <w:adjustRightInd w:val="0"/>
              <w:snapToGrid w:val="0"/>
              <w:spacing w:line="480" w:lineRule="exact"/>
              <w:ind w:firstLine="480" w:firstLineChars="200"/>
              <w:rPr>
                <w:bCs/>
                <w:sz w:val="24"/>
              </w:rPr>
            </w:pPr>
            <w:r>
              <w:rPr>
                <w:bCs/>
                <w:sz w:val="24"/>
              </w:rPr>
              <w:t>废制冷剂：根据《报废机动车拆解企业污染控制技术规范》（HJ348-2022），废制冷剂属于一般工业固废。根据物料平衡，拟建项目废制冷剂（代码</w:t>
            </w:r>
            <w:r>
              <w:rPr>
                <w:bCs/>
              </w:rPr>
              <w:t>：421-004-99</w:t>
            </w:r>
            <w:r>
              <w:rPr>
                <w:bCs/>
                <w:sz w:val="24"/>
              </w:rPr>
              <w:t>）产生量为23.7t/a，集中收集后，交由具有相应资质的单位利用和处置。</w:t>
            </w:r>
          </w:p>
          <w:p>
            <w:pPr>
              <w:adjustRightInd w:val="0"/>
              <w:snapToGrid w:val="0"/>
              <w:spacing w:line="480" w:lineRule="exact"/>
              <w:ind w:firstLine="480" w:firstLineChars="200"/>
              <w:rPr>
                <w:bCs/>
                <w:sz w:val="24"/>
              </w:rPr>
            </w:pPr>
            <w:r>
              <w:rPr>
                <w:bCs/>
                <w:sz w:val="24"/>
              </w:rPr>
              <w:t>布袋除尘器截留粉尘：</w:t>
            </w:r>
            <w:r>
              <w:rPr>
                <w:bCs/>
              </w:rPr>
              <w:t>汽车拆解过程产生的切割废气和粉碎废气经“布袋除尘器”处理。</w:t>
            </w:r>
            <w:r>
              <w:rPr>
                <w:bCs/>
                <w:sz w:val="24"/>
              </w:rPr>
              <w:t>分别残留了95%的量于布袋除尘器中，产生量为18.32t/a，属于一般工业固废</w:t>
            </w:r>
            <w:r>
              <w:t>（</w:t>
            </w:r>
            <w:r>
              <w:rPr>
                <w:kern w:val="0"/>
                <w:sz w:val="24"/>
              </w:rPr>
              <w:t>固废代码：320-004-10）</w:t>
            </w:r>
            <w:r>
              <w:rPr>
                <w:bCs/>
                <w:sz w:val="24"/>
              </w:rPr>
              <w:t>，交有资质的废旧资源回收单位回收综合利用。</w:t>
            </w:r>
          </w:p>
          <w:p>
            <w:pPr>
              <w:adjustRightInd w:val="0"/>
              <w:snapToGrid w:val="0"/>
              <w:spacing w:line="480" w:lineRule="exact"/>
              <w:ind w:firstLine="480" w:firstLineChars="200"/>
              <w:rPr>
                <w:bCs/>
                <w:sz w:val="24"/>
              </w:rPr>
            </w:pPr>
            <w:r>
              <w:rPr>
                <w:bCs/>
                <w:sz w:val="24"/>
              </w:rPr>
              <w:t>其他废物（</w:t>
            </w:r>
            <w:r>
              <w:rPr>
                <w:sz w:val="24"/>
              </w:rPr>
              <w:t>破碎的玻璃、轮胎、轮毂、塑料等</w:t>
            </w:r>
            <w:r>
              <w:rPr>
                <w:bCs/>
                <w:sz w:val="24"/>
              </w:rPr>
              <w:t>）：根据物料平衡，拟建项目其他废物（代码</w:t>
            </w:r>
            <w:r>
              <w:rPr>
                <w:bCs/>
              </w:rPr>
              <w:t>：421-005-99</w:t>
            </w:r>
            <w:r>
              <w:rPr>
                <w:bCs/>
                <w:sz w:val="24"/>
              </w:rPr>
              <w:t>）产生量为1853.24t/a，集中收集后，交由具有相应资质的单位利用和处置。</w:t>
            </w:r>
          </w:p>
          <w:p>
            <w:pPr>
              <w:adjustRightInd w:val="0"/>
              <w:snapToGrid w:val="0"/>
              <w:spacing w:line="480" w:lineRule="exact"/>
              <w:ind w:firstLine="480" w:firstLineChars="200"/>
              <w:rPr>
                <w:bCs/>
                <w:sz w:val="24"/>
              </w:rPr>
            </w:pPr>
            <w:r>
              <w:rPr>
                <w:rFonts w:hint="eastAsia"/>
                <w:bCs/>
                <w:sz w:val="24"/>
              </w:rPr>
              <w:t>（3）生活垃圾</w:t>
            </w:r>
          </w:p>
          <w:p>
            <w:pPr>
              <w:adjustRightInd w:val="0"/>
              <w:snapToGrid w:val="0"/>
              <w:spacing w:line="480" w:lineRule="exact"/>
              <w:ind w:firstLine="480" w:firstLineChars="200"/>
              <w:rPr>
                <w:bCs/>
                <w:sz w:val="24"/>
              </w:rPr>
            </w:pPr>
            <w:r>
              <w:rPr>
                <w:rFonts w:hint="eastAsia"/>
                <w:bCs/>
                <w:sz w:val="24"/>
              </w:rPr>
              <w:t>生活垃圾：拟建项目新增劳动定员100人，生活垃圾产生量按每人每天0.5kg计，产生量约为50kg/d（</w:t>
            </w:r>
            <w:r>
              <w:rPr>
                <w:bCs/>
                <w:sz w:val="24"/>
              </w:rPr>
              <w:t>16.5</w:t>
            </w:r>
            <w:r>
              <w:rPr>
                <w:rFonts w:hint="eastAsia"/>
                <w:bCs/>
                <w:sz w:val="24"/>
              </w:rPr>
              <w:t>t/a）。设置生活垃圾桶集中收集，生活垃圾定期交环卫部门统一外运处置。</w:t>
            </w:r>
          </w:p>
          <w:p>
            <w:pPr>
              <w:adjustRightInd w:val="0"/>
              <w:snapToGrid w:val="0"/>
              <w:spacing w:line="480" w:lineRule="exact"/>
              <w:ind w:firstLine="480" w:firstLineChars="200"/>
              <w:rPr>
                <w:bCs/>
                <w:sz w:val="24"/>
              </w:rPr>
            </w:pPr>
            <w:r>
              <w:rPr>
                <w:rFonts w:hint="eastAsia"/>
                <w:bCs/>
                <w:sz w:val="24"/>
              </w:rPr>
              <w:t>拟建项目固体废物产生情况见表4.2.4-1。</w:t>
            </w:r>
          </w:p>
        </w:tc>
      </w:tr>
    </w:tbl>
    <w:p>
      <w:pPr>
        <w:spacing w:line="480" w:lineRule="exact"/>
        <w:jc w:val="center"/>
        <w:rPr>
          <w:bCs/>
          <w:sz w:val="18"/>
          <w:szCs w:val="18"/>
        </w:rPr>
        <w:sectPr>
          <w:pgSz w:w="11906" w:h="16838"/>
          <w:pgMar w:top="1701" w:right="1531" w:bottom="1701" w:left="1531" w:header="851" w:footer="851" w:gutter="0"/>
          <w:cols w:space="720" w:num="1"/>
          <w:docGrid w:linePitch="312" w:charSpace="0"/>
        </w:sect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1" w:hRule="atLeast"/>
        </w:trPr>
        <w:tc>
          <w:tcPr>
            <w:tcW w:w="13652" w:type="dxa"/>
            <w:shd w:val="clear" w:color="auto" w:fill="auto"/>
          </w:tcPr>
          <w:p>
            <w:pPr>
              <w:spacing w:line="480" w:lineRule="exact"/>
              <w:jc w:val="center"/>
              <w:rPr>
                <w:bCs/>
                <w:sz w:val="18"/>
                <w:szCs w:val="18"/>
              </w:rPr>
            </w:pPr>
            <w:r>
              <w:rPr>
                <w:bCs/>
                <w:sz w:val="18"/>
                <w:szCs w:val="18"/>
              </w:rPr>
              <w:t>表4.2.4-1  拟建项目固废产生量及处置情况汇总表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3"/>
              <w:gridCol w:w="2057"/>
              <w:gridCol w:w="371"/>
              <w:gridCol w:w="1173"/>
              <w:gridCol w:w="765"/>
              <w:gridCol w:w="1130"/>
              <w:gridCol w:w="765"/>
              <w:gridCol w:w="765"/>
              <w:gridCol w:w="768"/>
              <w:gridCol w:w="1042"/>
              <w:gridCol w:w="1724"/>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515" w:type="pct"/>
                  <w:vAlign w:val="center"/>
                </w:tcPr>
                <w:p>
                  <w:pPr>
                    <w:snapToGrid w:val="0"/>
                    <w:spacing w:line="240" w:lineRule="exact"/>
                    <w:jc w:val="center"/>
                    <w:rPr>
                      <w:sz w:val="18"/>
                      <w:szCs w:val="18"/>
                    </w:rPr>
                  </w:pPr>
                  <w:r>
                    <w:rPr>
                      <w:sz w:val="18"/>
                      <w:szCs w:val="18"/>
                    </w:rPr>
                    <w:t>产生环节</w:t>
                  </w:r>
                </w:p>
              </w:tc>
              <w:tc>
                <w:tcPr>
                  <w:tcW w:w="766" w:type="pct"/>
                  <w:vAlign w:val="center"/>
                </w:tcPr>
                <w:p>
                  <w:pPr>
                    <w:snapToGrid w:val="0"/>
                    <w:spacing w:line="240" w:lineRule="exact"/>
                    <w:jc w:val="center"/>
                    <w:rPr>
                      <w:sz w:val="18"/>
                      <w:szCs w:val="18"/>
                    </w:rPr>
                  </w:pPr>
                  <w:r>
                    <w:rPr>
                      <w:sz w:val="18"/>
                      <w:szCs w:val="18"/>
                    </w:rPr>
                    <w:t>名称</w:t>
                  </w:r>
                </w:p>
              </w:tc>
              <w:tc>
                <w:tcPr>
                  <w:tcW w:w="138" w:type="pct"/>
                  <w:vAlign w:val="center"/>
                </w:tcPr>
                <w:p>
                  <w:pPr>
                    <w:snapToGrid w:val="0"/>
                    <w:spacing w:line="240" w:lineRule="exact"/>
                    <w:jc w:val="center"/>
                    <w:rPr>
                      <w:sz w:val="18"/>
                      <w:szCs w:val="18"/>
                    </w:rPr>
                  </w:pPr>
                  <w:r>
                    <w:rPr>
                      <w:sz w:val="18"/>
                      <w:szCs w:val="18"/>
                    </w:rPr>
                    <w:t>属性</w:t>
                  </w:r>
                </w:p>
              </w:tc>
              <w:tc>
                <w:tcPr>
                  <w:tcW w:w="437" w:type="pct"/>
                  <w:vAlign w:val="center"/>
                </w:tcPr>
                <w:p>
                  <w:pPr>
                    <w:snapToGrid w:val="0"/>
                    <w:spacing w:line="240" w:lineRule="exact"/>
                    <w:jc w:val="center"/>
                    <w:rPr>
                      <w:sz w:val="18"/>
                      <w:szCs w:val="18"/>
                    </w:rPr>
                  </w:pPr>
                  <w:r>
                    <w:rPr>
                      <w:sz w:val="18"/>
                      <w:szCs w:val="18"/>
                    </w:rPr>
                    <w:t>主要有毒有害物质名称</w:t>
                  </w:r>
                </w:p>
              </w:tc>
              <w:tc>
                <w:tcPr>
                  <w:tcW w:w="285" w:type="pct"/>
                  <w:vAlign w:val="center"/>
                </w:tcPr>
                <w:p>
                  <w:pPr>
                    <w:snapToGrid w:val="0"/>
                    <w:spacing w:line="240" w:lineRule="exact"/>
                    <w:jc w:val="center"/>
                    <w:rPr>
                      <w:sz w:val="18"/>
                      <w:szCs w:val="18"/>
                    </w:rPr>
                  </w:pPr>
                  <w:r>
                    <w:rPr>
                      <w:sz w:val="18"/>
                      <w:szCs w:val="18"/>
                    </w:rPr>
                    <w:t>废物类别</w:t>
                  </w:r>
                </w:p>
              </w:tc>
              <w:tc>
                <w:tcPr>
                  <w:tcW w:w="421" w:type="pct"/>
                  <w:vAlign w:val="center"/>
                </w:tcPr>
                <w:p>
                  <w:pPr>
                    <w:snapToGrid w:val="0"/>
                    <w:spacing w:line="240" w:lineRule="exact"/>
                    <w:jc w:val="center"/>
                    <w:rPr>
                      <w:sz w:val="18"/>
                      <w:szCs w:val="18"/>
                    </w:rPr>
                  </w:pPr>
                  <w:r>
                    <w:rPr>
                      <w:sz w:val="18"/>
                      <w:szCs w:val="18"/>
                    </w:rPr>
                    <w:t>废物代码</w:t>
                  </w:r>
                </w:p>
              </w:tc>
              <w:tc>
                <w:tcPr>
                  <w:tcW w:w="285" w:type="pct"/>
                  <w:vAlign w:val="center"/>
                </w:tcPr>
                <w:p>
                  <w:pPr>
                    <w:snapToGrid w:val="0"/>
                    <w:spacing w:line="240" w:lineRule="exact"/>
                    <w:jc w:val="center"/>
                    <w:rPr>
                      <w:sz w:val="18"/>
                      <w:szCs w:val="18"/>
                    </w:rPr>
                  </w:pPr>
                  <w:r>
                    <w:rPr>
                      <w:sz w:val="18"/>
                      <w:szCs w:val="18"/>
                    </w:rPr>
                    <w:t>物理性状</w:t>
                  </w:r>
                </w:p>
              </w:tc>
              <w:tc>
                <w:tcPr>
                  <w:tcW w:w="285" w:type="pct"/>
                  <w:vAlign w:val="center"/>
                </w:tcPr>
                <w:p>
                  <w:pPr>
                    <w:snapToGrid w:val="0"/>
                    <w:spacing w:line="240" w:lineRule="exact"/>
                    <w:jc w:val="center"/>
                    <w:rPr>
                      <w:sz w:val="18"/>
                      <w:szCs w:val="18"/>
                    </w:rPr>
                  </w:pPr>
                  <w:r>
                    <w:rPr>
                      <w:sz w:val="18"/>
                      <w:szCs w:val="18"/>
                    </w:rPr>
                    <w:t>危险特性</w:t>
                  </w:r>
                </w:p>
              </w:tc>
              <w:tc>
                <w:tcPr>
                  <w:tcW w:w="286" w:type="pct"/>
                  <w:vAlign w:val="center"/>
                </w:tcPr>
                <w:p>
                  <w:pPr>
                    <w:snapToGrid w:val="0"/>
                    <w:spacing w:line="240" w:lineRule="exact"/>
                    <w:jc w:val="center"/>
                    <w:rPr>
                      <w:sz w:val="18"/>
                      <w:szCs w:val="18"/>
                    </w:rPr>
                  </w:pPr>
                  <w:r>
                    <w:rPr>
                      <w:sz w:val="18"/>
                      <w:szCs w:val="18"/>
                    </w:rPr>
                    <w:t>产生量t/a</w:t>
                  </w:r>
                </w:p>
              </w:tc>
              <w:tc>
                <w:tcPr>
                  <w:tcW w:w="388" w:type="pct"/>
                  <w:vAlign w:val="center"/>
                </w:tcPr>
                <w:p>
                  <w:pPr>
                    <w:snapToGrid w:val="0"/>
                    <w:spacing w:line="240" w:lineRule="exact"/>
                    <w:jc w:val="center"/>
                    <w:rPr>
                      <w:sz w:val="18"/>
                      <w:szCs w:val="18"/>
                    </w:rPr>
                  </w:pPr>
                  <w:r>
                    <w:rPr>
                      <w:sz w:val="18"/>
                      <w:szCs w:val="18"/>
                    </w:rPr>
                    <w:t>贮存方式</w:t>
                  </w:r>
                </w:p>
              </w:tc>
              <w:tc>
                <w:tcPr>
                  <w:tcW w:w="642" w:type="pct"/>
                  <w:vAlign w:val="center"/>
                </w:tcPr>
                <w:p>
                  <w:pPr>
                    <w:snapToGrid w:val="0"/>
                    <w:spacing w:line="240" w:lineRule="exact"/>
                    <w:jc w:val="center"/>
                    <w:rPr>
                      <w:sz w:val="18"/>
                      <w:szCs w:val="18"/>
                    </w:rPr>
                  </w:pPr>
                  <w:r>
                    <w:rPr>
                      <w:sz w:val="18"/>
                      <w:szCs w:val="18"/>
                    </w:rPr>
                    <w:t>利用处置方式和去向</w:t>
                  </w:r>
                </w:p>
              </w:tc>
              <w:tc>
                <w:tcPr>
                  <w:tcW w:w="552" w:type="pct"/>
                  <w:vAlign w:val="center"/>
                </w:tcPr>
                <w:p>
                  <w:pPr>
                    <w:snapToGrid w:val="0"/>
                    <w:spacing w:line="240" w:lineRule="exact"/>
                    <w:jc w:val="center"/>
                    <w:rPr>
                      <w:sz w:val="18"/>
                      <w:szCs w:val="18"/>
                    </w:rPr>
                  </w:pPr>
                  <w:r>
                    <w:rPr>
                      <w:sz w:val="18"/>
                      <w:szCs w:val="18"/>
                    </w:rPr>
                    <w:t>处置量t/a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restart"/>
                  <w:vAlign w:val="center"/>
                </w:tcPr>
                <w:p>
                  <w:pPr>
                    <w:snapToGrid w:val="0"/>
                    <w:spacing w:line="240" w:lineRule="exact"/>
                    <w:jc w:val="center"/>
                    <w:rPr>
                      <w:sz w:val="18"/>
                      <w:szCs w:val="18"/>
                    </w:rPr>
                  </w:pPr>
                  <w:r>
                    <w:rPr>
                      <w:sz w:val="18"/>
                      <w:szCs w:val="18"/>
                    </w:rPr>
                    <w:t>汽车拆解</w:t>
                  </w:r>
                </w:p>
              </w:tc>
              <w:tc>
                <w:tcPr>
                  <w:tcW w:w="766" w:type="pct"/>
                  <w:vAlign w:val="center"/>
                </w:tcPr>
                <w:p>
                  <w:pPr>
                    <w:snapToGrid w:val="0"/>
                    <w:spacing w:line="240" w:lineRule="exact"/>
                    <w:jc w:val="center"/>
                    <w:rPr>
                      <w:sz w:val="18"/>
                      <w:szCs w:val="18"/>
                    </w:rPr>
                  </w:pPr>
                  <w:r>
                    <w:rPr>
                      <w:bCs/>
                      <w:sz w:val="18"/>
                      <w:szCs w:val="18"/>
                    </w:rPr>
                    <w:t>废铅蓄电池</w:t>
                  </w:r>
                </w:p>
              </w:tc>
              <w:tc>
                <w:tcPr>
                  <w:tcW w:w="138" w:type="pct"/>
                  <w:vMerge w:val="restart"/>
                  <w:vAlign w:val="center"/>
                </w:tcPr>
                <w:p>
                  <w:pPr>
                    <w:snapToGrid w:val="0"/>
                    <w:spacing w:line="240" w:lineRule="exact"/>
                    <w:jc w:val="center"/>
                    <w:rPr>
                      <w:sz w:val="18"/>
                      <w:szCs w:val="18"/>
                    </w:rPr>
                  </w:pPr>
                  <w:r>
                    <w:rPr>
                      <w:sz w:val="18"/>
                      <w:szCs w:val="18"/>
                    </w:rPr>
                    <w:t>危险废物</w:t>
                  </w:r>
                </w:p>
              </w:tc>
              <w:tc>
                <w:tcPr>
                  <w:tcW w:w="437" w:type="pct"/>
                  <w:vAlign w:val="center"/>
                </w:tcPr>
                <w:p>
                  <w:pPr>
                    <w:spacing w:line="240" w:lineRule="exact"/>
                    <w:jc w:val="center"/>
                    <w:rPr>
                      <w:sz w:val="18"/>
                      <w:szCs w:val="18"/>
                    </w:rPr>
                  </w:pPr>
                  <w:r>
                    <w:rPr>
                      <w:sz w:val="18"/>
                      <w:szCs w:val="18"/>
                    </w:rPr>
                    <w:t>铅</w:t>
                  </w:r>
                </w:p>
              </w:tc>
              <w:tc>
                <w:tcPr>
                  <w:tcW w:w="285" w:type="pct"/>
                  <w:vAlign w:val="center"/>
                </w:tcPr>
                <w:p>
                  <w:pPr>
                    <w:widowControl/>
                    <w:snapToGrid w:val="0"/>
                    <w:spacing w:line="240" w:lineRule="exact"/>
                    <w:jc w:val="center"/>
                    <w:rPr>
                      <w:sz w:val="18"/>
                      <w:szCs w:val="18"/>
                    </w:rPr>
                  </w:pPr>
                  <w:r>
                    <w:rPr>
                      <w:bCs/>
                      <w:sz w:val="18"/>
                      <w:szCs w:val="18"/>
                    </w:rPr>
                    <w:t>HW31</w:t>
                  </w:r>
                </w:p>
              </w:tc>
              <w:tc>
                <w:tcPr>
                  <w:tcW w:w="421" w:type="pct"/>
                  <w:vAlign w:val="center"/>
                </w:tcPr>
                <w:p>
                  <w:pPr>
                    <w:snapToGrid w:val="0"/>
                    <w:spacing w:line="240" w:lineRule="exact"/>
                    <w:jc w:val="center"/>
                    <w:rPr>
                      <w:sz w:val="18"/>
                      <w:szCs w:val="18"/>
                    </w:rPr>
                  </w:pPr>
                  <w:r>
                    <w:rPr>
                      <w:bCs/>
                      <w:sz w:val="18"/>
                      <w:szCs w:val="18"/>
                    </w:rPr>
                    <w:t>900-052-31</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T,C</w:t>
                  </w:r>
                </w:p>
              </w:tc>
              <w:tc>
                <w:tcPr>
                  <w:tcW w:w="286" w:type="pct"/>
                  <w:vAlign w:val="center"/>
                </w:tcPr>
                <w:p>
                  <w:pPr>
                    <w:spacing w:line="240" w:lineRule="exact"/>
                    <w:jc w:val="center"/>
                    <w:rPr>
                      <w:sz w:val="18"/>
                      <w:szCs w:val="18"/>
                    </w:rPr>
                  </w:pPr>
                  <w:r>
                    <w:rPr>
                      <w:sz w:val="18"/>
                      <w:szCs w:val="18"/>
                    </w:rPr>
                    <w:t>1215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restart"/>
                  <w:vAlign w:val="center"/>
                </w:tcPr>
                <w:p>
                  <w:pPr>
                    <w:snapToGrid w:val="0"/>
                    <w:spacing w:line="240" w:lineRule="exact"/>
                    <w:jc w:val="center"/>
                    <w:textAlignment w:val="center"/>
                    <w:rPr>
                      <w:sz w:val="18"/>
                      <w:szCs w:val="18"/>
                    </w:rPr>
                  </w:pPr>
                  <w:r>
                    <w:rPr>
                      <w:sz w:val="18"/>
                      <w:szCs w:val="18"/>
                    </w:rPr>
                    <w:t>交由持有相应类别危险废物经营许可证的单位处理</w:t>
                  </w:r>
                </w:p>
              </w:tc>
              <w:tc>
                <w:tcPr>
                  <w:tcW w:w="552" w:type="pct"/>
                  <w:vAlign w:val="center"/>
                </w:tcPr>
                <w:p>
                  <w:pPr>
                    <w:spacing w:line="240" w:lineRule="exact"/>
                    <w:jc w:val="center"/>
                    <w:rPr>
                      <w:sz w:val="18"/>
                      <w:szCs w:val="18"/>
                    </w:rPr>
                  </w:pPr>
                  <w:r>
                    <w:rPr>
                      <w:sz w:val="18"/>
                      <w:szCs w:val="18"/>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含多氯联苯的废电容器</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bCs/>
                      <w:sz w:val="18"/>
                      <w:szCs w:val="18"/>
                    </w:rPr>
                    <w:t>多氯联苯</w:t>
                  </w:r>
                </w:p>
              </w:tc>
              <w:tc>
                <w:tcPr>
                  <w:tcW w:w="285" w:type="pct"/>
                  <w:vAlign w:val="center"/>
                </w:tcPr>
                <w:p>
                  <w:pPr>
                    <w:widowControl/>
                    <w:snapToGrid w:val="0"/>
                    <w:spacing w:line="240" w:lineRule="exact"/>
                    <w:jc w:val="center"/>
                    <w:rPr>
                      <w:sz w:val="18"/>
                      <w:szCs w:val="18"/>
                    </w:rPr>
                  </w:pPr>
                  <w:r>
                    <w:rPr>
                      <w:sz w:val="18"/>
                      <w:szCs w:val="18"/>
                    </w:rPr>
                    <w:t>HW10</w:t>
                  </w:r>
                </w:p>
              </w:tc>
              <w:tc>
                <w:tcPr>
                  <w:tcW w:w="421" w:type="pct"/>
                  <w:vAlign w:val="center"/>
                </w:tcPr>
                <w:p>
                  <w:pPr>
                    <w:snapToGrid w:val="0"/>
                    <w:spacing w:line="240" w:lineRule="exact"/>
                    <w:jc w:val="center"/>
                    <w:rPr>
                      <w:sz w:val="18"/>
                      <w:szCs w:val="18"/>
                    </w:rPr>
                  </w:pPr>
                  <w:r>
                    <w:rPr>
                      <w:sz w:val="18"/>
                      <w:szCs w:val="18"/>
                    </w:rPr>
                    <w:t>900-008-10</w:t>
                  </w:r>
                </w:p>
              </w:tc>
              <w:tc>
                <w:tcPr>
                  <w:tcW w:w="285" w:type="pct"/>
                  <w:vAlign w:val="center"/>
                </w:tcPr>
                <w:p>
                  <w:pPr>
                    <w:widowControl/>
                    <w:snapToGrid w:val="0"/>
                    <w:spacing w:line="240" w:lineRule="exact"/>
                    <w:jc w:val="center"/>
                    <w:rPr>
                      <w:sz w:val="18"/>
                      <w:szCs w:val="18"/>
                    </w:rPr>
                  </w:pPr>
                  <w:r>
                    <w:rPr>
                      <w:sz w:val="18"/>
                      <w:szCs w:val="18"/>
                    </w:rPr>
                    <w:t>液</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147</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bCs/>
                      <w:sz w:val="18"/>
                      <w:szCs w:val="18"/>
                    </w:rPr>
                  </w:pPr>
                  <w:r>
                    <w:rPr>
                      <w:bCs/>
                      <w:sz w:val="18"/>
                      <w:szCs w:val="18"/>
                    </w:rPr>
                    <w:t>废尾气催化剂</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催化剂</w:t>
                  </w:r>
                </w:p>
              </w:tc>
              <w:tc>
                <w:tcPr>
                  <w:tcW w:w="285" w:type="pct"/>
                  <w:vAlign w:val="center"/>
                </w:tcPr>
                <w:p>
                  <w:pPr>
                    <w:widowControl/>
                    <w:snapToGrid w:val="0"/>
                    <w:spacing w:line="240" w:lineRule="exact"/>
                    <w:jc w:val="center"/>
                    <w:rPr>
                      <w:sz w:val="18"/>
                      <w:szCs w:val="18"/>
                    </w:rPr>
                  </w:pPr>
                  <w:r>
                    <w:rPr>
                      <w:sz w:val="18"/>
                      <w:szCs w:val="18"/>
                    </w:rPr>
                    <w:t>HW50</w:t>
                  </w:r>
                </w:p>
              </w:tc>
              <w:tc>
                <w:tcPr>
                  <w:tcW w:w="421" w:type="pct"/>
                  <w:vAlign w:val="center"/>
                </w:tcPr>
                <w:p>
                  <w:pPr>
                    <w:snapToGrid w:val="0"/>
                    <w:spacing w:line="240" w:lineRule="exact"/>
                    <w:jc w:val="center"/>
                    <w:rPr>
                      <w:sz w:val="18"/>
                      <w:szCs w:val="18"/>
                    </w:rPr>
                  </w:pPr>
                  <w:r>
                    <w:rPr>
                      <w:sz w:val="18"/>
                      <w:szCs w:val="18"/>
                    </w:rPr>
                    <w:t>900-049-50</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79.49</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废矿物油与含矿物油废物</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废油液</w:t>
                  </w:r>
                </w:p>
              </w:tc>
              <w:tc>
                <w:tcPr>
                  <w:tcW w:w="285" w:type="pct"/>
                  <w:vAlign w:val="center"/>
                </w:tcPr>
                <w:p>
                  <w:pPr>
                    <w:widowControl/>
                    <w:snapToGrid w:val="0"/>
                    <w:spacing w:line="240" w:lineRule="exact"/>
                    <w:jc w:val="center"/>
                    <w:rPr>
                      <w:sz w:val="18"/>
                      <w:szCs w:val="18"/>
                    </w:rPr>
                  </w:pPr>
                  <w:r>
                    <w:rPr>
                      <w:bCs/>
                      <w:sz w:val="18"/>
                      <w:szCs w:val="18"/>
                    </w:rPr>
                    <w:t>HW08</w:t>
                  </w:r>
                </w:p>
              </w:tc>
              <w:tc>
                <w:tcPr>
                  <w:tcW w:w="421" w:type="pct"/>
                  <w:vAlign w:val="center"/>
                </w:tcPr>
                <w:p>
                  <w:pPr>
                    <w:snapToGrid w:val="0"/>
                    <w:spacing w:line="240" w:lineRule="exact"/>
                    <w:jc w:val="center"/>
                    <w:rPr>
                      <w:sz w:val="18"/>
                      <w:szCs w:val="18"/>
                    </w:rPr>
                  </w:pPr>
                  <w:r>
                    <w:rPr>
                      <w:bCs/>
                      <w:sz w:val="18"/>
                      <w:szCs w:val="18"/>
                    </w:rPr>
                    <w:t>900-199-08</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w:t>
                  </w:r>
                </w:p>
              </w:tc>
              <w:tc>
                <w:tcPr>
                  <w:tcW w:w="286" w:type="pct"/>
                  <w:vAlign w:val="center"/>
                </w:tcPr>
                <w:p>
                  <w:pPr>
                    <w:spacing w:line="240" w:lineRule="exact"/>
                    <w:jc w:val="center"/>
                    <w:rPr>
                      <w:sz w:val="18"/>
                      <w:szCs w:val="18"/>
                    </w:rPr>
                  </w:pPr>
                  <w:r>
                    <w:rPr>
                      <w:sz w:val="18"/>
                      <w:szCs w:val="18"/>
                    </w:rPr>
                    <w:t>606.15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606.15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废电路板及其元件</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电路板及元件</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bCs/>
                      <w:sz w:val="18"/>
                      <w:szCs w:val="18"/>
                    </w:rPr>
                    <w:t>900-045-49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840</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废机油滤清器</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sz w:val="18"/>
                      <w:szCs w:val="18"/>
                    </w:rPr>
                    <w:t>900-041-49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T/In</w:t>
                  </w:r>
                </w:p>
              </w:tc>
              <w:tc>
                <w:tcPr>
                  <w:tcW w:w="286" w:type="pct"/>
                  <w:vAlign w:val="center"/>
                </w:tcPr>
                <w:p>
                  <w:pPr>
                    <w:spacing w:line="240" w:lineRule="exact"/>
                    <w:jc w:val="center"/>
                    <w:rPr>
                      <w:sz w:val="18"/>
                      <w:szCs w:val="18"/>
                    </w:rPr>
                  </w:pPr>
                  <w:r>
                    <w:rPr>
                      <w:sz w:val="18"/>
                      <w:szCs w:val="18"/>
                    </w:rPr>
                    <w:t>9.15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废油箱</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sz w:val="18"/>
                      <w:szCs w:val="18"/>
                    </w:rPr>
                    <w:t>900-041-49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T/In</w:t>
                  </w:r>
                </w:p>
              </w:tc>
              <w:tc>
                <w:tcPr>
                  <w:tcW w:w="286" w:type="pct"/>
                  <w:vAlign w:val="center"/>
                </w:tcPr>
                <w:p>
                  <w:pPr>
                    <w:spacing w:line="240" w:lineRule="exact"/>
                    <w:jc w:val="center"/>
                    <w:rPr>
                      <w:sz w:val="18"/>
                      <w:szCs w:val="18"/>
                    </w:rPr>
                  </w:pPr>
                  <w:r>
                    <w:rPr>
                      <w:sz w:val="18"/>
                      <w:szCs w:val="18"/>
                    </w:rPr>
                    <w:t>625.5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625.5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石棉废物</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废石棉</w:t>
                  </w:r>
                </w:p>
              </w:tc>
              <w:tc>
                <w:tcPr>
                  <w:tcW w:w="285" w:type="pct"/>
                  <w:vAlign w:val="center"/>
                </w:tcPr>
                <w:p>
                  <w:pPr>
                    <w:widowControl/>
                    <w:snapToGrid w:val="0"/>
                    <w:spacing w:line="240" w:lineRule="exact"/>
                    <w:jc w:val="center"/>
                    <w:rPr>
                      <w:sz w:val="18"/>
                      <w:szCs w:val="18"/>
                    </w:rPr>
                  </w:pPr>
                  <w:r>
                    <w:rPr>
                      <w:bCs/>
                      <w:sz w:val="18"/>
                      <w:szCs w:val="18"/>
                    </w:rPr>
                    <w:t>HW36</w:t>
                  </w:r>
                </w:p>
              </w:tc>
              <w:tc>
                <w:tcPr>
                  <w:tcW w:w="421" w:type="pct"/>
                  <w:vAlign w:val="center"/>
                </w:tcPr>
                <w:p>
                  <w:pPr>
                    <w:snapToGrid w:val="0"/>
                    <w:spacing w:line="240" w:lineRule="exact"/>
                    <w:jc w:val="center"/>
                    <w:rPr>
                      <w:sz w:val="18"/>
                      <w:szCs w:val="18"/>
                    </w:rPr>
                  </w:pPr>
                  <w:r>
                    <w:rPr>
                      <w:bCs/>
                      <w:sz w:val="18"/>
                      <w:szCs w:val="18"/>
                    </w:rPr>
                    <w:t>900-032-36</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1.5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含汞废物</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汞</w:t>
                  </w:r>
                </w:p>
              </w:tc>
              <w:tc>
                <w:tcPr>
                  <w:tcW w:w="285" w:type="pct"/>
                  <w:vAlign w:val="center"/>
                </w:tcPr>
                <w:p>
                  <w:pPr>
                    <w:widowControl/>
                    <w:snapToGrid w:val="0"/>
                    <w:spacing w:line="240" w:lineRule="exact"/>
                    <w:jc w:val="center"/>
                    <w:rPr>
                      <w:sz w:val="18"/>
                      <w:szCs w:val="18"/>
                    </w:rPr>
                  </w:pPr>
                  <w:r>
                    <w:rPr>
                      <w:bCs/>
                      <w:sz w:val="18"/>
                      <w:szCs w:val="18"/>
                    </w:rPr>
                    <w:t>HW29</w:t>
                  </w:r>
                </w:p>
              </w:tc>
              <w:tc>
                <w:tcPr>
                  <w:tcW w:w="421" w:type="pct"/>
                  <w:vAlign w:val="center"/>
                </w:tcPr>
                <w:p>
                  <w:pPr>
                    <w:snapToGrid w:val="0"/>
                    <w:spacing w:line="240" w:lineRule="exact"/>
                    <w:jc w:val="center"/>
                    <w:rPr>
                      <w:sz w:val="18"/>
                      <w:szCs w:val="18"/>
                    </w:rPr>
                  </w:pPr>
                  <w:r>
                    <w:rPr>
                      <w:bCs/>
                      <w:sz w:val="18"/>
                      <w:szCs w:val="18"/>
                    </w:rPr>
                    <w:t>900-023-29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1.5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污水处理</w:t>
                  </w:r>
                </w:p>
              </w:tc>
              <w:tc>
                <w:tcPr>
                  <w:tcW w:w="766" w:type="pct"/>
                  <w:vAlign w:val="center"/>
                </w:tcPr>
                <w:p>
                  <w:pPr>
                    <w:snapToGrid w:val="0"/>
                    <w:spacing w:line="240" w:lineRule="exact"/>
                    <w:jc w:val="center"/>
                    <w:rPr>
                      <w:sz w:val="18"/>
                      <w:szCs w:val="18"/>
                    </w:rPr>
                  </w:pPr>
                  <w:r>
                    <w:rPr>
                      <w:bCs/>
                      <w:sz w:val="18"/>
                      <w:szCs w:val="18"/>
                    </w:rPr>
                    <w:t>污水处理站污泥</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HW08</w:t>
                  </w:r>
                </w:p>
              </w:tc>
              <w:tc>
                <w:tcPr>
                  <w:tcW w:w="421" w:type="pct"/>
                  <w:vAlign w:val="center"/>
                </w:tcPr>
                <w:p>
                  <w:pPr>
                    <w:snapToGrid w:val="0"/>
                    <w:spacing w:line="240" w:lineRule="exact"/>
                    <w:jc w:val="center"/>
                    <w:rPr>
                      <w:sz w:val="18"/>
                      <w:szCs w:val="18"/>
                    </w:rPr>
                  </w:pPr>
                  <w:r>
                    <w:rPr>
                      <w:bCs/>
                      <w:sz w:val="18"/>
                      <w:szCs w:val="18"/>
                    </w:rPr>
                    <w:t>900-210-08</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w:t>
                  </w:r>
                </w:p>
              </w:tc>
              <w:tc>
                <w:tcPr>
                  <w:tcW w:w="286" w:type="pct"/>
                  <w:vAlign w:val="center"/>
                </w:tcPr>
                <w:p>
                  <w:pPr>
                    <w:spacing w:line="240" w:lineRule="exact"/>
                    <w:jc w:val="center"/>
                    <w:rPr>
                      <w:sz w:val="18"/>
                      <w:szCs w:val="18"/>
                    </w:rPr>
                  </w:pPr>
                  <w:r>
                    <w:rPr>
                      <w:sz w:val="18"/>
                      <w:szCs w:val="18"/>
                    </w:rPr>
                    <w:t>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汽车拆解</w:t>
                  </w:r>
                </w:p>
              </w:tc>
              <w:tc>
                <w:tcPr>
                  <w:tcW w:w="766" w:type="pct"/>
                  <w:vAlign w:val="center"/>
                </w:tcPr>
                <w:p>
                  <w:pPr>
                    <w:snapToGrid w:val="0"/>
                    <w:spacing w:line="240" w:lineRule="exact"/>
                    <w:jc w:val="center"/>
                    <w:rPr>
                      <w:bCs/>
                      <w:sz w:val="18"/>
                      <w:szCs w:val="18"/>
                    </w:rPr>
                  </w:pPr>
                  <w:r>
                    <w:rPr>
                      <w:bCs/>
                      <w:sz w:val="18"/>
                      <w:szCs w:val="18"/>
                    </w:rPr>
                    <w:t>废含油抹布及劳保用品</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sz w:val="18"/>
                      <w:szCs w:val="18"/>
                    </w:rPr>
                    <w:t>900-041-49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T/In</w:t>
                  </w:r>
                </w:p>
              </w:tc>
              <w:tc>
                <w:tcPr>
                  <w:tcW w:w="286" w:type="pct"/>
                  <w:vAlign w:val="center"/>
                </w:tcPr>
                <w:p>
                  <w:pPr>
                    <w:spacing w:line="240" w:lineRule="exact"/>
                    <w:jc w:val="center"/>
                    <w:rPr>
                      <w:sz w:val="18"/>
                      <w:szCs w:val="18"/>
                    </w:rPr>
                  </w:pPr>
                  <w:r>
                    <w:rPr>
                      <w:sz w:val="18"/>
                      <w:szCs w:val="18"/>
                    </w:rPr>
                    <w:t>0.5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废气处理</w:t>
                  </w:r>
                </w:p>
              </w:tc>
              <w:tc>
                <w:tcPr>
                  <w:tcW w:w="766" w:type="pct"/>
                  <w:vAlign w:val="center"/>
                </w:tcPr>
                <w:p>
                  <w:pPr>
                    <w:snapToGrid w:val="0"/>
                    <w:spacing w:line="240" w:lineRule="exact"/>
                    <w:jc w:val="center"/>
                    <w:rPr>
                      <w:bCs/>
                      <w:sz w:val="18"/>
                      <w:szCs w:val="18"/>
                    </w:rPr>
                  </w:pPr>
                  <w:r>
                    <w:rPr>
                      <w:bCs/>
                      <w:sz w:val="18"/>
                      <w:szCs w:val="18"/>
                    </w:rPr>
                    <w:t>废活性炭</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bCs/>
                      <w:sz w:val="18"/>
                      <w:szCs w:val="18"/>
                    </w:rPr>
                    <w:t>900-039-49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w:t>
                  </w:r>
                </w:p>
              </w:tc>
              <w:tc>
                <w:tcPr>
                  <w:tcW w:w="286" w:type="pct"/>
                  <w:vAlign w:val="center"/>
                </w:tcPr>
                <w:p>
                  <w:pPr>
                    <w:spacing w:line="240" w:lineRule="exact"/>
                    <w:jc w:val="center"/>
                    <w:rPr>
                      <w:sz w:val="18"/>
                      <w:szCs w:val="18"/>
                    </w:rPr>
                  </w:pPr>
                  <w:r>
                    <w:rPr>
                      <w:sz w:val="18"/>
                      <w:szCs w:val="18"/>
                    </w:rPr>
                    <w:t>0.25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汽车拆解</w:t>
                  </w:r>
                </w:p>
              </w:tc>
              <w:tc>
                <w:tcPr>
                  <w:tcW w:w="766" w:type="pct"/>
                  <w:vAlign w:val="center"/>
                </w:tcPr>
                <w:p>
                  <w:pPr>
                    <w:snapToGrid w:val="0"/>
                    <w:spacing w:line="240" w:lineRule="exact"/>
                    <w:jc w:val="center"/>
                    <w:rPr>
                      <w:bCs/>
                      <w:sz w:val="18"/>
                      <w:szCs w:val="18"/>
                    </w:rPr>
                  </w:pPr>
                  <w:r>
                    <w:rPr>
                      <w:bCs/>
                      <w:sz w:val="18"/>
                      <w:szCs w:val="18"/>
                    </w:rPr>
                    <w:t>沾染危化品的废包装材料</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油类</w:t>
                  </w:r>
                </w:p>
              </w:tc>
              <w:tc>
                <w:tcPr>
                  <w:tcW w:w="285" w:type="pct"/>
                  <w:vAlign w:val="center"/>
                </w:tcPr>
                <w:p>
                  <w:pPr>
                    <w:widowControl/>
                    <w:snapToGrid w:val="0"/>
                    <w:spacing w:line="240" w:lineRule="exact"/>
                    <w:jc w:val="center"/>
                    <w:rPr>
                      <w:sz w:val="18"/>
                      <w:szCs w:val="18"/>
                    </w:rPr>
                  </w:pPr>
                  <w:r>
                    <w:rPr>
                      <w:bCs/>
                      <w:sz w:val="18"/>
                      <w:szCs w:val="18"/>
                    </w:rPr>
                    <w:t>HW49</w:t>
                  </w:r>
                </w:p>
              </w:tc>
              <w:tc>
                <w:tcPr>
                  <w:tcW w:w="421" w:type="pct"/>
                  <w:vAlign w:val="center"/>
                </w:tcPr>
                <w:p>
                  <w:pPr>
                    <w:snapToGrid w:val="0"/>
                    <w:spacing w:line="240" w:lineRule="exact"/>
                    <w:jc w:val="center"/>
                    <w:rPr>
                      <w:sz w:val="18"/>
                      <w:szCs w:val="18"/>
                    </w:rPr>
                  </w:pPr>
                  <w:r>
                    <w:rPr>
                      <w:sz w:val="18"/>
                      <w:szCs w:val="18"/>
                    </w:rPr>
                    <w:t>900-041-49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T/In</w:t>
                  </w:r>
                </w:p>
              </w:tc>
              <w:tc>
                <w:tcPr>
                  <w:tcW w:w="286" w:type="pct"/>
                  <w:vAlign w:val="center"/>
                </w:tcPr>
                <w:p>
                  <w:pPr>
                    <w:spacing w:line="240" w:lineRule="exact"/>
                    <w:jc w:val="center"/>
                    <w:rPr>
                      <w:sz w:val="18"/>
                      <w:szCs w:val="18"/>
                    </w:rPr>
                  </w:pPr>
                  <w:r>
                    <w:rPr>
                      <w:sz w:val="18"/>
                      <w:szCs w:val="18"/>
                    </w:rPr>
                    <w:t>0.05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Merge w:val="continue"/>
                  <w:vAlign w:val="center"/>
                </w:tcPr>
                <w:p>
                  <w:pPr>
                    <w:snapToGrid w:val="0"/>
                    <w:spacing w:line="240" w:lineRule="exact"/>
                    <w:jc w:val="center"/>
                    <w:textAlignment w:val="center"/>
                    <w:rPr>
                      <w:sz w:val="18"/>
                      <w:szCs w:val="18"/>
                    </w:rPr>
                  </w:pPr>
                </w:p>
              </w:tc>
              <w:tc>
                <w:tcPr>
                  <w:tcW w:w="552" w:type="pct"/>
                  <w:vAlign w:val="center"/>
                </w:tcPr>
                <w:p>
                  <w:pPr>
                    <w:spacing w:line="240" w:lineRule="exact"/>
                    <w:jc w:val="center"/>
                    <w:rPr>
                      <w:sz w:val="18"/>
                      <w:szCs w:val="18"/>
                    </w:rPr>
                  </w:pPr>
                  <w:r>
                    <w:rPr>
                      <w:sz w:val="18"/>
                      <w:szCs w:val="1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restart"/>
                  <w:vAlign w:val="center"/>
                </w:tcPr>
                <w:p>
                  <w:pPr>
                    <w:snapToGrid w:val="0"/>
                    <w:spacing w:line="240" w:lineRule="exact"/>
                    <w:jc w:val="center"/>
                    <w:rPr>
                      <w:sz w:val="18"/>
                      <w:szCs w:val="18"/>
                    </w:rPr>
                  </w:pPr>
                  <w:r>
                    <w:rPr>
                      <w:sz w:val="18"/>
                      <w:szCs w:val="18"/>
                    </w:rPr>
                    <w:t>汽车拆解</w:t>
                  </w:r>
                </w:p>
              </w:tc>
              <w:tc>
                <w:tcPr>
                  <w:tcW w:w="766" w:type="pct"/>
                  <w:vAlign w:val="center"/>
                </w:tcPr>
                <w:p>
                  <w:pPr>
                    <w:snapToGrid w:val="0"/>
                    <w:spacing w:line="240" w:lineRule="exact"/>
                    <w:jc w:val="center"/>
                    <w:rPr>
                      <w:sz w:val="18"/>
                      <w:szCs w:val="18"/>
                    </w:rPr>
                  </w:pPr>
                  <w:r>
                    <w:rPr>
                      <w:bCs/>
                      <w:sz w:val="18"/>
                      <w:szCs w:val="18"/>
                    </w:rPr>
                    <w:t>废旧动力蓄电池（不包含铅蓄电池）</w:t>
                  </w:r>
                </w:p>
              </w:tc>
              <w:tc>
                <w:tcPr>
                  <w:tcW w:w="138" w:type="pct"/>
                  <w:vMerge w:val="restart"/>
                  <w:vAlign w:val="center"/>
                </w:tcPr>
                <w:p>
                  <w:pPr>
                    <w:snapToGrid w:val="0"/>
                    <w:spacing w:line="240" w:lineRule="exact"/>
                    <w:jc w:val="center"/>
                    <w:rPr>
                      <w:sz w:val="18"/>
                      <w:szCs w:val="18"/>
                    </w:rPr>
                  </w:pPr>
                  <w:r>
                    <w:rPr>
                      <w:sz w:val="18"/>
                      <w:szCs w:val="18"/>
                    </w:rPr>
                    <w:t>一般工业固废</w:t>
                  </w: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bCs/>
                      <w:sz w:val="18"/>
                      <w:szCs w:val="18"/>
                    </w:rPr>
                    <w:t>421-001-13</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2625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交售给新能源汽车生产企业建立的动力蓄电池回收服务网点，或符合国家对动力蓄电池梯次利用管理有关要求的梯次利用企业，或者从事废旧动力蓄电池综合利用的企业</w:t>
                  </w:r>
                </w:p>
              </w:tc>
              <w:tc>
                <w:tcPr>
                  <w:tcW w:w="552" w:type="pct"/>
                  <w:vAlign w:val="center"/>
                </w:tcPr>
                <w:p>
                  <w:pPr>
                    <w:spacing w:line="240" w:lineRule="exact"/>
                    <w:jc w:val="center"/>
                    <w:rPr>
                      <w:sz w:val="18"/>
                      <w:szCs w:val="18"/>
                    </w:rPr>
                  </w:pPr>
                  <w:r>
                    <w:rPr>
                      <w:sz w:val="18"/>
                      <w:szCs w:val="18"/>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废液化气罐</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bCs/>
                      <w:sz w:val="18"/>
                      <w:szCs w:val="18"/>
                    </w:rPr>
                    <w:t>421-002-99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129</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交由具有相应资质的单位利用和处置</w:t>
                  </w:r>
                </w:p>
              </w:tc>
              <w:tc>
                <w:tcPr>
                  <w:tcW w:w="552" w:type="pct"/>
                  <w:vAlign w:val="center"/>
                </w:tcPr>
                <w:p>
                  <w:pPr>
                    <w:spacing w:line="240" w:lineRule="exact"/>
                    <w:jc w:val="center"/>
                    <w:rPr>
                      <w:sz w:val="18"/>
                      <w:szCs w:val="18"/>
                    </w:rPr>
                  </w:pPr>
                  <w:r>
                    <w:rPr>
                      <w:sz w:val="18"/>
                      <w:szCs w:val="18"/>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sz w:val="18"/>
                      <w:szCs w:val="18"/>
                    </w:rPr>
                  </w:pPr>
                  <w:r>
                    <w:rPr>
                      <w:bCs/>
                      <w:sz w:val="18"/>
                      <w:szCs w:val="18"/>
                    </w:rPr>
                    <w:t>引爆后的安全气囊</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bCs/>
                      <w:sz w:val="18"/>
                      <w:szCs w:val="18"/>
                    </w:rPr>
                    <w:t>421-003-99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141.77</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交由具有相应处理能力或经营范围的单位利用和处置</w:t>
                  </w:r>
                </w:p>
              </w:tc>
              <w:tc>
                <w:tcPr>
                  <w:tcW w:w="552" w:type="pct"/>
                  <w:vAlign w:val="center"/>
                </w:tcPr>
                <w:p>
                  <w:pPr>
                    <w:spacing w:line="240" w:lineRule="exact"/>
                    <w:jc w:val="center"/>
                    <w:rPr>
                      <w:sz w:val="18"/>
                      <w:szCs w:val="18"/>
                    </w:rPr>
                  </w:pPr>
                  <w:r>
                    <w:rPr>
                      <w:sz w:val="18"/>
                      <w:szCs w:val="18"/>
                    </w:rPr>
                    <w:t>141.77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Merge w:val="continue"/>
                  <w:vAlign w:val="center"/>
                </w:tcPr>
                <w:p>
                  <w:pPr>
                    <w:snapToGrid w:val="0"/>
                    <w:spacing w:line="240" w:lineRule="exact"/>
                    <w:jc w:val="center"/>
                    <w:rPr>
                      <w:sz w:val="18"/>
                      <w:szCs w:val="18"/>
                    </w:rPr>
                  </w:pPr>
                </w:p>
              </w:tc>
              <w:tc>
                <w:tcPr>
                  <w:tcW w:w="766" w:type="pct"/>
                  <w:vAlign w:val="center"/>
                </w:tcPr>
                <w:p>
                  <w:pPr>
                    <w:snapToGrid w:val="0"/>
                    <w:spacing w:line="240" w:lineRule="exact"/>
                    <w:jc w:val="center"/>
                    <w:rPr>
                      <w:bCs/>
                      <w:sz w:val="18"/>
                      <w:szCs w:val="18"/>
                    </w:rPr>
                  </w:pPr>
                  <w:r>
                    <w:rPr>
                      <w:bCs/>
                      <w:sz w:val="18"/>
                      <w:szCs w:val="18"/>
                    </w:rPr>
                    <w:t>废制冷剂</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bCs/>
                      <w:sz w:val="18"/>
                      <w:szCs w:val="18"/>
                    </w:rPr>
                    <w:t>421-004-99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23.7</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交由具有相应资质的单位利用和处置</w:t>
                  </w:r>
                </w:p>
              </w:tc>
              <w:tc>
                <w:tcPr>
                  <w:tcW w:w="552" w:type="pct"/>
                  <w:vAlign w:val="center"/>
                </w:tcPr>
                <w:p>
                  <w:pPr>
                    <w:spacing w:line="240" w:lineRule="exact"/>
                    <w:jc w:val="center"/>
                    <w:rPr>
                      <w:sz w:val="18"/>
                      <w:szCs w:val="18"/>
                    </w:rPr>
                  </w:pPr>
                  <w:r>
                    <w:rPr>
                      <w:sz w:val="18"/>
                      <w:szCs w:val="18"/>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废气处理</w:t>
                  </w:r>
                </w:p>
              </w:tc>
              <w:tc>
                <w:tcPr>
                  <w:tcW w:w="766" w:type="pct"/>
                  <w:vAlign w:val="center"/>
                </w:tcPr>
                <w:p>
                  <w:pPr>
                    <w:snapToGrid w:val="0"/>
                    <w:spacing w:line="240" w:lineRule="exact"/>
                    <w:jc w:val="center"/>
                    <w:rPr>
                      <w:bCs/>
                      <w:sz w:val="18"/>
                      <w:szCs w:val="18"/>
                    </w:rPr>
                  </w:pPr>
                  <w:r>
                    <w:rPr>
                      <w:bCs/>
                      <w:sz w:val="18"/>
                      <w:szCs w:val="18"/>
                    </w:rPr>
                    <w:t>布袋除尘器截留粉尘</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kern w:val="0"/>
                      <w:sz w:val="18"/>
                      <w:szCs w:val="18"/>
                    </w:rPr>
                    <w:t>320-004-10</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18.32</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交有资质的废旧资源回收单位回收综合利用</w:t>
                  </w:r>
                </w:p>
              </w:tc>
              <w:tc>
                <w:tcPr>
                  <w:tcW w:w="552" w:type="pct"/>
                  <w:vAlign w:val="center"/>
                </w:tcPr>
                <w:p>
                  <w:pPr>
                    <w:spacing w:line="240" w:lineRule="exact"/>
                    <w:jc w:val="center"/>
                    <w:rPr>
                      <w:sz w:val="18"/>
                      <w:szCs w:val="18"/>
                    </w:rPr>
                  </w:pPr>
                  <w:r>
                    <w:rPr>
                      <w:sz w:val="18"/>
                      <w:szCs w:val="18"/>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汽车拆解</w:t>
                  </w:r>
                </w:p>
              </w:tc>
              <w:tc>
                <w:tcPr>
                  <w:tcW w:w="766" w:type="pct"/>
                  <w:vAlign w:val="center"/>
                </w:tcPr>
                <w:p>
                  <w:pPr>
                    <w:snapToGrid w:val="0"/>
                    <w:spacing w:line="240" w:lineRule="exact"/>
                    <w:jc w:val="center"/>
                    <w:rPr>
                      <w:bCs/>
                      <w:sz w:val="18"/>
                      <w:szCs w:val="18"/>
                    </w:rPr>
                  </w:pPr>
                  <w:r>
                    <w:rPr>
                      <w:bCs/>
                      <w:sz w:val="18"/>
                      <w:szCs w:val="18"/>
                    </w:rPr>
                    <w:t>其他废物（破碎的玻璃、轮胎、轮毂、塑料等）</w:t>
                  </w:r>
                </w:p>
              </w:tc>
              <w:tc>
                <w:tcPr>
                  <w:tcW w:w="138" w:type="pct"/>
                  <w:vMerge w:val="continue"/>
                  <w:vAlign w:val="center"/>
                </w:tcPr>
                <w:p>
                  <w:pPr>
                    <w:snapToGrid w:val="0"/>
                    <w:spacing w:line="240" w:lineRule="exact"/>
                    <w:jc w:val="center"/>
                    <w:rPr>
                      <w:sz w:val="18"/>
                      <w:szCs w:val="18"/>
                    </w:rPr>
                  </w:pP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bCs/>
                      <w:sz w:val="18"/>
                      <w:szCs w:val="18"/>
                    </w:rPr>
                    <w:t>421-005-99</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1853.24</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sz w:val="18"/>
                      <w:szCs w:val="18"/>
                    </w:rPr>
                    <w:t>交由具有相应资质的单位利用和处置</w:t>
                  </w:r>
                </w:p>
              </w:tc>
              <w:tc>
                <w:tcPr>
                  <w:tcW w:w="552" w:type="pct"/>
                  <w:vAlign w:val="center"/>
                </w:tcPr>
                <w:p>
                  <w:pPr>
                    <w:spacing w:line="240" w:lineRule="exact"/>
                    <w:jc w:val="center"/>
                    <w:rPr>
                      <w:sz w:val="18"/>
                      <w:szCs w:val="18"/>
                    </w:rPr>
                  </w:pPr>
                  <w:r>
                    <w:rPr>
                      <w:sz w:val="18"/>
                      <w:szCs w:val="18"/>
                    </w:rPr>
                    <w:t>1853.24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515" w:type="pct"/>
                  <w:vAlign w:val="center"/>
                </w:tcPr>
                <w:p>
                  <w:pPr>
                    <w:snapToGrid w:val="0"/>
                    <w:spacing w:line="240" w:lineRule="exact"/>
                    <w:jc w:val="center"/>
                    <w:rPr>
                      <w:sz w:val="18"/>
                      <w:szCs w:val="18"/>
                    </w:rPr>
                  </w:pPr>
                  <w:r>
                    <w:rPr>
                      <w:sz w:val="18"/>
                      <w:szCs w:val="18"/>
                    </w:rPr>
                    <w:t>办公区域等</w:t>
                  </w:r>
                </w:p>
              </w:tc>
              <w:tc>
                <w:tcPr>
                  <w:tcW w:w="904" w:type="pct"/>
                  <w:gridSpan w:val="2"/>
                  <w:vAlign w:val="center"/>
                </w:tcPr>
                <w:p>
                  <w:pPr>
                    <w:snapToGrid w:val="0"/>
                    <w:spacing w:line="240" w:lineRule="exact"/>
                    <w:jc w:val="center"/>
                    <w:rPr>
                      <w:sz w:val="18"/>
                      <w:szCs w:val="18"/>
                    </w:rPr>
                  </w:pPr>
                  <w:r>
                    <w:rPr>
                      <w:sz w:val="18"/>
                      <w:szCs w:val="18"/>
                    </w:rPr>
                    <w:t>生活垃圾</w:t>
                  </w:r>
                </w:p>
              </w:tc>
              <w:tc>
                <w:tcPr>
                  <w:tcW w:w="437" w:type="pct"/>
                  <w:vAlign w:val="center"/>
                </w:tcPr>
                <w:p>
                  <w:pPr>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w:t>
                  </w:r>
                </w:p>
              </w:tc>
              <w:tc>
                <w:tcPr>
                  <w:tcW w:w="421" w:type="pct"/>
                  <w:vAlign w:val="center"/>
                </w:tcPr>
                <w:p>
                  <w:pPr>
                    <w:snapToGrid w:val="0"/>
                    <w:spacing w:line="240" w:lineRule="exact"/>
                    <w:jc w:val="center"/>
                    <w:rPr>
                      <w:sz w:val="18"/>
                      <w:szCs w:val="18"/>
                    </w:rPr>
                  </w:pPr>
                  <w:r>
                    <w:rPr>
                      <w:sz w:val="18"/>
                      <w:szCs w:val="18"/>
                    </w:rPr>
                    <w:t>/</w:t>
                  </w:r>
                </w:p>
              </w:tc>
              <w:tc>
                <w:tcPr>
                  <w:tcW w:w="285" w:type="pct"/>
                  <w:vAlign w:val="center"/>
                </w:tcPr>
                <w:p>
                  <w:pPr>
                    <w:widowControl/>
                    <w:snapToGrid w:val="0"/>
                    <w:spacing w:line="240" w:lineRule="exact"/>
                    <w:jc w:val="center"/>
                    <w:rPr>
                      <w:sz w:val="18"/>
                      <w:szCs w:val="18"/>
                    </w:rPr>
                  </w:pPr>
                  <w:r>
                    <w:rPr>
                      <w:sz w:val="18"/>
                      <w:szCs w:val="18"/>
                    </w:rPr>
                    <w:t>固</w:t>
                  </w:r>
                </w:p>
              </w:tc>
              <w:tc>
                <w:tcPr>
                  <w:tcW w:w="285"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286" w:type="pct"/>
                  <w:vAlign w:val="center"/>
                </w:tcPr>
                <w:p>
                  <w:pPr>
                    <w:spacing w:line="240" w:lineRule="exact"/>
                    <w:jc w:val="center"/>
                    <w:rPr>
                      <w:sz w:val="18"/>
                      <w:szCs w:val="18"/>
                    </w:rPr>
                  </w:pPr>
                  <w:r>
                    <w:rPr>
                      <w:sz w:val="18"/>
                      <w:szCs w:val="18"/>
                    </w:rPr>
                    <w:t>16.5</w:t>
                  </w:r>
                </w:p>
              </w:tc>
              <w:tc>
                <w:tcPr>
                  <w:tcW w:w="388" w:type="pct"/>
                  <w:vAlign w:val="center"/>
                </w:tcPr>
                <w:p>
                  <w:pPr>
                    <w:widowControl/>
                    <w:snapToGrid w:val="0"/>
                    <w:spacing w:line="240" w:lineRule="exact"/>
                    <w:jc w:val="center"/>
                    <w:textAlignment w:val="center"/>
                    <w:rPr>
                      <w:sz w:val="18"/>
                      <w:szCs w:val="18"/>
                    </w:rPr>
                  </w:pPr>
                  <w:r>
                    <w:rPr>
                      <w:sz w:val="18"/>
                      <w:szCs w:val="18"/>
                    </w:rPr>
                    <w:t>专用盛具</w:t>
                  </w:r>
                </w:p>
              </w:tc>
              <w:tc>
                <w:tcPr>
                  <w:tcW w:w="642" w:type="pct"/>
                  <w:vAlign w:val="center"/>
                </w:tcPr>
                <w:p>
                  <w:pPr>
                    <w:snapToGrid w:val="0"/>
                    <w:spacing w:line="240" w:lineRule="exact"/>
                    <w:jc w:val="center"/>
                    <w:textAlignment w:val="center"/>
                    <w:rPr>
                      <w:sz w:val="18"/>
                      <w:szCs w:val="18"/>
                    </w:rPr>
                  </w:pPr>
                  <w:r>
                    <w:rPr>
                      <w:kern w:val="0"/>
                      <w:sz w:val="18"/>
                      <w:szCs w:val="18"/>
                    </w:rPr>
                    <w:t>定期交环卫部门统一外运处置</w:t>
                  </w:r>
                </w:p>
              </w:tc>
              <w:tc>
                <w:tcPr>
                  <w:tcW w:w="552" w:type="pct"/>
                  <w:vAlign w:val="center"/>
                </w:tcPr>
                <w:p>
                  <w:pPr>
                    <w:spacing w:line="240" w:lineRule="exact"/>
                    <w:jc w:val="center"/>
                    <w:rPr>
                      <w:sz w:val="18"/>
                      <w:szCs w:val="18"/>
                    </w:rPr>
                  </w:pPr>
                  <w:r>
                    <w:rPr>
                      <w:sz w:val="18"/>
                      <w:szCs w:val="18"/>
                    </w:rPr>
                    <w:t>16.5</w:t>
                  </w:r>
                </w:p>
              </w:tc>
            </w:tr>
          </w:tbl>
          <w:p>
            <w:pPr>
              <w:spacing w:line="480" w:lineRule="exact"/>
              <w:jc w:val="center"/>
              <w:rPr>
                <w:bCs/>
                <w:sz w:val="18"/>
                <w:szCs w:val="18"/>
              </w:rPr>
            </w:pPr>
            <w:r>
              <w:rPr>
                <w:bCs/>
                <w:sz w:val="18"/>
                <w:szCs w:val="18"/>
              </w:rPr>
              <w:t>表4.2.4-2   拟建项目危险废物产生、处置情况表</w:t>
            </w:r>
          </w:p>
          <w:tbl>
            <w:tblPr>
              <w:tblStyle w:val="2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88"/>
              <w:gridCol w:w="2385"/>
              <w:gridCol w:w="929"/>
              <w:gridCol w:w="1056"/>
              <w:gridCol w:w="852"/>
              <w:gridCol w:w="1700"/>
              <w:gridCol w:w="991"/>
              <w:gridCol w:w="1703"/>
              <w:gridCol w:w="849"/>
              <w:gridCol w:w="776"/>
              <w:gridCol w:w="16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19" w:type="pct"/>
                  <w:vAlign w:val="center"/>
                </w:tcPr>
                <w:p>
                  <w:pPr>
                    <w:snapToGrid w:val="0"/>
                    <w:spacing w:line="240" w:lineRule="exact"/>
                    <w:jc w:val="center"/>
                    <w:rPr>
                      <w:sz w:val="18"/>
                      <w:szCs w:val="18"/>
                    </w:rPr>
                  </w:pPr>
                  <w:r>
                    <w:rPr>
                      <w:sz w:val="18"/>
                      <w:szCs w:val="18"/>
                    </w:rPr>
                    <w:t>序号</w:t>
                  </w:r>
                </w:p>
              </w:tc>
              <w:tc>
                <w:tcPr>
                  <w:tcW w:w="888" w:type="pct"/>
                  <w:vAlign w:val="center"/>
                </w:tcPr>
                <w:p>
                  <w:pPr>
                    <w:snapToGrid w:val="0"/>
                    <w:spacing w:line="240" w:lineRule="exact"/>
                    <w:jc w:val="center"/>
                    <w:rPr>
                      <w:sz w:val="18"/>
                      <w:szCs w:val="18"/>
                    </w:rPr>
                  </w:pPr>
                  <w:r>
                    <w:rPr>
                      <w:sz w:val="18"/>
                      <w:szCs w:val="18"/>
                    </w:rPr>
                    <w:t>危险废物名称</w:t>
                  </w:r>
                </w:p>
              </w:tc>
              <w:tc>
                <w:tcPr>
                  <w:tcW w:w="346" w:type="pct"/>
                  <w:vAlign w:val="center"/>
                </w:tcPr>
                <w:p>
                  <w:pPr>
                    <w:snapToGrid w:val="0"/>
                    <w:spacing w:line="240" w:lineRule="exact"/>
                    <w:jc w:val="center"/>
                    <w:rPr>
                      <w:sz w:val="18"/>
                      <w:szCs w:val="18"/>
                    </w:rPr>
                  </w:pPr>
                  <w:r>
                    <w:rPr>
                      <w:sz w:val="18"/>
                      <w:szCs w:val="18"/>
                    </w:rPr>
                    <w:t>危险废物类别</w:t>
                  </w:r>
                </w:p>
              </w:tc>
              <w:tc>
                <w:tcPr>
                  <w:tcW w:w="393" w:type="pct"/>
                  <w:vAlign w:val="center"/>
                </w:tcPr>
                <w:p>
                  <w:pPr>
                    <w:snapToGrid w:val="0"/>
                    <w:spacing w:line="240" w:lineRule="exact"/>
                    <w:jc w:val="center"/>
                    <w:rPr>
                      <w:sz w:val="18"/>
                      <w:szCs w:val="18"/>
                    </w:rPr>
                  </w:pPr>
                  <w:r>
                    <w:rPr>
                      <w:sz w:val="18"/>
                      <w:szCs w:val="18"/>
                    </w:rPr>
                    <w:t>危险废物代码</w:t>
                  </w:r>
                </w:p>
              </w:tc>
              <w:tc>
                <w:tcPr>
                  <w:tcW w:w="317" w:type="pct"/>
                  <w:vAlign w:val="center"/>
                </w:tcPr>
                <w:p>
                  <w:pPr>
                    <w:snapToGrid w:val="0"/>
                    <w:spacing w:line="240" w:lineRule="exact"/>
                    <w:jc w:val="center"/>
                    <w:rPr>
                      <w:sz w:val="18"/>
                      <w:szCs w:val="18"/>
                    </w:rPr>
                  </w:pPr>
                  <w:r>
                    <w:rPr>
                      <w:sz w:val="18"/>
                      <w:szCs w:val="18"/>
                    </w:rPr>
                    <w:t>产生量t/a</w:t>
                  </w:r>
                </w:p>
              </w:tc>
              <w:tc>
                <w:tcPr>
                  <w:tcW w:w="633" w:type="pct"/>
                  <w:vAlign w:val="center"/>
                </w:tcPr>
                <w:p>
                  <w:pPr>
                    <w:snapToGrid w:val="0"/>
                    <w:spacing w:line="240" w:lineRule="exact"/>
                    <w:jc w:val="center"/>
                    <w:rPr>
                      <w:sz w:val="18"/>
                      <w:szCs w:val="18"/>
                    </w:rPr>
                  </w:pPr>
                  <w:r>
                    <w:rPr>
                      <w:sz w:val="18"/>
                      <w:szCs w:val="18"/>
                    </w:rPr>
                    <w:t>产生工序、装置</w:t>
                  </w:r>
                </w:p>
              </w:tc>
              <w:tc>
                <w:tcPr>
                  <w:tcW w:w="369" w:type="pct"/>
                  <w:vAlign w:val="center"/>
                </w:tcPr>
                <w:p>
                  <w:pPr>
                    <w:snapToGrid w:val="0"/>
                    <w:spacing w:line="240" w:lineRule="exact"/>
                    <w:jc w:val="center"/>
                    <w:rPr>
                      <w:sz w:val="18"/>
                      <w:szCs w:val="18"/>
                    </w:rPr>
                  </w:pPr>
                  <w:r>
                    <w:rPr>
                      <w:sz w:val="18"/>
                      <w:szCs w:val="18"/>
                    </w:rPr>
                    <w:t>形态</w:t>
                  </w:r>
                </w:p>
              </w:tc>
              <w:tc>
                <w:tcPr>
                  <w:tcW w:w="634" w:type="pct"/>
                  <w:vAlign w:val="center"/>
                </w:tcPr>
                <w:p>
                  <w:pPr>
                    <w:snapToGrid w:val="0"/>
                    <w:spacing w:line="240" w:lineRule="exact"/>
                    <w:jc w:val="center"/>
                    <w:rPr>
                      <w:sz w:val="18"/>
                      <w:szCs w:val="18"/>
                    </w:rPr>
                  </w:pPr>
                  <w:r>
                    <w:rPr>
                      <w:sz w:val="18"/>
                      <w:szCs w:val="18"/>
                    </w:rPr>
                    <w:t>有害成分</w:t>
                  </w:r>
                </w:p>
              </w:tc>
              <w:tc>
                <w:tcPr>
                  <w:tcW w:w="316" w:type="pct"/>
                  <w:vAlign w:val="center"/>
                </w:tcPr>
                <w:p>
                  <w:pPr>
                    <w:snapToGrid w:val="0"/>
                    <w:spacing w:line="240" w:lineRule="exact"/>
                    <w:jc w:val="center"/>
                    <w:rPr>
                      <w:sz w:val="18"/>
                      <w:szCs w:val="18"/>
                    </w:rPr>
                  </w:pPr>
                  <w:r>
                    <w:rPr>
                      <w:sz w:val="18"/>
                      <w:szCs w:val="18"/>
                    </w:rPr>
                    <w:t>产废周期</w:t>
                  </w:r>
                </w:p>
              </w:tc>
              <w:tc>
                <w:tcPr>
                  <w:tcW w:w="289" w:type="pct"/>
                  <w:vAlign w:val="center"/>
                </w:tcPr>
                <w:p>
                  <w:pPr>
                    <w:snapToGrid w:val="0"/>
                    <w:spacing w:line="240" w:lineRule="exact"/>
                    <w:jc w:val="center"/>
                    <w:rPr>
                      <w:sz w:val="18"/>
                      <w:szCs w:val="18"/>
                    </w:rPr>
                  </w:pPr>
                  <w:r>
                    <w:rPr>
                      <w:sz w:val="18"/>
                      <w:szCs w:val="18"/>
                    </w:rPr>
                    <w:t>危险特性</w:t>
                  </w:r>
                </w:p>
              </w:tc>
              <w:tc>
                <w:tcPr>
                  <w:tcW w:w="596" w:type="pct"/>
                  <w:vAlign w:val="center"/>
                </w:tcPr>
                <w:p>
                  <w:pPr>
                    <w:snapToGrid w:val="0"/>
                    <w:spacing w:line="240" w:lineRule="exact"/>
                    <w:jc w:val="center"/>
                    <w:rPr>
                      <w:sz w:val="18"/>
                      <w:szCs w:val="18"/>
                    </w:rPr>
                  </w:pPr>
                  <w:r>
                    <w:rPr>
                      <w:sz w:val="18"/>
                      <w:szCs w:val="18"/>
                    </w:rPr>
                    <w:t>污染防治措施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jc w:val="center"/>
              </w:trPr>
              <w:tc>
                <w:tcPr>
                  <w:tcW w:w="219" w:type="pct"/>
                  <w:vAlign w:val="center"/>
                </w:tcPr>
                <w:p>
                  <w:pPr>
                    <w:snapToGrid w:val="0"/>
                    <w:spacing w:line="240" w:lineRule="exact"/>
                    <w:jc w:val="center"/>
                    <w:rPr>
                      <w:sz w:val="18"/>
                      <w:szCs w:val="18"/>
                    </w:rPr>
                  </w:pPr>
                  <w:r>
                    <w:rPr>
                      <w:sz w:val="18"/>
                      <w:szCs w:val="18"/>
                    </w:rPr>
                    <w:t>1</w:t>
                  </w:r>
                </w:p>
              </w:tc>
              <w:tc>
                <w:tcPr>
                  <w:tcW w:w="888" w:type="pct"/>
                  <w:vAlign w:val="center"/>
                </w:tcPr>
                <w:p>
                  <w:pPr>
                    <w:widowControl/>
                    <w:snapToGrid w:val="0"/>
                    <w:spacing w:line="240" w:lineRule="exact"/>
                    <w:jc w:val="center"/>
                    <w:rPr>
                      <w:sz w:val="18"/>
                      <w:szCs w:val="18"/>
                    </w:rPr>
                  </w:pPr>
                  <w:r>
                    <w:rPr>
                      <w:rFonts w:hint="eastAsia"/>
                      <w:bCs/>
                      <w:sz w:val="18"/>
                      <w:szCs w:val="18"/>
                    </w:rPr>
                    <w:t>废铅蓄电池</w:t>
                  </w:r>
                </w:p>
              </w:tc>
              <w:tc>
                <w:tcPr>
                  <w:tcW w:w="346" w:type="pct"/>
                  <w:vAlign w:val="center"/>
                </w:tcPr>
                <w:p>
                  <w:pPr>
                    <w:widowControl/>
                    <w:snapToGrid w:val="0"/>
                    <w:spacing w:line="240" w:lineRule="exact"/>
                    <w:jc w:val="center"/>
                    <w:rPr>
                      <w:sz w:val="18"/>
                      <w:szCs w:val="18"/>
                    </w:rPr>
                  </w:pPr>
                  <w:r>
                    <w:rPr>
                      <w:bCs/>
                      <w:sz w:val="18"/>
                      <w:szCs w:val="18"/>
                    </w:rPr>
                    <w:t>HW31</w:t>
                  </w:r>
                </w:p>
              </w:tc>
              <w:tc>
                <w:tcPr>
                  <w:tcW w:w="393" w:type="pct"/>
                  <w:vAlign w:val="center"/>
                </w:tcPr>
                <w:p>
                  <w:pPr>
                    <w:snapToGrid w:val="0"/>
                    <w:spacing w:line="240" w:lineRule="exact"/>
                    <w:jc w:val="center"/>
                    <w:rPr>
                      <w:sz w:val="18"/>
                      <w:szCs w:val="18"/>
                    </w:rPr>
                  </w:pPr>
                  <w:r>
                    <w:rPr>
                      <w:bCs/>
                      <w:sz w:val="18"/>
                      <w:szCs w:val="18"/>
                    </w:rPr>
                    <w:t>900-052-31</w:t>
                  </w:r>
                </w:p>
              </w:tc>
              <w:tc>
                <w:tcPr>
                  <w:tcW w:w="317" w:type="pct"/>
                  <w:vAlign w:val="center"/>
                </w:tcPr>
                <w:p>
                  <w:pPr>
                    <w:spacing w:line="240" w:lineRule="exact"/>
                    <w:jc w:val="center"/>
                    <w:rPr>
                      <w:sz w:val="18"/>
                      <w:szCs w:val="18"/>
                    </w:rPr>
                  </w:pPr>
                  <w:r>
                    <w:rPr>
                      <w:rFonts w:hint="eastAsia"/>
                      <w:sz w:val="18"/>
                      <w:szCs w:val="18"/>
                    </w:rPr>
                    <w:t>1</w:t>
                  </w:r>
                  <w:r>
                    <w:rPr>
                      <w:sz w:val="18"/>
                      <w:szCs w:val="18"/>
                    </w:rPr>
                    <w:t>215</w:t>
                  </w:r>
                </w:p>
              </w:tc>
              <w:tc>
                <w:tcPr>
                  <w:tcW w:w="633" w:type="pct"/>
                  <w:vMerge w:val="restart"/>
                  <w:vAlign w:val="center"/>
                </w:tcPr>
                <w:p>
                  <w:pPr>
                    <w:snapToGrid w:val="0"/>
                    <w:spacing w:line="240" w:lineRule="exact"/>
                    <w:jc w:val="center"/>
                    <w:rPr>
                      <w:sz w:val="18"/>
                      <w:szCs w:val="18"/>
                    </w:rPr>
                  </w:pPr>
                  <w:r>
                    <w:rPr>
                      <w:sz w:val="18"/>
                      <w:szCs w:val="18"/>
                    </w:rPr>
                    <w:t>汽车拆解</w:t>
                  </w: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铅</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rFonts w:ascii="Times New Roman"/>
                      <w:sz w:val="18"/>
                      <w:szCs w:val="18"/>
                    </w:rPr>
                  </w:pPr>
                  <w:r>
                    <w:rPr>
                      <w:rFonts w:hint="eastAsia" w:ascii="Times New Roman"/>
                      <w:sz w:val="18"/>
                      <w:szCs w:val="18"/>
                    </w:rPr>
                    <w:t>T,C</w:t>
                  </w:r>
                </w:p>
              </w:tc>
              <w:tc>
                <w:tcPr>
                  <w:tcW w:w="596" w:type="pct"/>
                  <w:vMerge w:val="restart"/>
                  <w:vAlign w:val="center"/>
                </w:tcPr>
                <w:p>
                  <w:pPr>
                    <w:snapToGrid w:val="0"/>
                    <w:spacing w:line="240" w:lineRule="exact"/>
                    <w:jc w:val="center"/>
                    <w:rPr>
                      <w:sz w:val="18"/>
                      <w:szCs w:val="18"/>
                    </w:rPr>
                  </w:pPr>
                  <w:r>
                    <w:rPr>
                      <w:sz w:val="18"/>
                      <w:szCs w:val="18"/>
                    </w:rPr>
                    <w:t>新建危险废物暂存间暂存，容器下设托盘，定期由危废资质单位处理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 w:hRule="atLeast"/>
                <w:jc w:val="center"/>
              </w:trPr>
              <w:tc>
                <w:tcPr>
                  <w:tcW w:w="219" w:type="pct"/>
                  <w:vAlign w:val="center"/>
                </w:tcPr>
                <w:p>
                  <w:pPr>
                    <w:snapToGrid w:val="0"/>
                    <w:spacing w:line="240" w:lineRule="exact"/>
                    <w:jc w:val="center"/>
                    <w:rPr>
                      <w:sz w:val="18"/>
                      <w:szCs w:val="18"/>
                    </w:rPr>
                  </w:pPr>
                  <w:r>
                    <w:rPr>
                      <w:sz w:val="18"/>
                      <w:szCs w:val="18"/>
                    </w:rPr>
                    <w:t>2</w:t>
                  </w:r>
                </w:p>
              </w:tc>
              <w:tc>
                <w:tcPr>
                  <w:tcW w:w="888" w:type="pct"/>
                  <w:vAlign w:val="center"/>
                </w:tcPr>
                <w:p>
                  <w:pPr>
                    <w:widowControl/>
                    <w:snapToGrid w:val="0"/>
                    <w:spacing w:line="240" w:lineRule="exact"/>
                    <w:jc w:val="center"/>
                    <w:rPr>
                      <w:sz w:val="18"/>
                      <w:szCs w:val="18"/>
                    </w:rPr>
                  </w:pPr>
                  <w:r>
                    <w:rPr>
                      <w:rFonts w:hint="eastAsia"/>
                      <w:bCs/>
                      <w:sz w:val="18"/>
                      <w:szCs w:val="18"/>
                    </w:rPr>
                    <w:t>含多氯联苯的废电容器</w:t>
                  </w:r>
                </w:p>
              </w:tc>
              <w:tc>
                <w:tcPr>
                  <w:tcW w:w="346" w:type="pct"/>
                  <w:vAlign w:val="center"/>
                </w:tcPr>
                <w:p>
                  <w:pPr>
                    <w:widowControl/>
                    <w:snapToGrid w:val="0"/>
                    <w:spacing w:line="240" w:lineRule="exact"/>
                    <w:jc w:val="center"/>
                    <w:rPr>
                      <w:sz w:val="18"/>
                      <w:szCs w:val="18"/>
                    </w:rPr>
                  </w:pPr>
                  <w:r>
                    <w:rPr>
                      <w:sz w:val="18"/>
                      <w:szCs w:val="18"/>
                    </w:rPr>
                    <w:t>HW10</w:t>
                  </w:r>
                </w:p>
              </w:tc>
              <w:tc>
                <w:tcPr>
                  <w:tcW w:w="393" w:type="pct"/>
                  <w:vAlign w:val="center"/>
                </w:tcPr>
                <w:p>
                  <w:pPr>
                    <w:snapToGrid w:val="0"/>
                    <w:spacing w:line="240" w:lineRule="exact"/>
                    <w:jc w:val="center"/>
                    <w:rPr>
                      <w:sz w:val="18"/>
                      <w:szCs w:val="18"/>
                    </w:rPr>
                  </w:pPr>
                  <w:r>
                    <w:rPr>
                      <w:sz w:val="18"/>
                      <w:szCs w:val="18"/>
                    </w:rPr>
                    <w:t>900-008-10</w:t>
                  </w:r>
                </w:p>
              </w:tc>
              <w:tc>
                <w:tcPr>
                  <w:tcW w:w="317" w:type="pct"/>
                  <w:vAlign w:val="center"/>
                </w:tcPr>
                <w:p>
                  <w:pPr>
                    <w:spacing w:line="240" w:lineRule="exact"/>
                    <w:jc w:val="center"/>
                    <w:rPr>
                      <w:sz w:val="18"/>
                      <w:szCs w:val="18"/>
                    </w:rPr>
                  </w:pPr>
                  <w:r>
                    <w:rPr>
                      <w:rFonts w:hint="eastAsia"/>
                      <w:sz w:val="18"/>
                      <w:szCs w:val="18"/>
                    </w:rPr>
                    <w:t>1</w:t>
                  </w:r>
                  <w:r>
                    <w:rPr>
                      <w:sz w:val="18"/>
                      <w:szCs w:val="18"/>
                    </w:rPr>
                    <w:t>47</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液</w:t>
                  </w:r>
                </w:p>
              </w:tc>
              <w:tc>
                <w:tcPr>
                  <w:tcW w:w="634" w:type="pct"/>
                  <w:vAlign w:val="center"/>
                </w:tcPr>
                <w:p>
                  <w:pPr>
                    <w:spacing w:line="240" w:lineRule="exact"/>
                    <w:jc w:val="center"/>
                    <w:rPr>
                      <w:sz w:val="18"/>
                      <w:szCs w:val="18"/>
                    </w:rPr>
                  </w:pPr>
                  <w:r>
                    <w:rPr>
                      <w:rFonts w:hint="eastAsia"/>
                      <w:bCs/>
                      <w:sz w:val="18"/>
                      <w:szCs w:val="18"/>
                    </w:rPr>
                    <w:t>多氯联苯</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rFonts w:ascii="Times New Roman"/>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sz w:val="18"/>
                      <w:szCs w:val="18"/>
                    </w:rPr>
                    <w:t>3</w:t>
                  </w:r>
                </w:p>
              </w:tc>
              <w:tc>
                <w:tcPr>
                  <w:tcW w:w="888" w:type="pct"/>
                  <w:vAlign w:val="center"/>
                </w:tcPr>
                <w:p>
                  <w:pPr>
                    <w:spacing w:line="240" w:lineRule="exact"/>
                    <w:jc w:val="center"/>
                    <w:rPr>
                      <w:sz w:val="18"/>
                      <w:szCs w:val="18"/>
                    </w:rPr>
                  </w:pPr>
                  <w:r>
                    <w:rPr>
                      <w:rFonts w:hint="eastAsia"/>
                      <w:bCs/>
                      <w:sz w:val="18"/>
                      <w:szCs w:val="18"/>
                    </w:rPr>
                    <w:t>废尾气催化剂</w:t>
                  </w:r>
                </w:p>
              </w:tc>
              <w:tc>
                <w:tcPr>
                  <w:tcW w:w="346" w:type="pct"/>
                  <w:vAlign w:val="center"/>
                </w:tcPr>
                <w:p>
                  <w:pPr>
                    <w:widowControl/>
                    <w:snapToGrid w:val="0"/>
                    <w:spacing w:line="240" w:lineRule="exact"/>
                    <w:jc w:val="center"/>
                    <w:rPr>
                      <w:sz w:val="18"/>
                      <w:szCs w:val="18"/>
                    </w:rPr>
                  </w:pPr>
                  <w:r>
                    <w:rPr>
                      <w:sz w:val="18"/>
                      <w:szCs w:val="18"/>
                    </w:rPr>
                    <w:t>HW50</w:t>
                  </w:r>
                </w:p>
              </w:tc>
              <w:tc>
                <w:tcPr>
                  <w:tcW w:w="393" w:type="pct"/>
                  <w:vAlign w:val="center"/>
                </w:tcPr>
                <w:p>
                  <w:pPr>
                    <w:snapToGrid w:val="0"/>
                    <w:spacing w:line="240" w:lineRule="exact"/>
                    <w:jc w:val="center"/>
                    <w:rPr>
                      <w:sz w:val="18"/>
                      <w:szCs w:val="18"/>
                    </w:rPr>
                  </w:pPr>
                  <w:r>
                    <w:rPr>
                      <w:sz w:val="18"/>
                      <w:szCs w:val="18"/>
                    </w:rPr>
                    <w:t>900-049-50</w:t>
                  </w:r>
                </w:p>
              </w:tc>
              <w:tc>
                <w:tcPr>
                  <w:tcW w:w="317" w:type="pct"/>
                  <w:vAlign w:val="center"/>
                </w:tcPr>
                <w:p>
                  <w:pPr>
                    <w:spacing w:line="240" w:lineRule="exact"/>
                    <w:jc w:val="center"/>
                    <w:rPr>
                      <w:sz w:val="18"/>
                      <w:szCs w:val="18"/>
                    </w:rPr>
                  </w:pPr>
                  <w:r>
                    <w:rPr>
                      <w:rFonts w:hint="eastAsia"/>
                      <w:sz w:val="18"/>
                      <w:szCs w:val="18"/>
                    </w:rPr>
                    <w:t>7</w:t>
                  </w:r>
                  <w:r>
                    <w:rPr>
                      <w:sz w:val="18"/>
                      <w:szCs w:val="18"/>
                    </w:rPr>
                    <w:t>9.49</w:t>
                  </w:r>
                </w:p>
              </w:tc>
              <w:tc>
                <w:tcPr>
                  <w:tcW w:w="633" w:type="pct"/>
                  <w:vMerge w:val="continue"/>
                  <w:vAlign w:val="center"/>
                </w:tcPr>
                <w:p>
                  <w:pPr>
                    <w:snapToGrid w:val="0"/>
                    <w:spacing w:line="240" w:lineRule="exact"/>
                    <w:jc w:val="center"/>
                    <w:rPr>
                      <w:sz w:val="18"/>
                      <w:szCs w:val="18"/>
                    </w:rPr>
                  </w:pPr>
                </w:p>
              </w:tc>
              <w:tc>
                <w:tcPr>
                  <w:tcW w:w="369" w:type="pct"/>
                  <w:vAlign w:val="center"/>
                </w:tcPr>
                <w:p>
                  <w:pPr>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催化剂</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rFonts w:ascii="Times New Roman"/>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sz w:val="18"/>
                      <w:szCs w:val="18"/>
                    </w:rPr>
                    <w:t>4</w:t>
                  </w:r>
                </w:p>
              </w:tc>
              <w:tc>
                <w:tcPr>
                  <w:tcW w:w="888" w:type="pct"/>
                  <w:vAlign w:val="center"/>
                </w:tcPr>
                <w:p>
                  <w:pPr>
                    <w:spacing w:line="240" w:lineRule="exact"/>
                    <w:jc w:val="center"/>
                    <w:rPr>
                      <w:sz w:val="18"/>
                      <w:szCs w:val="18"/>
                    </w:rPr>
                  </w:pPr>
                  <w:r>
                    <w:rPr>
                      <w:rFonts w:hint="eastAsia"/>
                      <w:bCs/>
                      <w:sz w:val="18"/>
                      <w:szCs w:val="18"/>
                    </w:rPr>
                    <w:t>废矿物油与含矿物油废物</w:t>
                  </w:r>
                </w:p>
              </w:tc>
              <w:tc>
                <w:tcPr>
                  <w:tcW w:w="346" w:type="pct"/>
                  <w:vAlign w:val="center"/>
                </w:tcPr>
                <w:p>
                  <w:pPr>
                    <w:widowControl/>
                    <w:snapToGrid w:val="0"/>
                    <w:spacing w:line="240" w:lineRule="exact"/>
                    <w:jc w:val="center"/>
                    <w:rPr>
                      <w:sz w:val="18"/>
                      <w:szCs w:val="18"/>
                    </w:rPr>
                  </w:pPr>
                  <w:r>
                    <w:rPr>
                      <w:bCs/>
                      <w:sz w:val="18"/>
                      <w:szCs w:val="18"/>
                    </w:rPr>
                    <w:t>HW08</w:t>
                  </w:r>
                </w:p>
              </w:tc>
              <w:tc>
                <w:tcPr>
                  <w:tcW w:w="393" w:type="pct"/>
                  <w:vAlign w:val="center"/>
                </w:tcPr>
                <w:p>
                  <w:pPr>
                    <w:snapToGrid w:val="0"/>
                    <w:spacing w:line="240" w:lineRule="exact"/>
                    <w:jc w:val="center"/>
                    <w:rPr>
                      <w:sz w:val="18"/>
                      <w:szCs w:val="18"/>
                    </w:rPr>
                  </w:pPr>
                  <w:r>
                    <w:rPr>
                      <w:bCs/>
                      <w:sz w:val="18"/>
                      <w:szCs w:val="18"/>
                    </w:rPr>
                    <w:t>900-199-08</w:t>
                  </w:r>
                </w:p>
              </w:tc>
              <w:tc>
                <w:tcPr>
                  <w:tcW w:w="317" w:type="pct"/>
                  <w:vAlign w:val="center"/>
                </w:tcPr>
                <w:p>
                  <w:pPr>
                    <w:spacing w:line="240" w:lineRule="exact"/>
                    <w:jc w:val="center"/>
                    <w:rPr>
                      <w:sz w:val="18"/>
                      <w:szCs w:val="18"/>
                    </w:rPr>
                  </w:pPr>
                  <w:r>
                    <w:rPr>
                      <w:rFonts w:hint="eastAsia"/>
                      <w:sz w:val="18"/>
                      <w:szCs w:val="18"/>
                    </w:rPr>
                    <w:t>6</w:t>
                  </w:r>
                  <w:r>
                    <w:rPr>
                      <w:sz w:val="18"/>
                      <w:szCs w:val="18"/>
                    </w:rPr>
                    <w:t>06.15</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废油液</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rFonts w:ascii="Times New Roman"/>
                      <w:sz w:val="18"/>
                      <w:szCs w:val="18"/>
                    </w:rPr>
                  </w:pPr>
                  <w:r>
                    <w:rPr>
                      <w:rFonts w:hint="eastAsia" w:ascii="Times New Roman"/>
                      <w:sz w:val="18"/>
                      <w:szCs w:val="18"/>
                    </w:rPr>
                    <w:t>T,I</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5</w:t>
                  </w:r>
                </w:p>
              </w:tc>
              <w:tc>
                <w:tcPr>
                  <w:tcW w:w="888" w:type="pct"/>
                  <w:vAlign w:val="center"/>
                </w:tcPr>
                <w:p>
                  <w:pPr>
                    <w:spacing w:line="240" w:lineRule="exact"/>
                    <w:jc w:val="center"/>
                    <w:rPr>
                      <w:sz w:val="18"/>
                      <w:szCs w:val="18"/>
                    </w:rPr>
                  </w:pPr>
                  <w:r>
                    <w:rPr>
                      <w:rFonts w:hint="eastAsia"/>
                      <w:bCs/>
                      <w:sz w:val="18"/>
                      <w:szCs w:val="18"/>
                    </w:rPr>
                    <w:t>废电路板及其元件</w:t>
                  </w:r>
                </w:p>
              </w:tc>
              <w:tc>
                <w:tcPr>
                  <w:tcW w:w="346" w:type="pct"/>
                  <w:vAlign w:val="center"/>
                </w:tcPr>
                <w:p>
                  <w:pPr>
                    <w:widowControl/>
                    <w:snapToGrid w:val="0"/>
                    <w:spacing w:line="240" w:lineRule="exact"/>
                    <w:jc w:val="center"/>
                    <w:rPr>
                      <w:b/>
                      <w:sz w:val="18"/>
                      <w:szCs w:val="18"/>
                    </w:rPr>
                  </w:pPr>
                  <w:r>
                    <w:rPr>
                      <w:bCs/>
                      <w:sz w:val="18"/>
                      <w:szCs w:val="18"/>
                    </w:rPr>
                    <w:t>HW49</w:t>
                  </w:r>
                </w:p>
              </w:tc>
              <w:tc>
                <w:tcPr>
                  <w:tcW w:w="393" w:type="pct"/>
                  <w:vAlign w:val="center"/>
                </w:tcPr>
                <w:p>
                  <w:pPr>
                    <w:snapToGrid w:val="0"/>
                    <w:spacing w:line="240" w:lineRule="exact"/>
                    <w:jc w:val="center"/>
                    <w:rPr>
                      <w:sz w:val="18"/>
                      <w:szCs w:val="18"/>
                    </w:rPr>
                  </w:pPr>
                  <w:r>
                    <w:rPr>
                      <w:bCs/>
                      <w:sz w:val="18"/>
                      <w:szCs w:val="18"/>
                    </w:rPr>
                    <w:t>900-045-49</w:t>
                  </w:r>
                </w:p>
              </w:tc>
              <w:tc>
                <w:tcPr>
                  <w:tcW w:w="317" w:type="pct"/>
                  <w:vAlign w:val="center"/>
                </w:tcPr>
                <w:p>
                  <w:pPr>
                    <w:spacing w:line="240" w:lineRule="exact"/>
                    <w:jc w:val="center"/>
                    <w:rPr>
                      <w:sz w:val="18"/>
                      <w:szCs w:val="18"/>
                    </w:rPr>
                  </w:pPr>
                  <w:r>
                    <w:rPr>
                      <w:rFonts w:hint="eastAsia"/>
                      <w:sz w:val="18"/>
                      <w:szCs w:val="18"/>
                    </w:rPr>
                    <w:t>8</w:t>
                  </w:r>
                  <w:r>
                    <w:rPr>
                      <w:sz w:val="18"/>
                      <w:szCs w:val="18"/>
                    </w:rPr>
                    <w:t>40</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电路板及元件</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6</w:t>
                  </w:r>
                </w:p>
              </w:tc>
              <w:tc>
                <w:tcPr>
                  <w:tcW w:w="888" w:type="pct"/>
                  <w:vAlign w:val="center"/>
                </w:tcPr>
                <w:p>
                  <w:pPr>
                    <w:spacing w:line="240" w:lineRule="exact"/>
                    <w:jc w:val="center"/>
                    <w:rPr>
                      <w:bCs/>
                      <w:sz w:val="18"/>
                      <w:szCs w:val="18"/>
                    </w:rPr>
                  </w:pPr>
                  <w:r>
                    <w:rPr>
                      <w:rFonts w:hint="eastAsia"/>
                      <w:bCs/>
                      <w:sz w:val="18"/>
                      <w:szCs w:val="18"/>
                    </w:rPr>
                    <w:t>废机油滤清器</w:t>
                  </w:r>
                </w:p>
              </w:tc>
              <w:tc>
                <w:tcPr>
                  <w:tcW w:w="346" w:type="pct"/>
                  <w:vAlign w:val="center"/>
                </w:tcPr>
                <w:p>
                  <w:pPr>
                    <w:widowControl/>
                    <w:snapToGrid w:val="0"/>
                    <w:spacing w:line="240" w:lineRule="exact"/>
                    <w:jc w:val="center"/>
                    <w:rPr>
                      <w:sz w:val="18"/>
                      <w:szCs w:val="18"/>
                    </w:rPr>
                  </w:pPr>
                  <w:r>
                    <w:rPr>
                      <w:bCs/>
                      <w:sz w:val="18"/>
                      <w:szCs w:val="18"/>
                    </w:rPr>
                    <w:t>HW49</w:t>
                  </w:r>
                </w:p>
              </w:tc>
              <w:tc>
                <w:tcPr>
                  <w:tcW w:w="393" w:type="pct"/>
                  <w:vAlign w:val="center"/>
                </w:tcPr>
                <w:p>
                  <w:pPr>
                    <w:snapToGrid w:val="0"/>
                    <w:spacing w:line="240" w:lineRule="exact"/>
                    <w:jc w:val="center"/>
                    <w:rPr>
                      <w:sz w:val="18"/>
                      <w:szCs w:val="18"/>
                    </w:rPr>
                  </w:pPr>
                  <w:r>
                    <w:rPr>
                      <w:sz w:val="18"/>
                      <w:szCs w:val="18"/>
                    </w:rPr>
                    <w:t>900-041-49</w:t>
                  </w:r>
                </w:p>
              </w:tc>
              <w:tc>
                <w:tcPr>
                  <w:tcW w:w="317" w:type="pct"/>
                  <w:vAlign w:val="center"/>
                </w:tcPr>
                <w:p>
                  <w:pPr>
                    <w:spacing w:line="240" w:lineRule="exact"/>
                    <w:jc w:val="center"/>
                    <w:rPr>
                      <w:sz w:val="18"/>
                      <w:szCs w:val="18"/>
                    </w:rPr>
                  </w:pPr>
                  <w:r>
                    <w:rPr>
                      <w:rFonts w:hint="eastAsia"/>
                      <w:sz w:val="18"/>
                      <w:szCs w:val="18"/>
                    </w:rPr>
                    <w:t>9</w:t>
                  </w:r>
                  <w:r>
                    <w:rPr>
                      <w:sz w:val="18"/>
                      <w:szCs w:val="18"/>
                    </w:rPr>
                    <w:t>.15</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T/In</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7</w:t>
                  </w:r>
                </w:p>
              </w:tc>
              <w:tc>
                <w:tcPr>
                  <w:tcW w:w="888" w:type="pct"/>
                  <w:vAlign w:val="center"/>
                </w:tcPr>
                <w:p>
                  <w:pPr>
                    <w:spacing w:line="240" w:lineRule="exact"/>
                    <w:jc w:val="center"/>
                    <w:rPr>
                      <w:bCs/>
                      <w:sz w:val="18"/>
                      <w:szCs w:val="18"/>
                    </w:rPr>
                  </w:pPr>
                  <w:r>
                    <w:rPr>
                      <w:rFonts w:hint="eastAsia"/>
                      <w:bCs/>
                      <w:sz w:val="18"/>
                      <w:szCs w:val="18"/>
                    </w:rPr>
                    <w:t>废油箱</w:t>
                  </w:r>
                </w:p>
              </w:tc>
              <w:tc>
                <w:tcPr>
                  <w:tcW w:w="346" w:type="pct"/>
                  <w:vAlign w:val="center"/>
                </w:tcPr>
                <w:p>
                  <w:pPr>
                    <w:widowControl/>
                    <w:snapToGrid w:val="0"/>
                    <w:spacing w:line="240" w:lineRule="exact"/>
                    <w:jc w:val="center"/>
                    <w:rPr>
                      <w:sz w:val="18"/>
                      <w:szCs w:val="18"/>
                    </w:rPr>
                  </w:pPr>
                  <w:r>
                    <w:rPr>
                      <w:bCs/>
                      <w:sz w:val="18"/>
                      <w:szCs w:val="18"/>
                    </w:rPr>
                    <w:t>HW49</w:t>
                  </w:r>
                </w:p>
              </w:tc>
              <w:tc>
                <w:tcPr>
                  <w:tcW w:w="393" w:type="pct"/>
                  <w:vAlign w:val="center"/>
                </w:tcPr>
                <w:p>
                  <w:pPr>
                    <w:snapToGrid w:val="0"/>
                    <w:spacing w:line="240" w:lineRule="exact"/>
                    <w:jc w:val="center"/>
                    <w:rPr>
                      <w:sz w:val="18"/>
                      <w:szCs w:val="18"/>
                    </w:rPr>
                  </w:pPr>
                  <w:r>
                    <w:rPr>
                      <w:sz w:val="18"/>
                      <w:szCs w:val="18"/>
                    </w:rPr>
                    <w:t>900-041-49</w:t>
                  </w:r>
                </w:p>
              </w:tc>
              <w:tc>
                <w:tcPr>
                  <w:tcW w:w="317" w:type="pct"/>
                  <w:vAlign w:val="center"/>
                </w:tcPr>
                <w:p>
                  <w:pPr>
                    <w:spacing w:line="240" w:lineRule="exact"/>
                    <w:jc w:val="center"/>
                    <w:rPr>
                      <w:sz w:val="18"/>
                      <w:szCs w:val="18"/>
                    </w:rPr>
                  </w:pPr>
                  <w:r>
                    <w:rPr>
                      <w:rFonts w:hint="eastAsia"/>
                      <w:sz w:val="18"/>
                      <w:szCs w:val="18"/>
                    </w:rPr>
                    <w:t>6</w:t>
                  </w:r>
                  <w:r>
                    <w:rPr>
                      <w:sz w:val="18"/>
                      <w:szCs w:val="18"/>
                    </w:rPr>
                    <w:t>25.5</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T/In</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8</w:t>
                  </w:r>
                </w:p>
              </w:tc>
              <w:tc>
                <w:tcPr>
                  <w:tcW w:w="888" w:type="pct"/>
                  <w:vAlign w:val="center"/>
                </w:tcPr>
                <w:p>
                  <w:pPr>
                    <w:spacing w:line="240" w:lineRule="exact"/>
                    <w:jc w:val="center"/>
                    <w:rPr>
                      <w:bCs/>
                      <w:sz w:val="18"/>
                      <w:szCs w:val="18"/>
                    </w:rPr>
                  </w:pPr>
                  <w:r>
                    <w:rPr>
                      <w:rFonts w:hint="eastAsia"/>
                      <w:bCs/>
                      <w:sz w:val="18"/>
                      <w:szCs w:val="18"/>
                    </w:rPr>
                    <w:t>石棉废物</w:t>
                  </w:r>
                </w:p>
              </w:tc>
              <w:tc>
                <w:tcPr>
                  <w:tcW w:w="346" w:type="pct"/>
                  <w:vAlign w:val="center"/>
                </w:tcPr>
                <w:p>
                  <w:pPr>
                    <w:widowControl/>
                    <w:snapToGrid w:val="0"/>
                    <w:spacing w:line="240" w:lineRule="exact"/>
                    <w:jc w:val="center"/>
                    <w:rPr>
                      <w:sz w:val="18"/>
                      <w:szCs w:val="18"/>
                    </w:rPr>
                  </w:pPr>
                  <w:r>
                    <w:rPr>
                      <w:bCs/>
                      <w:sz w:val="18"/>
                      <w:szCs w:val="18"/>
                    </w:rPr>
                    <w:t>HW36</w:t>
                  </w:r>
                </w:p>
              </w:tc>
              <w:tc>
                <w:tcPr>
                  <w:tcW w:w="393" w:type="pct"/>
                  <w:vAlign w:val="center"/>
                </w:tcPr>
                <w:p>
                  <w:pPr>
                    <w:snapToGrid w:val="0"/>
                    <w:spacing w:line="240" w:lineRule="exact"/>
                    <w:jc w:val="center"/>
                    <w:rPr>
                      <w:sz w:val="18"/>
                      <w:szCs w:val="18"/>
                    </w:rPr>
                  </w:pPr>
                  <w:r>
                    <w:rPr>
                      <w:bCs/>
                      <w:sz w:val="18"/>
                      <w:szCs w:val="18"/>
                    </w:rPr>
                    <w:t>900-032-36</w:t>
                  </w:r>
                </w:p>
              </w:tc>
              <w:tc>
                <w:tcPr>
                  <w:tcW w:w="317" w:type="pct"/>
                  <w:vAlign w:val="center"/>
                </w:tcPr>
                <w:p>
                  <w:pPr>
                    <w:spacing w:line="240" w:lineRule="exact"/>
                    <w:jc w:val="center"/>
                    <w:rPr>
                      <w:sz w:val="18"/>
                      <w:szCs w:val="18"/>
                    </w:rPr>
                  </w:pPr>
                  <w:r>
                    <w:rPr>
                      <w:rFonts w:hint="eastAsia"/>
                      <w:sz w:val="18"/>
                      <w:szCs w:val="18"/>
                    </w:rPr>
                    <w:t>1</w:t>
                  </w:r>
                  <w:r>
                    <w:rPr>
                      <w:sz w:val="18"/>
                      <w:szCs w:val="18"/>
                    </w:rPr>
                    <w:t>.5</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废石棉</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9</w:t>
                  </w:r>
                </w:p>
              </w:tc>
              <w:tc>
                <w:tcPr>
                  <w:tcW w:w="888" w:type="pct"/>
                  <w:vAlign w:val="center"/>
                </w:tcPr>
                <w:p>
                  <w:pPr>
                    <w:spacing w:line="240" w:lineRule="exact"/>
                    <w:jc w:val="center"/>
                    <w:rPr>
                      <w:bCs/>
                      <w:sz w:val="18"/>
                      <w:szCs w:val="18"/>
                    </w:rPr>
                  </w:pPr>
                  <w:r>
                    <w:rPr>
                      <w:rFonts w:hint="eastAsia"/>
                      <w:bCs/>
                      <w:sz w:val="18"/>
                      <w:szCs w:val="18"/>
                    </w:rPr>
                    <w:t>含汞废物</w:t>
                  </w:r>
                </w:p>
              </w:tc>
              <w:tc>
                <w:tcPr>
                  <w:tcW w:w="346" w:type="pct"/>
                  <w:vAlign w:val="center"/>
                </w:tcPr>
                <w:p>
                  <w:pPr>
                    <w:widowControl/>
                    <w:snapToGrid w:val="0"/>
                    <w:spacing w:line="240" w:lineRule="exact"/>
                    <w:jc w:val="center"/>
                    <w:rPr>
                      <w:sz w:val="18"/>
                      <w:szCs w:val="18"/>
                    </w:rPr>
                  </w:pPr>
                  <w:r>
                    <w:rPr>
                      <w:bCs/>
                      <w:sz w:val="18"/>
                      <w:szCs w:val="18"/>
                    </w:rPr>
                    <w:t>HW29</w:t>
                  </w:r>
                </w:p>
              </w:tc>
              <w:tc>
                <w:tcPr>
                  <w:tcW w:w="393" w:type="pct"/>
                  <w:vAlign w:val="center"/>
                </w:tcPr>
                <w:p>
                  <w:pPr>
                    <w:snapToGrid w:val="0"/>
                    <w:spacing w:line="240" w:lineRule="exact"/>
                    <w:jc w:val="center"/>
                    <w:rPr>
                      <w:sz w:val="18"/>
                      <w:szCs w:val="18"/>
                    </w:rPr>
                  </w:pPr>
                  <w:r>
                    <w:rPr>
                      <w:bCs/>
                      <w:sz w:val="18"/>
                      <w:szCs w:val="18"/>
                    </w:rPr>
                    <w:t>900-023-29</w:t>
                  </w:r>
                </w:p>
              </w:tc>
              <w:tc>
                <w:tcPr>
                  <w:tcW w:w="317" w:type="pct"/>
                  <w:vAlign w:val="center"/>
                </w:tcPr>
                <w:p>
                  <w:pPr>
                    <w:spacing w:line="240" w:lineRule="exact"/>
                    <w:jc w:val="center"/>
                    <w:rPr>
                      <w:sz w:val="18"/>
                      <w:szCs w:val="18"/>
                    </w:rPr>
                  </w:pPr>
                  <w:r>
                    <w:rPr>
                      <w:rFonts w:hint="eastAsia"/>
                      <w:sz w:val="18"/>
                      <w:szCs w:val="18"/>
                    </w:rPr>
                    <w:t>1</w:t>
                  </w:r>
                  <w:r>
                    <w:rPr>
                      <w:sz w:val="18"/>
                      <w:szCs w:val="18"/>
                    </w:rPr>
                    <w:t>.5</w:t>
                  </w:r>
                </w:p>
              </w:tc>
              <w:tc>
                <w:tcPr>
                  <w:tcW w:w="633" w:type="pct"/>
                  <w:vMerge w:val="continue"/>
                  <w:vAlign w:val="center"/>
                </w:tcPr>
                <w:p>
                  <w:pPr>
                    <w:snapToGrid w:val="0"/>
                    <w:spacing w:line="240" w:lineRule="exact"/>
                    <w:jc w:val="center"/>
                    <w:rPr>
                      <w:sz w:val="18"/>
                      <w:szCs w:val="18"/>
                    </w:rPr>
                  </w:pP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汞</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1</w:t>
                  </w:r>
                  <w:r>
                    <w:rPr>
                      <w:sz w:val="18"/>
                      <w:szCs w:val="18"/>
                    </w:rPr>
                    <w:t>0</w:t>
                  </w:r>
                </w:p>
              </w:tc>
              <w:tc>
                <w:tcPr>
                  <w:tcW w:w="888" w:type="pct"/>
                  <w:vAlign w:val="center"/>
                </w:tcPr>
                <w:p>
                  <w:pPr>
                    <w:spacing w:line="240" w:lineRule="exact"/>
                    <w:jc w:val="center"/>
                    <w:rPr>
                      <w:bCs/>
                      <w:sz w:val="18"/>
                      <w:szCs w:val="18"/>
                    </w:rPr>
                  </w:pPr>
                  <w:r>
                    <w:rPr>
                      <w:rFonts w:hint="eastAsia"/>
                      <w:bCs/>
                      <w:sz w:val="18"/>
                      <w:szCs w:val="18"/>
                    </w:rPr>
                    <w:t>污水处理站污泥</w:t>
                  </w:r>
                </w:p>
              </w:tc>
              <w:tc>
                <w:tcPr>
                  <w:tcW w:w="346" w:type="pct"/>
                  <w:vAlign w:val="center"/>
                </w:tcPr>
                <w:p>
                  <w:pPr>
                    <w:widowControl/>
                    <w:snapToGrid w:val="0"/>
                    <w:spacing w:line="240" w:lineRule="exact"/>
                    <w:jc w:val="center"/>
                    <w:rPr>
                      <w:sz w:val="18"/>
                      <w:szCs w:val="18"/>
                    </w:rPr>
                  </w:pPr>
                  <w:r>
                    <w:rPr>
                      <w:rFonts w:hint="eastAsia"/>
                      <w:bCs/>
                      <w:sz w:val="18"/>
                      <w:szCs w:val="18"/>
                    </w:rPr>
                    <w:t>HW08</w:t>
                  </w:r>
                </w:p>
              </w:tc>
              <w:tc>
                <w:tcPr>
                  <w:tcW w:w="393" w:type="pct"/>
                  <w:vAlign w:val="center"/>
                </w:tcPr>
                <w:p>
                  <w:pPr>
                    <w:snapToGrid w:val="0"/>
                    <w:spacing w:line="240" w:lineRule="exact"/>
                    <w:jc w:val="center"/>
                    <w:rPr>
                      <w:sz w:val="18"/>
                      <w:szCs w:val="18"/>
                    </w:rPr>
                  </w:pPr>
                  <w:r>
                    <w:rPr>
                      <w:bCs/>
                      <w:sz w:val="18"/>
                      <w:szCs w:val="18"/>
                    </w:rPr>
                    <w:t>900-210-08</w:t>
                  </w:r>
                </w:p>
              </w:tc>
              <w:tc>
                <w:tcPr>
                  <w:tcW w:w="317" w:type="pct"/>
                  <w:vAlign w:val="center"/>
                </w:tcPr>
                <w:p>
                  <w:pPr>
                    <w:spacing w:line="240" w:lineRule="exact"/>
                    <w:jc w:val="center"/>
                    <w:rPr>
                      <w:sz w:val="18"/>
                      <w:szCs w:val="18"/>
                    </w:rPr>
                  </w:pPr>
                  <w:r>
                    <w:rPr>
                      <w:rFonts w:hint="eastAsia"/>
                      <w:sz w:val="18"/>
                      <w:szCs w:val="18"/>
                    </w:rPr>
                    <w:t>5</w:t>
                  </w:r>
                </w:p>
              </w:tc>
              <w:tc>
                <w:tcPr>
                  <w:tcW w:w="633" w:type="pct"/>
                  <w:vAlign w:val="center"/>
                </w:tcPr>
                <w:p>
                  <w:pPr>
                    <w:snapToGrid w:val="0"/>
                    <w:spacing w:line="240" w:lineRule="exact"/>
                    <w:jc w:val="center"/>
                    <w:rPr>
                      <w:sz w:val="18"/>
                      <w:szCs w:val="18"/>
                    </w:rPr>
                  </w:pPr>
                  <w:r>
                    <w:rPr>
                      <w:sz w:val="18"/>
                      <w:szCs w:val="18"/>
                    </w:rPr>
                    <w:t>污水处理</w:t>
                  </w: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T,I</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1</w:t>
                  </w:r>
                  <w:r>
                    <w:rPr>
                      <w:sz w:val="18"/>
                      <w:szCs w:val="18"/>
                    </w:rPr>
                    <w:t>1</w:t>
                  </w:r>
                </w:p>
              </w:tc>
              <w:tc>
                <w:tcPr>
                  <w:tcW w:w="888" w:type="pct"/>
                  <w:vAlign w:val="center"/>
                </w:tcPr>
                <w:p>
                  <w:pPr>
                    <w:spacing w:line="240" w:lineRule="exact"/>
                    <w:jc w:val="center"/>
                    <w:rPr>
                      <w:bCs/>
                      <w:sz w:val="18"/>
                      <w:szCs w:val="18"/>
                    </w:rPr>
                  </w:pPr>
                  <w:r>
                    <w:rPr>
                      <w:rFonts w:hint="eastAsia"/>
                      <w:bCs/>
                      <w:sz w:val="18"/>
                      <w:szCs w:val="18"/>
                    </w:rPr>
                    <w:t>废含油抹布及劳保用品</w:t>
                  </w:r>
                </w:p>
              </w:tc>
              <w:tc>
                <w:tcPr>
                  <w:tcW w:w="346" w:type="pct"/>
                  <w:vAlign w:val="center"/>
                </w:tcPr>
                <w:p>
                  <w:pPr>
                    <w:widowControl/>
                    <w:snapToGrid w:val="0"/>
                    <w:spacing w:line="240" w:lineRule="exact"/>
                    <w:jc w:val="center"/>
                    <w:rPr>
                      <w:sz w:val="18"/>
                      <w:szCs w:val="18"/>
                    </w:rPr>
                  </w:pPr>
                  <w:r>
                    <w:rPr>
                      <w:bCs/>
                      <w:sz w:val="18"/>
                      <w:szCs w:val="18"/>
                    </w:rPr>
                    <w:t>HW49</w:t>
                  </w:r>
                </w:p>
              </w:tc>
              <w:tc>
                <w:tcPr>
                  <w:tcW w:w="393" w:type="pct"/>
                  <w:vAlign w:val="center"/>
                </w:tcPr>
                <w:p>
                  <w:pPr>
                    <w:snapToGrid w:val="0"/>
                    <w:spacing w:line="240" w:lineRule="exact"/>
                    <w:jc w:val="center"/>
                    <w:rPr>
                      <w:sz w:val="18"/>
                      <w:szCs w:val="18"/>
                    </w:rPr>
                  </w:pPr>
                  <w:r>
                    <w:rPr>
                      <w:sz w:val="18"/>
                      <w:szCs w:val="18"/>
                    </w:rPr>
                    <w:t>900-041-49</w:t>
                  </w:r>
                </w:p>
              </w:tc>
              <w:tc>
                <w:tcPr>
                  <w:tcW w:w="317" w:type="pct"/>
                  <w:vAlign w:val="center"/>
                </w:tcPr>
                <w:p>
                  <w:pPr>
                    <w:spacing w:line="240" w:lineRule="exact"/>
                    <w:jc w:val="center"/>
                    <w:rPr>
                      <w:sz w:val="18"/>
                      <w:szCs w:val="18"/>
                    </w:rPr>
                  </w:pPr>
                  <w:r>
                    <w:rPr>
                      <w:rFonts w:hint="eastAsia"/>
                      <w:sz w:val="18"/>
                      <w:szCs w:val="18"/>
                    </w:rPr>
                    <w:t>0</w:t>
                  </w:r>
                  <w:r>
                    <w:rPr>
                      <w:sz w:val="18"/>
                      <w:szCs w:val="18"/>
                    </w:rPr>
                    <w:t>.5</w:t>
                  </w:r>
                </w:p>
              </w:tc>
              <w:tc>
                <w:tcPr>
                  <w:tcW w:w="633" w:type="pct"/>
                  <w:vAlign w:val="center"/>
                </w:tcPr>
                <w:p>
                  <w:pPr>
                    <w:snapToGrid w:val="0"/>
                    <w:spacing w:line="240" w:lineRule="exact"/>
                    <w:jc w:val="center"/>
                    <w:rPr>
                      <w:sz w:val="18"/>
                      <w:szCs w:val="18"/>
                    </w:rPr>
                  </w:pPr>
                  <w:r>
                    <w:rPr>
                      <w:sz w:val="18"/>
                      <w:szCs w:val="18"/>
                    </w:rPr>
                    <w:t>汽车拆解</w:t>
                  </w: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T/In</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1</w:t>
                  </w:r>
                  <w:r>
                    <w:rPr>
                      <w:sz w:val="18"/>
                      <w:szCs w:val="18"/>
                    </w:rPr>
                    <w:t>2</w:t>
                  </w:r>
                </w:p>
              </w:tc>
              <w:tc>
                <w:tcPr>
                  <w:tcW w:w="888" w:type="pct"/>
                  <w:vAlign w:val="center"/>
                </w:tcPr>
                <w:p>
                  <w:pPr>
                    <w:spacing w:line="240" w:lineRule="exact"/>
                    <w:jc w:val="center"/>
                    <w:rPr>
                      <w:bCs/>
                      <w:sz w:val="18"/>
                      <w:szCs w:val="18"/>
                    </w:rPr>
                  </w:pPr>
                  <w:r>
                    <w:rPr>
                      <w:rFonts w:hint="eastAsia"/>
                      <w:bCs/>
                      <w:sz w:val="18"/>
                      <w:szCs w:val="18"/>
                    </w:rPr>
                    <w:t>废活性炭</w:t>
                  </w:r>
                </w:p>
              </w:tc>
              <w:tc>
                <w:tcPr>
                  <w:tcW w:w="346" w:type="pct"/>
                  <w:vAlign w:val="center"/>
                </w:tcPr>
                <w:p>
                  <w:pPr>
                    <w:widowControl/>
                    <w:snapToGrid w:val="0"/>
                    <w:spacing w:line="240" w:lineRule="exact"/>
                    <w:jc w:val="center"/>
                    <w:rPr>
                      <w:sz w:val="18"/>
                      <w:szCs w:val="18"/>
                    </w:rPr>
                  </w:pPr>
                  <w:r>
                    <w:rPr>
                      <w:rFonts w:hint="eastAsia"/>
                      <w:bCs/>
                      <w:sz w:val="18"/>
                      <w:szCs w:val="18"/>
                    </w:rPr>
                    <w:t>HW</w:t>
                  </w:r>
                  <w:r>
                    <w:rPr>
                      <w:bCs/>
                      <w:sz w:val="18"/>
                      <w:szCs w:val="18"/>
                    </w:rPr>
                    <w:t>49</w:t>
                  </w:r>
                </w:p>
              </w:tc>
              <w:tc>
                <w:tcPr>
                  <w:tcW w:w="393" w:type="pct"/>
                  <w:vAlign w:val="center"/>
                </w:tcPr>
                <w:p>
                  <w:pPr>
                    <w:snapToGrid w:val="0"/>
                    <w:spacing w:line="240" w:lineRule="exact"/>
                    <w:jc w:val="center"/>
                    <w:rPr>
                      <w:sz w:val="18"/>
                      <w:szCs w:val="18"/>
                    </w:rPr>
                  </w:pPr>
                  <w:r>
                    <w:rPr>
                      <w:bCs/>
                      <w:sz w:val="18"/>
                      <w:szCs w:val="18"/>
                    </w:rPr>
                    <w:t>900-039-49</w:t>
                  </w:r>
                </w:p>
              </w:tc>
              <w:tc>
                <w:tcPr>
                  <w:tcW w:w="317" w:type="pct"/>
                  <w:vAlign w:val="center"/>
                </w:tcPr>
                <w:p>
                  <w:pPr>
                    <w:spacing w:line="240" w:lineRule="exact"/>
                    <w:jc w:val="center"/>
                    <w:rPr>
                      <w:sz w:val="18"/>
                      <w:szCs w:val="18"/>
                    </w:rPr>
                  </w:pPr>
                  <w:r>
                    <w:rPr>
                      <w:rFonts w:hint="eastAsia"/>
                      <w:sz w:val="18"/>
                      <w:szCs w:val="18"/>
                    </w:rPr>
                    <w:t>0</w:t>
                  </w:r>
                  <w:r>
                    <w:rPr>
                      <w:sz w:val="18"/>
                      <w:szCs w:val="18"/>
                    </w:rPr>
                    <w:t>.25</w:t>
                  </w:r>
                </w:p>
              </w:tc>
              <w:tc>
                <w:tcPr>
                  <w:tcW w:w="633" w:type="pct"/>
                  <w:vAlign w:val="center"/>
                </w:tcPr>
                <w:p>
                  <w:pPr>
                    <w:snapToGrid w:val="0"/>
                    <w:spacing w:line="240" w:lineRule="exact"/>
                    <w:jc w:val="center"/>
                    <w:rPr>
                      <w:sz w:val="18"/>
                      <w:szCs w:val="18"/>
                    </w:rPr>
                  </w:pPr>
                  <w:r>
                    <w:rPr>
                      <w:sz w:val="18"/>
                      <w:szCs w:val="18"/>
                    </w:rPr>
                    <w:t>废气处理</w:t>
                  </w: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w:t>
                  </w:r>
                </w:p>
              </w:tc>
              <w:tc>
                <w:tcPr>
                  <w:tcW w:w="596" w:type="pct"/>
                  <w:vMerge w:val="continue"/>
                  <w:vAlign w:val="center"/>
                </w:tcPr>
                <w:p>
                  <w:pPr>
                    <w:snapToGrid w:val="0"/>
                    <w:spacing w:line="240" w:lineRule="exact"/>
                    <w:jc w:val="center"/>
                    <w:rPr>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 w:hRule="atLeast"/>
                <w:jc w:val="center"/>
              </w:trPr>
              <w:tc>
                <w:tcPr>
                  <w:tcW w:w="219" w:type="pct"/>
                  <w:vAlign w:val="center"/>
                </w:tcPr>
                <w:p>
                  <w:pPr>
                    <w:snapToGrid w:val="0"/>
                    <w:spacing w:line="240" w:lineRule="exact"/>
                    <w:jc w:val="center"/>
                    <w:rPr>
                      <w:sz w:val="18"/>
                      <w:szCs w:val="18"/>
                    </w:rPr>
                  </w:pPr>
                  <w:r>
                    <w:rPr>
                      <w:rFonts w:hint="eastAsia"/>
                      <w:sz w:val="18"/>
                      <w:szCs w:val="18"/>
                    </w:rPr>
                    <w:t>1</w:t>
                  </w:r>
                  <w:r>
                    <w:rPr>
                      <w:sz w:val="18"/>
                      <w:szCs w:val="18"/>
                    </w:rPr>
                    <w:t>3</w:t>
                  </w:r>
                </w:p>
              </w:tc>
              <w:tc>
                <w:tcPr>
                  <w:tcW w:w="888" w:type="pct"/>
                  <w:vAlign w:val="center"/>
                </w:tcPr>
                <w:p>
                  <w:pPr>
                    <w:spacing w:line="240" w:lineRule="exact"/>
                    <w:jc w:val="center"/>
                    <w:rPr>
                      <w:bCs/>
                      <w:sz w:val="18"/>
                      <w:szCs w:val="18"/>
                    </w:rPr>
                  </w:pPr>
                  <w:r>
                    <w:rPr>
                      <w:rFonts w:hint="eastAsia"/>
                      <w:bCs/>
                      <w:sz w:val="18"/>
                      <w:szCs w:val="18"/>
                    </w:rPr>
                    <w:t>废活性炭沾染危化品的废包装材料</w:t>
                  </w:r>
                </w:p>
              </w:tc>
              <w:tc>
                <w:tcPr>
                  <w:tcW w:w="346" w:type="pct"/>
                  <w:vAlign w:val="center"/>
                </w:tcPr>
                <w:p>
                  <w:pPr>
                    <w:widowControl/>
                    <w:snapToGrid w:val="0"/>
                    <w:spacing w:line="240" w:lineRule="exact"/>
                    <w:jc w:val="center"/>
                    <w:rPr>
                      <w:sz w:val="18"/>
                      <w:szCs w:val="18"/>
                    </w:rPr>
                  </w:pPr>
                  <w:r>
                    <w:rPr>
                      <w:bCs/>
                      <w:sz w:val="18"/>
                      <w:szCs w:val="18"/>
                    </w:rPr>
                    <w:t>HW49</w:t>
                  </w:r>
                </w:p>
              </w:tc>
              <w:tc>
                <w:tcPr>
                  <w:tcW w:w="393" w:type="pct"/>
                  <w:vAlign w:val="center"/>
                </w:tcPr>
                <w:p>
                  <w:pPr>
                    <w:snapToGrid w:val="0"/>
                    <w:spacing w:line="240" w:lineRule="exact"/>
                    <w:jc w:val="center"/>
                    <w:rPr>
                      <w:sz w:val="18"/>
                      <w:szCs w:val="18"/>
                    </w:rPr>
                  </w:pPr>
                  <w:r>
                    <w:rPr>
                      <w:sz w:val="18"/>
                      <w:szCs w:val="18"/>
                    </w:rPr>
                    <w:t>900-041-49</w:t>
                  </w:r>
                </w:p>
              </w:tc>
              <w:tc>
                <w:tcPr>
                  <w:tcW w:w="317" w:type="pct"/>
                  <w:vAlign w:val="center"/>
                </w:tcPr>
                <w:p>
                  <w:pPr>
                    <w:spacing w:line="240" w:lineRule="exact"/>
                    <w:jc w:val="center"/>
                    <w:rPr>
                      <w:sz w:val="18"/>
                      <w:szCs w:val="18"/>
                    </w:rPr>
                  </w:pPr>
                  <w:r>
                    <w:rPr>
                      <w:rFonts w:hint="eastAsia"/>
                      <w:sz w:val="18"/>
                      <w:szCs w:val="18"/>
                    </w:rPr>
                    <w:t>0</w:t>
                  </w:r>
                  <w:r>
                    <w:rPr>
                      <w:sz w:val="18"/>
                      <w:szCs w:val="18"/>
                    </w:rPr>
                    <w:t>.05</w:t>
                  </w:r>
                </w:p>
              </w:tc>
              <w:tc>
                <w:tcPr>
                  <w:tcW w:w="633" w:type="pct"/>
                  <w:vAlign w:val="center"/>
                </w:tcPr>
                <w:p>
                  <w:pPr>
                    <w:snapToGrid w:val="0"/>
                    <w:spacing w:line="240" w:lineRule="exact"/>
                    <w:jc w:val="center"/>
                    <w:rPr>
                      <w:sz w:val="18"/>
                      <w:szCs w:val="18"/>
                    </w:rPr>
                  </w:pPr>
                  <w:r>
                    <w:rPr>
                      <w:sz w:val="18"/>
                      <w:szCs w:val="18"/>
                    </w:rPr>
                    <w:t>汽车拆解</w:t>
                  </w:r>
                </w:p>
              </w:tc>
              <w:tc>
                <w:tcPr>
                  <w:tcW w:w="369" w:type="pct"/>
                  <w:vAlign w:val="center"/>
                </w:tcPr>
                <w:p>
                  <w:pPr>
                    <w:widowControl/>
                    <w:snapToGrid w:val="0"/>
                    <w:spacing w:line="240" w:lineRule="exact"/>
                    <w:jc w:val="center"/>
                    <w:rPr>
                      <w:sz w:val="18"/>
                      <w:szCs w:val="18"/>
                    </w:rPr>
                  </w:pPr>
                  <w:r>
                    <w:rPr>
                      <w:rFonts w:hint="eastAsia"/>
                      <w:sz w:val="18"/>
                      <w:szCs w:val="18"/>
                    </w:rPr>
                    <w:t>固</w:t>
                  </w:r>
                </w:p>
              </w:tc>
              <w:tc>
                <w:tcPr>
                  <w:tcW w:w="634" w:type="pct"/>
                  <w:vAlign w:val="center"/>
                </w:tcPr>
                <w:p>
                  <w:pPr>
                    <w:spacing w:line="240" w:lineRule="exact"/>
                    <w:jc w:val="center"/>
                    <w:rPr>
                      <w:sz w:val="18"/>
                      <w:szCs w:val="18"/>
                    </w:rPr>
                  </w:pPr>
                  <w:r>
                    <w:rPr>
                      <w:rFonts w:hint="eastAsia"/>
                      <w:sz w:val="18"/>
                      <w:szCs w:val="18"/>
                    </w:rPr>
                    <w:t>油类</w:t>
                  </w:r>
                </w:p>
              </w:tc>
              <w:tc>
                <w:tcPr>
                  <w:tcW w:w="316" w:type="pct"/>
                  <w:vAlign w:val="center"/>
                </w:tcPr>
                <w:p>
                  <w:pPr>
                    <w:snapToGrid w:val="0"/>
                    <w:spacing w:line="240" w:lineRule="exact"/>
                    <w:jc w:val="center"/>
                    <w:rPr>
                      <w:sz w:val="18"/>
                      <w:szCs w:val="18"/>
                    </w:rPr>
                  </w:pPr>
                  <w:r>
                    <w:rPr>
                      <w:sz w:val="18"/>
                      <w:szCs w:val="18"/>
                    </w:rPr>
                    <w:t>间歇</w:t>
                  </w:r>
                </w:p>
              </w:tc>
              <w:tc>
                <w:tcPr>
                  <w:tcW w:w="289" w:type="pct"/>
                  <w:vAlign w:val="center"/>
                </w:tcPr>
                <w:p>
                  <w:pPr>
                    <w:pStyle w:val="36"/>
                    <w:spacing w:beforeLines="0" w:afterLines="0" w:line="240" w:lineRule="exact"/>
                    <w:rPr>
                      <w:sz w:val="18"/>
                      <w:szCs w:val="18"/>
                    </w:rPr>
                  </w:pPr>
                  <w:r>
                    <w:rPr>
                      <w:rFonts w:hint="eastAsia" w:ascii="Times New Roman"/>
                      <w:sz w:val="18"/>
                      <w:szCs w:val="18"/>
                    </w:rPr>
                    <w:t>T/In</w:t>
                  </w:r>
                </w:p>
              </w:tc>
              <w:tc>
                <w:tcPr>
                  <w:tcW w:w="596" w:type="pct"/>
                  <w:vMerge w:val="continue"/>
                  <w:vAlign w:val="center"/>
                </w:tcPr>
                <w:p>
                  <w:pPr>
                    <w:snapToGrid w:val="0"/>
                    <w:spacing w:line="240" w:lineRule="exact"/>
                    <w:jc w:val="center"/>
                    <w:rPr>
                      <w:sz w:val="18"/>
                      <w:szCs w:val="18"/>
                    </w:rPr>
                  </w:pPr>
                </w:p>
              </w:tc>
            </w:tr>
          </w:tbl>
          <w:p>
            <w:pPr>
              <w:pStyle w:val="18"/>
              <w:jc w:val="center"/>
              <w:outlineLvl w:val="0"/>
              <w:rPr>
                <w:rFonts w:ascii="Times New Roman" w:hAnsi="Times New Roman" w:eastAsia="黑体"/>
                <w:snapToGrid w:val="0"/>
                <w:sz w:val="30"/>
                <w:szCs w:val="30"/>
              </w:rPr>
            </w:pPr>
          </w:p>
        </w:tc>
      </w:tr>
    </w:tbl>
    <w:p>
      <w:pPr>
        <w:pStyle w:val="18"/>
        <w:spacing w:before="0" w:beforeAutospacing="0" w:after="0" w:afterAutospacing="0"/>
        <w:jc w:val="center"/>
        <w:rPr>
          <w:rFonts w:ascii="Times New Roman" w:hAnsi="Times New Roman" w:eastAsia="黑体"/>
          <w:snapToGrid w:val="0"/>
          <w:sz w:val="30"/>
          <w:szCs w:val="30"/>
        </w:rPr>
      </w:pPr>
    </w:p>
    <w:p>
      <w:pPr>
        <w:pStyle w:val="18"/>
        <w:jc w:val="center"/>
        <w:outlineLvl w:val="0"/>
        <w:rPr>
          <w:rFonts w:ascii="Times New Roman" w:hAnsi="Times New Roman" w:eastAsia="黑体"/>
          <w:snapToGrid w:val="0"/>
          <w:sz w:val="30"/>
          <w:szCs w:val="30"/>
        </w:rPr>
        <w:sectPr>
          <w:pgSz w:w="16838" w:h="11906" w:orient="landscape"/>
          <w:pgMar w:top="1531" w:right="1701" w:bottom="1531" w:left="1701" w:header="851" w:footer="851" w:gutter="0"/>
          <w:cols w:space="720" w:num="1"/>
          <w:docGrid w:linePitch="312" w:charSpace="0"/>
        </w:sectPr>
      </w:pP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adjustRightInd w:val="0"/>
              <w:snapToGrid w:val="0"/>
              <w:jc w:val="center"/>
              <w:rPr>
                <w:bCs/>
                <w:szCs w:val="21"/>
              </w:rPr>
            </w:pPr>
            <w:r>
              <w:rPr>
                <w:bCs/>
                <w:szCs w:val="21"/>
              </w:rPr>
              <w:t>运营</w:t>
            </w:r>
          </w:p>
          <w:p>
            <w:pPr>
              <w:adjustRightInd w:val="0"/>
              <w:snapToGrid w:val="0"/>
              <w:jc w:val="center"/>
              <w:rPr>
                <w:bCs/>
                <w:szCs w:val="21"/>
              </w:rPr>
            </w:pPr>
            <w:r>
              <w:rPr>
                <w:bCs/>
                <w:szCs w:val="21"/>
              </w:rPr>
              <w:t>期环</w:t>
            </w:r>
          </w:p>
          <w:p>
            <w:pPr>
              <w:adjustRightInd w:val="0"/>
              <w:snapToGrid w:val="0"/>
              <w:jc w:val="center"/>
              <w:rPr>
                <w:bCs/>
                <w:szCs w:val="21"/>
              </w:rPr>
            </w:pPr>
            <w:r>
              <w:rPr>
                <w:bCs/>
                <w:szCs w:val="21"/>
              </w:rPr>
              <w:t>境影</w:t>
            </w:r>
          </w:p>
          <w:p>
            <w:pPr>
              <w:adjustRightInd w:val="0"/>
              <w:snapToGrid w:val="0"/>
              <w:jc w:val="center"/>
              <w:rPr>
                <w:bCs/>
                <w:szCs w:val="21"/>
              </w:rPr>
            </w:pPr>
            <w:r>
              <w:rPr>
                <w:bCs/>
                <w:szCs w:val="21"/>
              </w:rPr>
              <w:t>响和</w:t>
            </w:r>
          </w:p>
          <w:p>
            <w:pPr>
              <w:adjustRightInd w:val="0"/>
              <w:snapToGrid w:val="0"/>
              <w:jc w:val="center"/>
              <w:rPr>
                <w:bCs/>
                <w:szCs w:val="21"/>
              </w:rPr>
            </w:pPr>
            <w:r>
              <w:rPr>
                <w:bCs/>
                <w:szCs w:val="21"/>
              </w:rPr>
              <w:t>保护</w:t>
            </w:r>
          </w:p>
          <w:p>
            <w:pPr>
              <w:adjustRightInd w:val="0"/>
              <w:snapToGrid w:val="0"/>
              <w:jc w:val="center"/>
              <w:rPr>
                <w:bCs/>
                <w:szCs w:val="21"/>
              </w:rPr>
            </w:pPr>
            <w:r>
              <w:rPr>
                <w:bCs/>
                <w:szCs w:val="21"/>
              </w:rPr>
              <w:t>措施</w:t>
            </w:r>
          </w:p>
        </w:tc>
        <w:tc>
          <w:tcPr>
            <w:tcW w:w="8162" w:type="dxa"/>
            <w:vAlign w:val="center"/>
          </w:tcPr>
          <w:p>
            <w:pPr>
              <w:adjustRightInd w:val="0"/>
              <w:snapToGrid w:val="0"/>
              <w:spacing w:line="360" w:lineRule="auto"/>
              <w:rPr>
                <w:b/>
                <w:bCs/>
                <w:sz w:val="24"/>
              </w:rPr>
            </w:pPr>
            <w:r>
              <w:rPr>
                <w:rFonts w:hint="eastAsia"/>
                <w:b/>
                <w:bCs/>
                <w:sz w:val="24"/>
              </w:rPr>
              <w:t>固体废物管理要求：</w:t>
            </w:r>
          </w:p>
          <w:p>
            <w:pPr>
              <w:spacing w:line="360" w:lineRule="auto"/>
              <w:ind w:firstLine="464" w:firstLineChars="200"/>
              <w:rPr>
                <w:spacing w:val="-4"/>
                <w:kern w:val="24"/>
                <w:sz w:val="24"/>
              </w:rPr>
            </w:pPr>
            <w:r>
              <w:rPr>
                <w:spacing w:val="-4"/>
                <w:kern w:val="24"/>
                <w:sz w:val="24"/>
              </w:rPr>
              <w:t>建设单位应当采取防扬散、防流失、防渗漏或者其他防止污染环境的措施，不得擅自倾倒、堆放、丢弃、遗撒固体废物。</w:t>
            </w:r>
          </w:p>
          <w:p>
            <w:pPr>
              <w:autoSpaceDE w:val="0"/>
              <w:autoSpaceDN w:val="0"/>
              <w:adjustRightInd w:val="0"/>
              <w:spacing w:line="360" w:lineRule="auto"/>
              <w:ind w:firstLine="482" w:firstLineChars="200"/>
              <w:rPr>
                <w:b/>
                <w:bCs/>
                <w:sz w:val="24"/>
                <w:lang w:val="zh-CN"/>
              </w:rPr>
            </w:pPr>
            <w:r>
              <w:rPr>
                <w:b/>
                <w:bCs/>
                <w:sz w:val="24"/>
                <w:lang w:val="zh-CN"/>
              </w:rPr>
              <w:t>（1）一般工业固废要求</w:t>
            </w:r>
          </w:p>
          <w:p>
            <w:pPr>
              <w:spacing w:line="360" w:lineRule="auto"/>
              <w:ind w:firstLine="464" w:firstLineChars="200"/>
              <w:rPr>
                <w:spacing w:val="-4"/>
                <w:kern w:val="24"/>
                <w:sz w:val="24"/>
              </w:rPr>
            </w:pPr>
            <w:r>
              <w:rPr>
                <w:rFonts w:hint="eastAsia" w:ascii="宋体" w:hAnsi="宋体" w:cs="宋体"/>
                <w:spacing w:val="-4"/>
                <w:kern w:val="24"/>
                <w:sz w:val="24"/>
              </w:rPr>
              <w:t>①</w:t>
            </w:r>
            <w:r>
              <w:rPr>
                <w:spacing w:val="-4"/>
                <w:kern w:val="24"/>
                <w:sz w:val="24"/>
              </w:rPr>
              <w:t>建设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360" w:lineRule="auto"/>
              <w:ind w:firstLine="464" w:firstLineChars="200"/>
              <w:rPr>
                <w:spacing w:val="-4"/>
                <w:kern w:val="24"/>
                <w:sz w:val="24"/>
              </w:rPr>
            </w:pPr>
            <w:r>
              <w:rPr>
                <w:spacing w:val="-4"/>
                <w:kern w:val="24"/>
                <w:sz w:val="24"/>
              </w:rPr>
              <w:t>禁止向生活垃圾收集设施中投放工业固体废物。</w:t>
            </w:r>
          </w:p>
          <w:p>
            <w:pPr>
              <w:spacing w:line="360" w:lineRule="auto"/>
              <w:ind w:firstLine="464" w:firstLineChars="200"/>
              <w:rPr>
                <w:spacing w:val="-4"/>
                <w:kern w:val="24"/>
                <w:sz w:val="24"/>
              </w:rPr>
            </w:pPr>
            <w:r>
              <w:rPr>
                <w:rFonts w:hint="eastAsia" w:ascii="宋体" w:hAnsi="宋体" w:cs="宋体"/>
                <w:spacing w:val="-4"/>
                <w:kern w:val="24"/>
                <w:sz w:val="24"/>
              </w:rPr>
              <w:t>②</w:t>
            </w:r>
            <w:r>
              <w:rPr>
                <w:spacing w:val="-4"/>
                <w:kern w:val="24"/>
                <w:sz w:val="24"/>
              </w:rPr>
              <w:t>建设单位委托他人运输、利用、处置工业固体废物的，应当对受托方的主体资格和技术能力进行核实，依法签订书面合同，在合同中约定污染防治要求。</w:t>
            </w:r>
          </w:p>
          <w:p>
            <w:pPr>
              <w:spacing w:line="360" w:lineRule="auto"/>
              <w:ind w:firstLine="464" w:firstLineChars="200"/>
              <w:rPr>
                <w:spacing w:val="-4"/>
                <w:kern w:val="24"/>
                <w:sz w:val="24"/>
              </w:rPr>
            </w:pPr>
            <w:r>
              <w:rPr>
                <w:rFonts w:hint="eastAsia" w:ascii="宋体" w:hAnsi="宋体" w:cs="宋体"/>
                <w:spacing w:val="-4"/>
                <w:kern w:val="24"/>
                <w:sz w:val="24"/>
              </w:rPr>
              <w:t>③</w:t>
            </w:r>
            <w:r>
              <w:rPr>
                <w:spacing w:val="-4"/>
                <w:kern w:val="24"/>
                <w:sz w:val="24"/>
              </w:rPr>
              <w:t>建设单位应当合理选择和利用原材料、能源和其他资源，采用先进的</w:t>
            </w:r>
            <w:r>
              <w:rPr>
                <w:rFonts w:hint="eastAsia"/>
                <w:spacing w:val="-4"/>
                <w:kern w:val="24"/>
                <w:sz w:val="24"/>
              </w:rPr>
              <w:t>研发</w:t>
            </w:r>
            <w:r>
              <w:rPr>
                <w:spacing w:val="-4"/>
                <w:kern w:val="24"/>
                <w:sz w:val="24"/>
              </w:rPr>
              <w:t>工艺和设备，减少工业固体废物的产生量，降低工业固体废物的危害性。</w:t>
            </w:r>
          </w:p>
          <w:p>
            <w:pPr>
              <w:spacing w:line="360" w:lineRule="auto"/>
              <w:ind w:firstLine="464" w:firstLineChars="200"/>
              <w:rPr>
                <w:spacing w:val="-4"/>
                <w:kern w:val="24"/>
                <w:sz w:val="24"/>
              </w:rPr>
            </w:pPr>
            <w:r>
              <w:rPr>
                <w:rFonts w:hint="eastAsia" w:ascii="宋体" w:hAnsi="宋体" w:cs="宋体"/>
                <w:spacing w:val="-4"/>
                <w:kern w:val="24"/>
                <w:sz w:val="24"/>
              </w:rPr>
              <w:t>④</w:t>
            </w:r>
            <w:r>
              <w:rPr>
                <w:spacing w:val="-4"/>
                <w:kern w:val="24"/>
                <w:sz w:val="24"/>
              </w:rPr>
              <w:t>建设单位应当取得排污许可证。</w:t>
            </w:r>
          </w:p>
          <w:p>
            <w:pPr>
              <w:spacing w:line="360" w:lineRule="auto"/>
              <w:ind w:firstLine="464" w:firstLineChars="200"/>
              <w:rPr>
                <w:spacing w:val="-4"/>
                <w:kern w:val="24"/>
                <w:sz w:val="24"/>
              </w:rPr>
            </w:pPr>
            <w:r>
              <w:rPr>
                <w:spacing w:val="-4"/>
                <w:kern w:val="24"/>
                <w:sz w:val="24"/>
              </w:rPr>
              <w:t>建设单位应当向所在地生态环境主管部门提供工业固体废物的种类、数量、流向、贮存、利用、处置等有关资料，以及减少工业固体废物产生、促进综合利用的具体措施，并执行排污许可管理制度的相关规定。</w:t>
            </w:r>
          </w:p>
          <w:p>
            <w:pPr>
              <w:spacing w:line="360" w:lineRule="auto"/>
              <w:ind w:firstLine="464" w:firstLineChars="200"/>
              <w:rPr>
                <w:spacing w:val="-4"/>
                <w:kern w:val="24"/>
                <w:sz w:val="24"/>
              </w:rPr>
            </w:pPr>
            <w:r>
              <w:rPr>
                <w:rFonts w:hint="eastAsia" w:ascii="宋体" w:hAnsi="宋体" w:cs="宋体"/>
                <w:spacing w:val="-4"/>
                <w:kern w:val="24"/>
                <w:sz w:val="24"/>
              </w:rPr>
              <w:t>⑤</w:t>
            </w:r>
            <w:r>
              <w:rPr>
                <w:spacing w:val="-4"/>
                <w:kern w:val="24"/>
                <w:sz w:val="24"/>
              </w:rPr>
              <w:t>建设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pacing w:line="360" w:lineRule="auto"/>
              <w:ind w:firstLine="464" w:firstLineChars="200"/>
              <w:rPr>
                <w:spacing w:val="-4"/>
                <w:kern w:val="24"/>
                <w:sz w:val="24"/>
              </w:rPr>
            </w:pPr>
            <w:r>
              <w:rPr>
                <w:rFonts w:hint="eastAsia"/>
                <w:spacing w:val="-4"/>
                <w:kern w:val="24"/>
                <w:sz w:val="24"/>
              </w:rPr>
              <w:t>根据《报废机动车拆解企业污染控制技术规范》（HJ348-</w:t>
            </w:r>
            <w:r>
              <w:rPr>
                <w:spacing w:val="-4"/>
                <w:kern w:val="24"/>
                <w:sz w:val="24"/>
              </w:rPr>
              <w:t>2022</w:t>
            </w:r>
            <w:r>
              <w:rPr>
                <w:rFonts w:hint="eastAsia"/>
                <w:spacing w:val="-4"/>
                <w:kern w:val="24"/>
                <w:sz w:val="24"/>
              </w:rPr>
              <w:t>），企业应建立、健全一般工业固体废物污染环境防治责任制度，采取以下措施防止造成环境污染：</w:t>
            </w:r>
          </w:p>
          <w:p>
            <w:pPr>
              <w:spacing w:line="360" w:lineRule="auto"/>
              <w:ind w:firstLine="464" w:firstLineChars="200"/>
              <w:rPr>
                <w:spacing w:val="-4"/>
                <w:kern w:val="24"/>
                <w:sz w:val="24"/>
              </w:rPr>
            </w:pPr>
            <w:r>
              <w:rPr>
                <w:spacing w:val="-4"/>
                <w:kern w:val="24"/>
                <w:sz w:val="24"/>
              </w:rPr>
              <w:t>1</w:t>
            </w:r>
            <w:r>
              <w:rPr>
                <w:rFonts w:hint="eastAsia"/>
                <w:spacing w:val="-4"/>
                <w:kern w:val="24"/>
                <w:sz w:val="24"/>
              </w:rPr>
              <w:t>）建立一般工业固体废物台账记录，应满足一般工业固体废物管理台账制定指南相关要求；</w:t>
            </w:r>
          </w:p>
          <w:p>
            <w:pPr>
              <w:spacing w:line="360" w:lineRule="auto"/>
              <w:ind w:firstLine="464" w:firstLineChars="200"/>
              <w:rPr>
                <w:spacing w:val="-4"/>
                <w:kern w:val="24"/>
                <w:sz w:val="24"/>
              </w:rPr>
            </w:pPr>
            <w:r>
              <w:rPr>
                <w:spacing w:val="-4"/>
                <w:kern w:val="24"/>
                <w:sz w:val="24"/>
              </w:rPr>
              <w:t>2</w:t>
            </w:r>
            <w:r>
              <w:rPr>
                <w:rFonts w:hint="eastAsia"/>
                <w:spacing w:val="-4"/>
                <w:kern w:val="24"/>
                <w:sz w:val="24"/>
              </w:rPr>
              <w:t>）分类收集后贮存应设置标识标签，注明拆解产物的名称、贮存时间、数量等信息；贮存过程应采取防止货物和包装损坏或泄漏。</w:t>
            </w:r>
          </w:p>
          <w:p>
            <w:pPr>
              <w:spacing w:line="360" w:lineRule="auto"/>
              <w:ind w:firstLine="464" w:firstLineChars="200"/>
              <w:rPr>
                <w:spacing w:val="-4"/>
                <w:kern w:val="24"/>
                <w:sz w:val="24"/>
              </w:rPr>
            </w:pPr>
            <w:r>
              <w:rPr>
                <w:rFonts w:hint="eastAsia"/>
                <w:spacing w:val="-4"/>
                <w:kern w:val="24"/>
                <w:sz w:val="24"/>
              </w:rPr>
              <w:t>并且根据该技术规范，动力蓄电池贮存区地面应采用环氧地坪等硬化措施，地面应做防酸、防腐、防渗、硬化及绝缘处理。</w:t>
            </w:r>
          </w:p>
          <w:p>
            <w:pPr>
              <w:spacing w:line="360" w:lineRule="auto"/>
              <w:ind w:firstLine="464" w:firstLineChars="200"/>
              <w:rPr>
                <w:spacing w:val="-4"/>
                <w:kern w:val="24"/>
                <w:sz w:val="24"/>
              </w:rPr>
            </w:pPr>
            <w:r>
              <w:rPr>
                <w:rFonts w:hint="eastAsia"/>
                <w:spacing w:val="-4"/>
                <w:kern w:val="24"/>
                <w:sz w:val="24"/>
              </w:rPr>
              <w:t>拟建项目新建一座一般工业固废暂存间，</w:t>
            </w:r>
            <w:r>
              <w:rPr>
                <w:rFonts w:hint="eastAsia"/>
                <w:sz w:val="24"/>
              </w:rPr>
              <w:t>位于拆解车间内西北侧，建筑面积为</w:t>
            </w:r>
            <w:r>
              <w:rPr>
                <w:sz w:val="24"/>
              </w:rPr>
              <w:t>280</w:t>
            </w:r>
            <w:r>
              <w:rPr>
                <w:rFonts w:hint="eastAsia"/>
                <w:sz w:val="24"/>
              </w:rPr>
              <w:t>m</w:t>
            </w:r>
            <w:r>
              <w:rPr>
                <w:rFonts w:hint="eastAsia"/>
                <w:sz w:val="24"/>
                <w:vertAlign w:val="superscript"/>
              </w:rPr>
              <w:t>2</w:t>
            </w:r>
            <w:r>
              <w:rPr>
                <w:rFonts w:hint="eastAsia"/>
                <w:spacing w:val="-4"/>
                <w:kern w:val="24"/>
                <w:sz w:val="24"/>
              </w:rPr>
              <w:t>。拟建项目新建动力蓄电池贮存区，位于拆解车间内东北侧，建筑面积为</w:t>
            </w:r>
            <w:r>
              <w:rPr>
                <w:sz w:val="24"/>
              </w:rPr>
              <w:t>90</w:t>
            </w:r>
            <w:r>
              <w:rPr>
                <w:rFonts w:hint="eastAsia"/>
                <w:sz w:val="24"/>
              </w:rPr>
              <w:t>m</w:t>
            </w:r>
            <w:r>
              <w:rPr>
                <w:rFonts w:hint="eastAsia"/>
                <w:sz w:val="24"/>
                <w:vertAlign w:val="superscript"/>
              </w:rPr>
              <w:t>2</w:t>
            </w:r>
            <w:r>
              <w:rPr>
                <w:rFonts w:hint="eastAsia"/>
                <w:spacing w:val="-4"/>
                <w:kern w:val="24"/>
                <w:sz w:val="24"/>
              </w:rPr>
              <w:t>。</w:t>
            </w:r>
          </w:p>
          <w:p>
            <w:pPr>
              <w:adjustRightInd w:val="0"/>
              <w:snapToGrid w:val="0"/>
              <w:spacing w:line="360" w:lineRule="auto"/>
              <w:ind w:firstLine="482" w:firstLineChars="200"/>
              <w:rPr>
                <w:b/>
                <w:bCs/>
                <w:sz w:val="24"/>
              </w:rPr>
            </w:pPr>
            <w:r>
              <w:rPr>
                <w:rFonts w:hint="eastAsia"/>
                <w:b/>
                <w:bCs/>
                <w:sz w:val="24"/>
              </w:rPr>
              <w:t>（2）危险废物要求</w:t>
            </w:r>
          </w:p>
          <w:p>
            <w:pPr>
              <w:adjustRightInd w:val="0"/>
              <w:snapToGrid w:val="0"/>
              <w:spacing w:line="360" w:lineRule="auto"/>
              <w:ind w:firstLine="480" w:firstLineChars="200"/>
              <w:rPr>
                <w:bCs/>
                <w:sz w:val="24"/>
              </w:rPr>
            </w:pPr>
            <w:r>
              <w:rPr>
                <w:rFonts w:hint="eastAsia"/>
                <w:bCs/>
                <w:sz w:val="24"/>
              </w:rPr>
              <w:t>①建设单位应当对危险废物的容器和包装物以及收集、贮存危险废物的设施、场所，应当按照规定设置危险废物识别标志。</w:t>
            </w:r>
          </w:p>
          <w:p>
            <w:pPr>
              <w:adjustRightInd w:val="0"/>
              <w:snapToGrid w:val="0"/>
              <w:spacing w:line="360" w:lineRule="auto"/>
              <w:ind w:firstLine="480" w:firstLineChars="200"/>
              <w:rPr>
                <w:bCs/>
                <w:sz w:val="24"/>
              </w:rPr>
            </w:pPr>
            <w:r>
              <w:rPr>
                <w:rFonts w:hint="eastAsia"/>
                <w:bCs/>
                <w:sz w:val="24"/>
              </w:rPr>
              <w:t>②建设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adjustRightInd w:val="0"/>
              <w:snapToGrid w:val="0"/>
              <w:spacing w:line="360" w:lineRule="auto"/>
              <w:ind w:firstLine="480" w:firstLineChars="200"/>
              <w:rPr>
                <w:bCs/>
                <w:sz w:val="24"/>
              </w:rPr>
            </w:pPr>
            <w:r>
              <w:rPr>
                <w:rFonts w:hint="eastAsia"/>
                <w:bCs/>
                <w:sz w:val="24"/>
              </w:rPr>
              <w:t>危险废物管理计划应当包括减少危险废物产生量和降低危险废物危害性的措施以及危险废物贮存、利用、处置措施。危险废物管理计划应当报产生危险废物的单位所在地生态环境主管部门备案。</w:t>
            </w:r>
          </w:p>
          <w:p>
            <w:pPr>
              <w:adjustRightInd w:val="0"/>
              <w:snapToGrid w:val="0"/>
              <w:spacing w:line="360" w:lineRule="auto"/>
              <w:ind w:firstLine="480" w:firstLineChars="200"/>
              <w:rPr>
                <w:bCs/>
                <w:sz w:val="24"/>
              </w:rPr>
            </w:pPr>
            <w:r>
              <w:rPr>
                <w:rFonts w:hint="eastAsia"/>
                <w:bCs/>
                <w:sz w:val="24"/>
              </w:rPr>
              <w:t>③建设单位应当按照国家有关规定和环境保护标准要求贮存、利用、处置危险废物，不得擅自倾倒、堆放。</w:t>
            </w:r>
          </w:p>
          <w:p>
            <w:pPr>
              <w:adjustRightInd w:val="0"/>
              <w:snapToGrid w:val="0"/>
              <w:spacing w:line="360" w:lineRule="auto"/>
              <w:ind w:firstLine="482" w:firstLineChars="200"/>
              <w:rPr>
                <w:b/>
                <w:bCs/>
                <w:sz w:val="24"/>
              </w:rPr>
            </w:pPr>
            <w:r>
              <w:rPr>
                <w:rFonts w:hint="eastAsia"/>
                <w:b/>
                <w:bCs/>
                <w:sz w:val="24"/>
              </w:rPr>
              <w:t>（3）危险废物临时贮存和转移控制措施</w:t>
            </w:r>
          </w:p>
          <w:p>
            <w:pPr>
              <w:adjustRightInd w:val="0"/>
              <w:snapToGrid w:val="0"/>
              <w:spacing w:line="360" w:lineRule="auto"/>
              <w:ind w:firstLine="482" w:firstLineChars="200"/>
              <w:rPr>
                <w:b/>
                <w:bCs/>
                <w:sz w:val="24"/>
              </w:rPr>
            </w:pPr>
            <w:r>
              <w:rPr>
                <w:rFonts w:hint="eastAsia"/>
                <w:b/>
                <w:bCs/>
                <w:sz w:val="24"/>
              </w:rPr>
              <w:t>A.危险废物临时贮存措施</w:t>
            </w:r>
          </w:p>
          <w:p>
            <w:pPr>
              <w:adjustRightInd w:val="0"/>
              <w:snapToGrid w:val="0"/>
              <w:spacing w:line="360" w:lineRule="auto"/>
              <w:ind w:firstLine="480" w:firstLineChars="200"/>
              <w:rPr>
                <w:bCs/>
                <w:sz w:val="24"/>
              </w:rPr>
            </w:pPr>
            <w:r>
              <w:rPr>
                <w:rFonts w:hint="eastAsia"/>
                <w:bCs/>
                <w:sz w:val="24"/>
              </w:rPr>
              <w:t>拟建项目新建危废暂存间，位于厂区内西北侧，建筑面积为</w:t>
            </w:r>
            <w:r>
              <w:rPr>
                <w:bCs/>
                <w:sz w:val="24"/>
              </w:rPr>
              <w:t>140</w:t>
            </w:r>
            <w:r>
              <w:rPr>
                <w:rFonts w:hint="eastAsia"/>
                <w:bCs/>
                <w:sz w:val="24"/>
              </w:rPr>
              <w:t>m</w:t>
            </w:r>
            <w:r>
              <w:rPr>
                <w:rFonts w:hint="eastAsia"/>
                <w:bCs/>
                <w:sz w:val="24"/>
                <w:vertAlign w:val="superscript"/>
              </w:rPr>
              <w:t>2</w:t>
            </w:r>
            <w:r>
              <w:rPr>
                <w:rFonts w:hint="eastAsia"/>
                <w:bCs/>
                <w:sz w:val="24"/>
              </w:rPr>
              <w:t>。</w:t>
            </w:r>
          </w:p>
          <w:p>
            <w:pPr>
              <w:adjustRightInd w:val="0"/>
              <w:snapToGrid w:val="0"/>
              <w:spacing w:line="360" w:lineRule="auto"/>
              <w:ind w:firstLine="480" w:firstLineChars="200"/>
              <w:rPr>
                <w:bCs/>
                <w:sz w:val="24"/>
              </w:rPr>
            </w:pPr>
            <w:r>
              <w:rPr>
                <w:rFonts w:hint="eastAsia"/>
                <w:bCs/>
                <w:sz w:val="24"/>
              </w:rPr>
              <w:t>根据《建设项目危险废物环境影响评价指南》，评价提出以下要求：</w:t>
            </w:r>
          </w:p>
          <w:p>
            <w:pPr>
              <w:adjustRightInd w:val="0"/>
              <w:snapToGrid w:val="0"/>
              <w:spacing w:line="360" w:lineRule="auto"/>
              <w:ind w:firstLine="480" w:firstLineChars="200"/>
              <w:rPr>
                <w:bCs/>
                <w:sz w:val="24"/>
              </w:rPr>
            </w:pPr>
            <w:r>
              <w:rPr>
                <w:rFonts w:hint="eastAsia"/>
                <w:bCs/>
                <w:sz w:val="24"/>
              </w:rPr>
              <w:t>①危险废物暂存间按《危险废物贮存污染控制标准》（GB18597-2001）及修改单中相关要求进行设计、运行和管理，做到“四防”（防风、防雨、防晒、防渗漏），地面和墙体（不低于1.2m）应采取防腐、防渗措施，设置收集设施。</w:t>
            </w:r>
          </w:p>
          <w:p>
            <w:pPr>
              <w:adjustRightInd w:val="0"/>
              <w:snapToGrid w:val="0"/>
              <w:spacing w:line="360" w:lineRule="auto"/>
              <w:ind w:firstLine="480" w:firstLineChars="200"/>
              <w:rPr>
                <w:bCs/>
                <w:sz w:val="24"/>
              </w:rPr>
            </w:pPr>
            <w:r>
              <w:rPr>
                <w:rFonts w:hint="eastAsia"/>
                <w:bCs/>
                <w:sz w:val="24"/>
              </w:rPr>
              <w:t>②危险废物贮存设施必须按《环境保护图形标志-固体废物贮存（处置）场》（GB15562.2-1995）的规定已设置警示标志。</w:t>
            </w:r>
          </w:p>
          <w:p>
            <w:pPr>
              <w:adjustRightInd w:val="0"/>
              <w:snapToGrid w:val="0"/>
              <w:spacing w:line="360" w:lineRule="auto"/>
              <w:ind w:firstLine="480" w:firstLineChars="200"/>
              <w:rPr>
                <w:bCs/>
                <w:sz w:val="24"/>
              </w:rPr>
            </w:pPr>
            <w:r>
              <w:rPr>
                <w:rFonts w:hint="eastAsia"/>
                <w:bCs/>
                <w:sz w:val="24"/>
              </w:rPr>
              <w:t>③按危险废物类别采用符合标准的专用容器贮存，加上标签，由专人负责管理。</w:t>
            </w:r>
          </w:p>
          <w:p>
            <w:pPr>
              <w:adjustRightInd w:val="0"/>
              <w:snapToGrid w:val="0"/>
              <w:spacing w:line="360" w:lineRule="auto"/>
              <w:ind w:firstLine="480" w:firstLineChars="200"/>
              <w:rPr>
                <w:bCs/>
                <w:sz w:val="24"/>
              </w:rPr>
            </w:pPr>
            <w:r>
              <w:rPr>
                <w:rFonts w:hint="eastAsia"/>
                <w:bCs/>
                <w:sz w:val="24"/>
              </w:rPr>
              <w:t>④危险废物贮存前应进行检查、核对，登记注册，按规定的标签填写危险废物。</w:t>
            </w:r>
          </w:p>
          <w:p>
            <w:pPr>
              <w:adjustRightInd w:val="0"/>
              <w:snapToGrid w:val="0"/>
              <w:spacing w:line="360" w:lineRule="auto"/>
              <w:ind w:firstLine="480" w:firstLineChars="200"/>
              <w:rPr>
                <w:bCs/>
                <w:sz w:val="24"/>
              </w:rPr>
            </w:pPr>
            <w:r>
              <w:rPr>
                <w:rFonts w:hint="eastAsia"/>
                <w:bCs/>
                <w:sz w:val="24"/>
              </w:rPr>
              <w:t>⑤作好危险废物情况的记录，记录上须注明危险废物的名称、来源、数量、特性和包装容器的类别、入库日期、存放库位、废物出库日期及接收单位名称。</w:t>
            </w:r>
          </w:p>
          <w:p>
            <w:pPr>
              <w:adjustRightInd w:val="0"/>
              <w:snapToGrid w:val="0"/>
              <w:spacing w:line="360" w:lineRule="auto"/>
              <w:ind w:firstLine="480" w:firstLineChars="200"/>
              <w:rPr>
                <w:bCs/>
                <w:sz w:val="24"/>
              </w:rPr>
            </w:pPr>
            <w:r>
              <w:rPr>
                <w:rFonts w:hint="eastAsia"/>
                <w:bCs/>
                <w:sz w:val="24"/>
              </w:rPr>
              <w:t>⑥必须定期对所贮存的危险废物包装容器及贮存设施进行检查，发现破损，应及时采取措施清理更换。</w:t>
            </w:r>
          </w:p>
          <w:p>
            <w:pPr>
              <w:adjustRightInd w:val="0"/>
              <w:snapToGrid w:val="0"/>
              <w:spacing w:line="360" w:lineRule="auto"/>
              <w:ind w:firstLine="480" w:firstLineChars="200"/>
              <w:rPr>
                <w:bCs/>
                <w:sz w:val="24"/>
              </w:rPr>
            </w:pPr>
            <w:r>
              <w:rPr>
                <w:rFonts w:hint="eastAsia"/>
                <w:bCs/>
                <w:sz w:val="24"/>
              </w:rPr>
              <w:t>⑦应配备通讯设备、照明设施、安全防护服装及工具，并设应急防护设施。</w:t>
            </w:r>
          </w:p>
          <w:p>
            <w:pPr>
              <w:adjustRightInd w:val="0"/>
              <w:snapToGrid w:val="0"/>
              <w:spacing w:line="360" w:lineRule="auto"/>
              <w:ind w:firstLine="480" w:firstLineChars="200"/>
              <w:rPr>
                <w:bCs/>
                <w:sz w:val="24"/>
              </w:rPr>
            </w:pPr>
            <w:r>
              <w:rPr>
                <w:rFonts w:hint="eastAsia"/>
                <w:bCs/>
                <w:sz w:val="24"/>
              </w:rPr>
              <w:t>⑧对同一贮存场所（设施）贮存多种危险废物的，根据危废的种类、性质分区布置，分别放置固态危险废物和液态危险废物，要求分区间采取隔挡措施，防止两种废物混杂，液态废物应采用桶装等密闭包装方式，避免产生臭味，贮存容器必须符合《危险废物贮存污染控制标准》（GB18597）中相关要求。</w:t>
            </w:r>
          </w:p>
          <w:p>
            <w:pPr>
              <w:spacing w:line="360" w:lineRule="auto"/>
              <w:ind w:firstLine="464" w:firstLineChars="200"/>
              <w:rPr>
                <w:spacing w:val="-4"/>
                <w:kern w:val="24"/>
                <w:sz w:val="24"/>
              </w:rPr>
            </w:pPr>
            <w:r>
              <w:rPr>
                <w:rFonts w:hint="eastAsia"/>
                <w:spacing w:val="-4"/>
                <w:kern w:val="24"/>
                <w:sz w:val="24"/>
              </w:rPr>
              <w:t>根据《报废机动车拆解企业污染控制技术规范》（HJ348-</w:t>
            </w:r>
            <w:r>
              <w:rPr>
                <w:spacing w:val="-4"/>
                <w:kern w:val="24"/>
                <w:sz w:val="24"/>
              </w:rPr>
              <w:t>2022</w:t>
            </w:r>
            <w:r>
              <w:rPr>
                <w:rFonts w:hint="eastAsia"/>
                <w:spacing w:val="-4"/>
                <w:kern w:val="24"/>
                <w:sz w:val="24"/>
              </w:rPr>
              <w:t>），报废机动车回收拆解企业厂区内危废暂存间的设计和建设应满足以下要求：：</w:t>
            </w:r>
          </w:p>
          <w:p>
            <w:pPr>
              <w:adjustRightInd w:val="0"/>
              <w:snapToGrid w:val="0"/>
              <w:spacing w:line="360" w:lineRule="auto"/>
              <w:ind w:firstLine="480" w:firstLineChars="200"/>
              <w:rPr>
                <w:bCs/>
                <w:sz w:val="24"/>
              </w:rPr>
            </w:pPr>
            <w:r>
              <w:rPr>
                <w:rFonts w:hint="eastAsia"/>
                <w:bCs/>
                <w:sz w:val="24"/>
              </w:rPr>
              <w:t>1）危险废物贮存区应设置液体导流和收集装置，地面应无液体积聚，如有冲洗废水应纳入废水收集处理设施处理；</w:t>
            </w:r>
          </w:p>
          <w:p>
            <w:pPr>
              <w:adjustRightInd w:val="0"/>
              <w:snapToGrid w:val="0"/>
              <w:spacing w:line="360" w:lineRule="auto"/>
              <w:ind w:firstLine="480" w:firstLineChars="200"/>
              <w:rPr>
                <w:bCs/>
                <w:sz w:val="24"/>
              </w:rPr>
            </w:pPr>
            <w:r>
              <w:rPr>
                <w:bCs/>
                <w:sz w:val="24"/>
              </w:rPr>
              <w:t>2</w:t>
            </w:r>
            <w:r>
              <w:rPr>
                <w:rFonts w:hint="eastAsia"/>
                <w:bCs/>
                <w:sz w:val="24"/>
              </w:rPr>
              <w:t>）不同种类的危险废物应单独收集、分类存放，中间有明显间隔；贮存场所应设置警示标识，同时还应满足GB 18597 中其他相关要求；</w:t>
            </w:r>
          </w:p>
          <w:p>
            <w:pPr>
              <w:adjustRightInd w:val="0"/>
              <w:snapToGrid w:val="0"/>
              <w:spacing w:line="360" w:lineRule="auto"/>
              <w:ind w:firstLine="480" w:firstLineChars="200"/>
              <w:rPr>
                <w:bCs/>
                <w:sz w:val="24"/>
              </w:rPr>
            </w:pPr>
            <w:r>
              <w:rPr>
                <w:bCs/>
                <w:sz w:val="24"/>
              </w:rPr>
              <w:t>3</w:t>
            </w:r>
            <w:r>
              <w:rPr>
                <w:rFonts w:hint="eastAsia"/>
                <w:bCs/>
                <w:sz w:val="24"/>
              </w:rPr>
              <w:t>）铅蓄电池的拆卸、贮存区的地面应做防酸、防腐、防渗及硬化处理，同时还应满足HJ 519 中其他相关要求；</w:t>
            </w:r>
          </w:p>
          <w:p>
            <w:pPr>
              <w:spacing w:line="360" w:lineRule="auto"/>
              <w:ind w:firstLine="480" w:firstLineChars="200"/>
              <w:rPr>
                <w:sz w:val="24"/>
              </w:rPr>
            </w:pPr>
            <w:r>
              <w:rPr>
                <w:sz w:val="24"/>
              </w:rPr>
              <w:t>拟建项目危险废物贮存场所基本情况详见下表</w:t>
            </w:r>
            <w:r>
              <w:rPr>
                <w:rFonts w:hint="eastAsia"/>
                <w:sz w:val="24"/>
              </w:rPr>
              <w:t>4.2.4-2</w:t>
            </w:r>
            <w:r>
              <w:rPr>
                <w:sz w:val="24"/>
              </w:rPr>
              <w:t>。</w:t>
            </w:r>
          </w:p>
          <w:p>
            <w:pPr>
              <w:spacing w:line="360" w:lineRule="auto"/>
              <w:jc w:val="center"/>
              <w:rPr>
                <w:sz w:val="18"/>
                <w:szCs w:val="18"/>
              </w:rPr>
            </w:pPr>
            <w:r>
              <w:rPr>
                <w:sz w:val="18"/>
                <w:szCs w:val="18"/>
              </w:rPr>
              <w:t>表</w:t>
            </w:r>
            <w:r>
              <w:rPr>
                <w:rFonts w:hint="eastAsia"/>
                <w:sz w:val="18"/>
                <w:szCs w:val="18"/>
              </w:rPr>
              <w:t xml:space="preserve">4.2.4-3  </w:t>
            </w:r>
            <w:r>
              <w:rPr>
                <w:sz w:val="18"/>
                <w:szCs w:val="18"/>
              </w:rPr>
              <w:t>危废暂存间基本情况一览表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52"/>
              <w:gridCol w:w="1311"/>
              <w:gridCol w:w="708"/>
              <w:gridCol w:w="1127"/>
              <w:gridCol w:w="711"/>
              <w:gridCol w:w="711"/>
              <w:gridCol w:w="396"/>
              <w:gridCol w:w="687"/>
              <w:gridCol w:w="475"/>
              <w:gridCol w:w="481"/>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序号</w:t>
                  </w:r>
                </w:p>
              </w:tc>
              <w:tc>
                <w:tcPr>
                  <w:tcW w:w="285"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贮存设施名称</w:t>
                  </w:r>
                </w:p>
              </w:tc>
              <w:tc>
                <w:tcPr>
                  <w:tcW w:w="826"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危险废物名称</w:t>
                  </w:r>
                </w:p>
              </w:tc>
              <w:tc>
                <w:tcPr>
                  <w:tcW w:w="446"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危险废物类别</w:t>
                  </w:r>
                </w:p>
              </w:tc>
              <w:tc>
                <w:tcPr>
                  <w:tcW w:w="710"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危险废物代码</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产生量（t）</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最大储存量（t）</w:t>
                  </w:r>
                </w:p>
              </w:tc>
              <w:tc>
                <w:tcPr>
                  <w:tcW w:w="249"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位置</w:t>
                  </w:r>
                </w:p>
              </w:tc>
              <w:tc>
                <w:tcPr>
                  <w:tcW w:w="433"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建筑面积</w:t>
                  </w:r>
                </w:p>
              </w:tc>
              <w:tc>
                <w:tcPr>
                  <w:tcW w:w="299"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贮存方式</w:t>
                  </w:r>
                </w:p>
              </w:tc>
              <w:tc>
                <w:tcPr>
                  <w:tcW w:w="303"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贮存能力</w:t>
                  </w:r>
                </w:p>
              </w:tc>
              <w:tc>
                <w:tcPr>
                  <w:tcW w:w="303" w:type="pc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贮存周期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1</w:t>
                  </w:r>
                </w:p>
              </w:tc>
              <w:tc>
                <w:tcPr>
                  <w:tcW w:w="285"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危废</w:t>
                  </w:r>
                </w:p>
                <w:p>
                  <w:pPr>
                    <w:pStyle w:val="36"/>
                    <w:spacing w:beforeLines="0" w:afterLines="0" w:line="240" w:lineRule="exact"/>
                    <w:rPr>
                      <w:rFonts w:ascii="Times New Roman"/>
                      <w:sz w:val="18"/>
                      <w:szCs w:val="18"/>
                    </w:rPr>
                  </w:pPr>
                  <w:r>
                    <w:rPr>
                      <w:rFonts w:ascii="Times New Roman"/>
                      <w:sz w:val="18"/>
                      <w:szCs w:val="18"/>
                    </w:rPr>
                    <w:t>暂存间</w:t>
                  </w:r>
                </w:p>
              </w:tc>
              <w:tc>
                <w:tcPr>
                  <w:tcW w:w="826" w:type="pct"/>
                  <w:shd w:val="clear" w:color="auto" w:fill="auto"/>
                  <w:vAlign w:val="center"/>
                </w:tcPr>
                <w:p>
                  <w:pPr>
                    <w:widowControl/>
                    <w:snapToGrid w:val="0"/>
                    <w:spacing w:line="240" w:lineRule="exact"/>
                    <w:jc w:val="center"/>
                    <w:rPr>
                      <w:sz w:val="18"/>
                      <w:szCs w:val="18"/>
                    </w:rPr>
                  </w:pPr>
                  <w:r>
                    <w:rPr>
                      <w:bCs/>
                      <w:sz w:val="18"/>
                      <w:szCs w:val="18"/>
                    </w:rPr>
                    <w:t>废铅蓄电池</w:t>
                  </w:r>
                </w:p>
              </w:tc>
              <w:tc>
                <w:tcPr>
                  <w:tcW w:w="446" w:type="pct"/>
                  <w:shd w:val="clear" w:color="auto" w:fill="auto"/>
                  <w:vAlign w:val="center"/>
                </w:tcPr>
                <w:p>
                  <w:pPr>
                    <w:widowControl/>
                    <w:snapToGrid w:val="0"/>
                    <w:spacing w:line="240" w:lineRule="exact"/>
                    <w:jc w:val="center"/>
                    <w:rPr>
                      <w:sz w:val="18"/>
                      <w:szCs w:val="18"/>
                    </w:rPr>
                  </w:pPr>
                  <w:r>
                    <w:rPr>
                      <w:bCs/>
                      <w:sz w:val="18"/>
                      <w:szCs w:val="18"/>
                    </w:rPr>
                    <w:t>HW31</w:t>
                  </w:r>
                </w:p>
              </w:tc>
              <w:tc>
                <w:tcPr>
                  <w:tcW w:w="710" w:type="pct"/>
                  <w:shd w:val="clear" w:color="auto" w:fill="auto"/>
                  <w:vAlign w:val="center"/>
                </w:tcPr>
                <w:p>
                  <w:pPr>
                    <w:snapToGrid w:val="0"/>
                    <w:spacing w:line="240" w:lineRule="exact"/>
                    <w:jc w:val="center"/>
                    <w:rPr>
                      <w:sz w:val="18"/>
                      <w:szCs w:val="18"/>
                    </w:rPr>
                  </w:pPr>
                  <w:r>
                    <w:rPr>
                      <w:bCs/>
                      <w:sz w:val="18"/>
                      <w:szCs w:val="18"/>
                    </w:rPr>
                    <w:t>900-052-31</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1215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96.23</w:t>
                  </w:r>
                </w:p>
              </w:tc>
              <w:tc>
                <w:tcPr>
                  <w:tcW w:w="249"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厂区内西北侧</w:t>
                  </w:r>
                </w:p>
              </w:tc>
              <w:tc>
                <w:tcPr>
                  <w:tcW w:w="433"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140m</w:t>
                  </w:r>
                  <w:r>
                    <w:rPr>
                      <w:rFonts w:ascii="Times New Roman"/>
                      <w:sz w:val="18"/>
                      <w:szCs w:val="18"/>
                      <w:vertAlign w:val="superscript"/>
                    </w:rPr>
                    <w:t>2</w:t>
                  </w:r>
                </w:p>
              </w:tc>
              <w:tc>
                <w:tcPr>
                  <w:tcW w:w="299"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专用桶或袋密封贮存</w:t>
                  </w:r>
                </w:p>
              </w:tc>
              <w:tc>
                <w:tcPr>
                  <w:tcW w:w="303"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28t</w:t>
                  </w:r>
                </w:p>
              </w:tc>
              <w:tc>
                <w:tcPr>
                  <w:tcW w:w="303" w:type="pct"/>
                  <w:vMerge w:val="restart"/>
                  <w:shd w:val="clear" w:color="auto" w:fill="auto"/>
                  <w:vAlign w:val="center"/>
                </w:tcPr>
                <w:p>
                  <w:pPr>
                    <w:pStyle w:val="36"/>
                    <w:spacing w:beforeLines="0" w:afterLines="0" w:line="240" w:lineRule="exact"/>
                    <w:rPr>
                      <w:rFonts w:ascii="Times New Roman"/>
                      <w:sz w:val="18"/>
                      <w:szCs w:val="18"/>
                    </w:rPr>
                  </w:pPr>
                  <w:r>
                    <w:rPr>
                      <w:rFonts w:ascii="Times New Roman"/>
                      <w:sz w:val="18"/>
                      <w:szCs w:val="18"/>
                    </w:rPr>
                    <w:t>27天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widowControl/>
                    <w:snapToGrid w:val="0"/>
                    <w:spacing w:line="240" w:lineRule="exact"/>
                    <w:jc w:val="center"/>
                    <w:rPr>
                      <w:sz w:val="18"/>
                      <w:szCs w:val="18"/>
                    </w:rPr>
                  </w:pPr>
                  <w:r>
                    <w:rPr>
                      <w:bCs/>
                      <w:sz w:val="18"/>
                      <w:szCs w:val="18"/>
                    </w:rPr>
                    <w:t>含多氯联苯的废电容器</w:t>
                  </w:r>
                </w:p>
              </w:tc>
              <w:tc>
                <w:tcPr>
                  <w:tcW w:w="446" w:type="pct"/>
                  <w:shd w:val="clear" w:color="auto" w:fill="auto"/>
                  <w:vAlign w:val="center"/>
                </w:tcPr>
                <w:p>
                  <w:pPr>
                    <w:widowControl/>
                    <w:snapToGrid w:val="0"/>
                    <w:spacing w:line="240" w:lineRule="exact"/>
                    <w:jc w:val="center"/>
                    <w:rPr>
                      <w:sz w:val="18"/>
                      <w:szCs w:val="18"/>
                    </w:rPr>
                  </w:pPr>
                  <w:r>
                    <w:rPr>
                      <w:sz w:val="18"/>
                      <w:szCs w:val="18"/>
                    </w:rPr>
                    <w:t>HW10</w:t>
                  </w:r>
                </w:p>
              </w:tc>
              <w:tc>
                <w:tcPr>
                  <w:tcW w:w="710" w:type="pct"/>
                  <w:shd w:val="clear" w:color="auto" w:fill="auto"/>
                  <w:vAlign w:val="center"/>
                </w:tcPr>
                <w:p>
                  <w:pPr>
                    <w:snapToGrid w:val="0"/>
                    <w:spacing w:line="240" w:lineRule="exact"/>
                    <w:jc w:val="center"/>
                    <w:rPr>
                      <w:sz w:val="18"/>
                      <w:szCs w:val="18"/>
                    </w:rPr>
                  </w:pPr>
                  <w:r>
                    <w:rPr>
                      <w:sz w:val="18"/>
                      <w:szCs w:val="18"/>
                    </w:rPr>
                    <w:t>900-008-10</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147</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11.64</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sz w:val="18"/>
                      <w:szCs w:val="18"/>
                    </w:rPr>
                  </w:pPr>
                  <w:r>
                    <w:rPr>
                      <w:bCs/>
                      <w:sz w:val="18"/>
                      <w:szCs w:val="18"/>
                    </w:rPr>
                    <w:t>废尾气催化剂</w:t>
                  </w:r>
                </w:p>
              </w:tc>
              <w:tc>
                <w:tcPr>
                  <w:tcW w:w="446" w:type="pct"/>
                  <w:shd w:val="clear" w:color="auto" w:fill="auto"/>
                  <w:vAlign w:val="center"/>
                </w:tcPr>
                <w:p>
                  <w:pPr>
                    <w:widowControl/>
                    <w:snapToGrid w:val="0"/>
                    <w:spacing w:line="240" w:lineRule="exact"/>
                    <w:jc w:val="center"/>
                    <w:rPr>
                      <w:sz w:val="18"/>
                      <w:szCs w:val="18"/>
                    </w:rPr>
                  </w:pPr>
                  <w:r>
                    <w:rPr>
                      <w:sz w:val="18"/>
                      <w:szCs w:val="18"/>
                    </w:rPr>
                    <w:t>HW50</w:t>
                  </w:r>
                </w:p>
              </w:tc>
              <w:tc>
                <w:tcPr>
                  <w:tcW w:w="710" w:type="pct"/>
                  <w:shd w:val="clear" w:color="auto" w:fill="auto"/>
                  <w:vAlign w:val="center"/>
                </w:tcPr>
                <w:p>
                  <w:pPr>
                    <w:snapToGrid w:val="0"/>
                    <w:spacing w:line="240" w:lineRule="exact"/>
                    <w:jc w:val="center"/>
                    <w:rPr>
                      <w:sz w:val="18"/>
                      <w:szCs w:val="18"/>
                    </w:rPr>
                  </w:pPr>
                  <w:r>
                    <w:rPr>
                      <w:sz w:val="18"/>
                      <w:szCs w:val="18"/>
                    </w:rPr>
                    <w:t>900-049-50</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79.49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6.3</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sz w:val="18"/>
                      <w:szCs w:val="18"/>
                    </w:rPr>
                  </w:pPr>
                  <w:r>
                    <w:rPr>
                      <w:bCs/>
                      <w:sz w:val="18"/>
                      <w:szCs w:val="18"/>
                    </w:rPr>
                    <w:t>废矿物油与含矿物油废物</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HW08</w:t>
                  </w:r>
                </w:p>
              </w:tc>
              <w:tc>
                <w:tcPr>
                  <w:tcW w:w="710" w:type="pct"/>
                  <w:shd w:val="clear" w:color="auto" w:fill="auto"/>
                  <w:vAlign w:val="center"/>
                </w:tcPr>
                <w:p>
                  <w:pPr>
                    <w:snapToGrid w:val="0"/>
                    <w:spacing w:line="240" w:lineRule="exact"/>
                    <w:jc w:val="center"/>
                    <w:rPr>
                      <w:bCs/>
                      <w:sz w:val="18"/>
                      <w:szCs w:val="18"/>
                    </w:rPr>
                  </w:pPr>
                  <w:r>
                    <w:rPr>
                      <w:bCs/>
                      <w:sz w:val="18"/>
                      <w:szCs w:val="18"/>
                    </w:rPr>
                    <w:t>900-199-08</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606.15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48.01</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sz w:val="18"/>
                      <w:szCs w:val="18"/>
                    </w:rPr>
                  </w:pPr>
                  <w:r>
                    <w:rPr>
                      <w:bCs/>
                      <w:sz w:val="18"/>
                      <w:szCs w:val="18"/>
                    </w:rPr>
                    <w:t>废电路板及其元件</w:t>
                  </w:r>
                </w:p>
              </w:tc>
              <w:tc>
                <w:tcPr>
                  <w:tcW w:w="446" w:type="pct"/>
                  <w:shd w:val="clear" w:color="auto" w:fill="auto"/>
                  <w:vAlign w:val="center"/>
                </w:tcPr>
                <w:p>
                  <w:pPr>
                    <w:widowControl/>
                    <w:snapToGrid w:val="0"/>
                    <w:spacing w:line="240" w:lineRule="exact"/>
                    <w:jc w:val="center"/>
                    <w:rPr>
                      <w:sz w:val="18"/>
                      <w:szCs w:val="18"/>
                    </w:rPr>
                  </w:pPr>
                  <w:r>
                    <w:rPr>
                      <w:bCs/>
                      <w:sz w:val="18"/>
                      <w:szCs w:val="18"/>
                    </w:rPr>
                    <w:t>HW49</w:t>
                  </w:r>
                </w:p>
              </w:tc>
              <w:tc>
                <w:tcPr>
                  <w:tcW w:w="710" w:type="pct"/>
                  <w:shd w:val="clear" w:color="auto" w:fill="auto"/>
                  <w:vAlign w:val="center"/>
                </w:tcPr>
                <w:p>
                  <w:pPr>
                    <w:snapToGrid w:val="0"/>
                    <w:spacing w:line="240" w:lineRule="exact"/>
                    <w:jc w:val="center"/>
                    <w:rPr>
                      <w:sz w:val="18"/>
                      <w:szCs w:val="18"/>
                    </w:rPr>
                  </w:pPr>
                  <w:r>
                    <w:rPr>
                      <w:bCs/>
                      <w:sz w:val="18"/>
                      <w:szCs w:val="18"/>
                    </w:rPr>
                    <w:t>900-045-49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840</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66.53</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废机油滤清器</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HW49</w:t>
                  </w:r>
                </w:p>
              </w:tc>
              <w:tc>
                <w:tcPr>
                  <w:tcW w:w="710" w:type="pct"/>
                  <w:shd w:val="clear" w:color="auto" w:fill="auto"/>
                  <w:vAlign w:val="center"/>
                </w:tcPr>
                <w:p>
                  <w:pPr>
                    <w:snapToGrid w:val="0"/>
                    <w:spacing w:line="240" w:lineRule="exact"/>
                    <w:jc w:val="center"/>
                    <w:rPr>
                      <w:bCs/>
                      <w:sz w:val="18"/>
                      <w:szCs w:val="18"/>
                    </w:rPr>
                  </w:pPr>
                  <w:r>
                    <w:rPr>
                      <w:sz w:val="18"/>
                      <w:szCs w:val="18"/>
                    </w:rPr>
                    <w:t>900-041-49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9.15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0.72</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废油箱</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HW49</w:t>
                  </w:r>
                </w:p>
              </w:tc>
              <w:tc>
                <w:tcPr>
                  <w:tcW w:w="710" w:type="pct"/>
                  <w:shd w:val="clear" w:color="auto" w:fill="auto"/>
                  <w:vAlign w:val="center"/>
                </w:tcPr>
                <w:p>
                  <w:pPr>
                    <w:snapToGrid w:val="0"/>
                    <w:spacing w:line="240" w:lineRule="exact"/>
                    <w:jc w:val="center"/>
                    <w:rPr>
                      <w:sz w:val="18"/>
                      <w:szCs w:val="18"/>
                    </w:rPr>
                  </w:pPr>
                  <w:r>
                    <w:rPr>
                      <w:sz w:val="18"/>
                      <w:szCs w:val="18"/>
                    </w:rPr>
                    <w:t>900-041-49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625.5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49.866</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石棉废物</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HW36</w:t>
                  </w:r>
                </w:p>
              </w:tc>
              <w:tc>
                <w:tcPr>
                  <w:tcW w:w="710" w:type="pct"/>
                  <w:shd w:val="clear" w:color="auto" w:fill="auto"/>
                  <w:vAlign w:val="center"/>
                </w:tcPr>
                <w:p>
                  <w:pPr>
                    <w:snapToGrid w:val="0"/>
                    <w:spacing w:line="240" w:lineRule="exact"/>
                    <w:jc w:val="center"/>
                    <w:rPr>
                      <w:sz w:val="18"/>
                      <w:szCs w:val="18"/>
                    </w:rPr>
                  </w:pPr>
                  <w:r>
                    <w:rPr>
                      <w:bCs/>
                      <w:sz w:val="18"/>
                      <w:szCs w:val="18"/>
                    </w:rPr>
                    <w:t>900-032-36</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1.5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0.12</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含汞废物</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HW29</w:t>
                  </w:r>
                </w:p>
              </w:tc>
              <w:tc>
                <w:tcPr>
                  <w:tcW w:w="710" w:type="pct"/>
                  <w:shd w:val="clear" w:color="auto" w:fill="auto"/>
                  <w:vAlign w:val="center"/>
                </w:tcPr>
                <w:p>
                  <w:pPr>
                    <w:snapToGrid w:val="0"/>
                    <w:spacing w:line="240" w:lineRule="exact"/>
                    <w:jc w:val="center"/>
                    <w:rPr>
                      <w:bCs/>
                      <w:sz w:val="18"/>
                      <w:szCs w:val="18"/>
                    </w:rPr>
                  </w:pPr>
                  <w:r>
                    <w:rPr>
                      <w:bCs/>
                      <w:sz w:val="18"/>
                      <w:szCs w:val="18"/>
                    </w:rPr>
                    <w:t>900-023-29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1.5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0.12</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污水处理站污泥</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HW08</w:t>
                  </w:r>
                </w:p>
              </w:tc>
              <w:tc>
                <w:tcPr>
                  <w:tcW w:w="710" w:type="pct"/>
                  <w:shd w:val="clear" w:color="auto" w:fill="auto"/>
                  <w:vAlign w:val="center"/>
                </w:tcPr>
                <w:p>
                  <w:pPr>
                    <w:snapToGrid w:val="0"/>
                    <w:spacing w:line="240" w:lineRule="exact"/>
                    <w:jc w:val="center"/>
                    <w:rPr>
                      <w:bCs/>
                      <w:sz w:val="18"/>
                      <w:szCs w:val="18"/>
                    </w:rPr>
                  </w:pPr>
                  <w:r>
                    <w:rPr>
                      <w:bCs/>
                      <w:sz w:val="18"/>
                      <w:szCs w:val="18"/>
                    </w:rPr>
                    <w:t>900-210-08</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0.4</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废含油抹布及劳保用品</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HW49</w:t>
                  </w:r>
                </w:p>
              </w:tc>
              <w:tc>
                <w:tcPr>
                  <w:tcW w:w="710" w:type="pct"/>
                  <w:shd w:val="clear" w:color="auto" w:fill="auto"/>
                  <w:vAlign w:val="center"/>
                </w:tcPr>
                <w:p>
                  <w:pPr>
                    <w:snapToGrid w:val="0"/>
                    <w:spacing w:line="240" w:lineRule="exact"/>
                    <w:jc w:val="center"/>
                    <w:rPr>
                      <w:bCs/>
                      <w:sz w:val="18"/>
                      <w:szCs w:val="18"/>
                    </w:rPr>
                  </w:pPr>
                  <w:r>
                    <w:rPr>
                      <w:sz w:val="18"/>
                      <w:szCs w:val="18"/>
                    </w:rPr>
                    <w:t>900-041-49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0.04</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废活性炭</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HW49</w:t>
                  </w:r>
                </w:p>
              </w:tc>
              <w:tc>
                <w:tcPr>
                  <w:tcW w:w="710" w:type="pct"/>
                  <w:shd w:val="clear" w:color="auto" w:fill="auto"/>
                  <w:vAlign w:val="center"/>
                </w:tcPr>
                <w:p>
                  <w:pPr>
                    <w:snapToGrid w:val="0"/>
                    <w:spacing w:line="240" w:lineRule="exact"/>
                    <w:jc w:val="center"/>
                    <w:rPr>
                      <w:sz w:val="18"/>
                      <w:szCs w:val="18"/>
                    </w:rPr>
                  </w:pPr>
                  <w:r>
                    <w:rPr>
                      <w:bCs/>
                      <w:sz w:val="18"/>
                      <w:szCs w:val="18"/>
                    </w:rPr>
                    <w:t>900-039-49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0.25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0.02</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285" w:type="pct"/>
                  <w:vMerge w:val="continue"/>
                  <w:shd w:val="clear" w:color="auto" w:fill="auto"/>
                  <w:vAlign w:val="center"/>
                </w:tcPr>
                <w:p>
                  <w:pPr>
                    <w:pStyle w:val="36"/>
                    <w:spacing w:beforeLines="0" w:afterLines="0" w:line="240" w:lineRule="exact"/>
                    <w:rPr>
                      <w:rFonts w:ascii="Times New Roman"/>
                      <w:sz w:val="18"/>
                      <w:szCs w:val="18"/>
                    </w:rPr>
                  </w:pPr>
                </w:p>
              </w:tc>
              <w:tc>
                <w:tcPr>
                  <w:tcW w:w="826" w:type="pct"/>
                  <w:shd w:val="clear" w:color="auto" w:fill="auto"/>
                  <w:vAlign w:val="center"/>
                </w:tcPr>
                <w:p>
                  <w:pPr>
                    <w:spacing w:line="240" w:lineRule="exact"/>
                    <w:jc w:val="center"/>
                    <w:rPr>
                      <w:bCs/>
                      <w:sz w:val="18"/>
                      <w:szCs w:val="18"/>
                    </w:rPr>
                  </w:pPr>
                  <w:r>
                    <w:rPr>
                      <w:bCs/>
                      <w:sz w:val="18"/>
                      <w:szCs w:val="18"/>
                    </w:rPr>
                    <w:t>废活性炭沾染危化品的废包装材料</w:t>
                  </w:r>
                </w:p>
              </w:tc>
              <w:tc>
                <w:tcPr>
                  <w:tcW w:w="446" w:type="pct"/>
                  <w:shd w:val="clear" w:color="auto" w:fill="auto"/>
                  <w:vAlign w:val="center"/>
                </w:tcPr>
                <w:p>
                  <w:pPr>
                    <w:widowControl/>
                    <w:snapToGrid w:val="0"/>
                    <w:spacing w:line="240" w:lineRule="exact"/>
                    <w:jc w:val="center"/>
                    <w:rPr>
                      <w:bCs/>
                      <w:sz w:val="18"/>
                      <w:szCs w:val="18"/>
                    </w:rPr>
                  </w:pPr>
                  <w:r>
                    <w:rPr>
                      <w:bCs/>
                      <w:sz w:val="18"/>
                      <w:szCs w:val="18"/>
                    </w:rPr>
                    <w:t>HW49</w:t>
                  </w:r>
                </w:p>
              </w:tc>
              <w:tc>
                <w:tcPr>
                  <w:tcW w:w="710" w:type="pct"/>
                  <w:shd w:val="clear" w:color="auto" w:fill="auto"/>
                  <w:vAlign w:val="center"/>
                </w:tcPr>
                <w:p>
                  <w:pPr>
                    <w:snapToGrid w:val="0"/>
                    <w:spacing w:line="240" w:lineRule="exact"/>
                    <w:jc w:val="center"/>
                    <w:rPr>
                      <w:bCs/>
                      <w:sz w:val="18"/>
                      <w:szCs w:val="18"/>
                    </w:rPr>
                  </w:pPr>
                  <w:r>
                    <w:rPr>
                      <w:sz w:val="18"/>
                      <w:szCs w:val="18"/>
                    </w:rPr>
                    <w:t>900-041-49</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0.004</w:t>
                  </w:r>
                </w:p>
              </w:tc>
              <w:tc>
                <w:tcPr>
                  <w:tcW w:w="249" w:type="pct"/>
                  <w:vMerge w:val="continue"/>
                  <w:shd w:val="clear" w:color="auto" w:fill="auto"/>
                  <w:vAlign w:val="center"/>
                </w:tcPr>
                <w:p>
                  <w:pPr>
                    <w:pStyle w:val="36"/>
                    <w:spacing w:beforeLines="0" w:afterLines="0" w:line="240" w:lineRule="exact"/>
                    <w:rPr>
                      <w:rFonts w:ascii="Times New Roman"/>
                      <w:sz w:val="18"/>
                      <w:szCs w:val="18"/>
                    </w:rPr>
                  </w:pPr>
                </w:p>
              </w:tc>
              <w:tc>
                <w:tcPr>
                  <w:tcW w:w="433" w:type="pct"/>
                  <w:vMerge w:val="continue"/>
                  <w:shd w:val="clear" w:color="auto" w:fill="auto"/>
                  <w:vAlign w:val="center"/>
                </w:tcPr>
                <w:p>
                  <w:pPr>
                    <w:pStyle w:val="36"/>
                    <w:spacing w:beforeLines="0" w:afterLines="0" w:line="240" w:lineRule="exact"/>
                    <w:rPr>
                      <w:rFonts w:ascii="Times New Roman"/>
                      <w:sz w:val="18"/>
                      <w:szCs w:val="18"/>
                    </w:rPr>
                  </w:pPr>
                </w:p>
              </w:tc>
              <w:tc>
                <w:tcPr>
                  <w:tcW w:w="299"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c>
                <w:tcPr>
                  <w:tcW w:w="303" w:type="pct"/>
                  <w:vMerge w:val="continue"/>
                  <w:shd w:val="clear" w:color="auto" w:fill="auto"/>
                  <w:vAlign w:val="center"/>
                </w:tcPr>
                <w:p>
                  <w:pPr>
                    <w:pStyle w:val="36"/>
                    <w:spacing w:beforeLines="0" w:afterLines="0" w:line="240" w:lineRule="exact"/>
                    <w:rPr>
                      <w:rFonts w:ascii="Times New Roman"/>
                      <w:sz w:val="18"/>
                      <w:szCs w:val="18"/>
                    </w:rPr>
                  </w:pPr>
                </w:p>
              </w:tc>
            </w:tr>
          </w:tbl>
          <w:p>
            <w:pPr>
              <w:adjustRightInd w:val="0"/>
              <w:snapToGrid w:val="0"/>
              <w:spacing w:line="360" w:lineRule="auto"/>
              <w:ind w:firstLine="482" w:firstLineChars="200"/>
              <w:rPr>
                <w:b/>
                <w:bCs/>
                <w:sz w:val="24"/>
              </w:rPr>
            </w:pPr>
            <w:r>
              <w:rPr>
                <w:rFonts w:hint="eastAsia"/>
                <w:b/>
                <w:bCs/>
                <w:sz w:val="24"/>
              </w:rPr>
              <w:t>B.危险废物包装</w:t>
            </w:r>
          </w:p>
          <w:p>
            <w:pPr>
              <w:adjustRightInd w:val="0"/>
              <w:snapToGrid w:val="0"/>
              <w:spacing w:line="360" w:lineRule="auto"/>
              <w:ind w:firstLine="480" w:firstLineChars="200"/>
              <w:rPr>
                <w:bCs/>
                <w:sz w:val="24"/>
              </w:rPr>
            </w:pPr>
            <w:r>
              <w:rPr>
                <w:rFonts w:hint="eastAsia"/>
                <w:bCs/>
                <w:sz w:val="24"/>
              </w:rPr>
              <w:t>拟建项目各类危废均满足《危险废物贮存污染控制标准》中“4.4必须将危险废物装入容器内”、“4.5禁止将不相容（相互反应）的危险废物在同一容器内混装”“4.6无法装入常用容器的危险废物可用防漏胶袋等盛装”等危险废物包装要求；本项目危废主要为沾染危险化学品的废包装桶、隔油池浮渣、废机油等，经专用桶或袋密封包装后存于危废暂存间，满足“4.3 在常温常压下不水解、不挥发的固体危险废物可在贮存设施内分别堆放”的要求；而项目危废可能会有有机废气挥发的危险废物，本项目采用密封包装后储存于危废暂存间内也符合《危险废物贮存污染控制标准》中相关要求。</w:t>
            </w:r>
          </w:p>
          <w:p>
            <w:pPr>
              <w:adjustRightInd w:val="0"/>
              <w:snapToGrid w:val="0"/>
              <w:spacing w:line="360" w:lineRule="auto"/>
              <w:ind w:firstLine="482" w:firstLineChars="200"/>
              <w:rPr>
                <w:b/>
                <w:bCs/>
                <w:sz w:val="24"/>
              </w:rPr>
            </w:pPr>
            <w:r>
              <w:rPr>
                <w:rFonts w:hint="eastAsia"/>
                <w:b/>
                <w:bCs/>
                <w:sz w:val="24"/>
              </w:rPr>
              <w:t>C.危险废物转移控制措施</w:t>
            </w:r>
          </w:p>
          <w:p>
            <w:pPr>
              <w:adjustRightInd w:val="0"/>
              <w:snapToGrid w:val="0"/>
              <w:spacing w:line="360" w:lineRule="auto"/>
              <w:ind w:firstLine="480" w:firstLineChars="200"/>
              <w:rPr>
                <w:bCs/>
                <w:sz w:val="24"/>
              </w:rPr>
            </w:pPr>
            <w:r>
              <w:rPr>
                <w:rFonts w:hint="eastAsia"/>
                <w:bCs/>
                <w:sz w:val="24"/>
              </w:rPr>
              <w:t>①企业应按国家有关规定办理危险废物申报转移的“五联单”手续。</w:t>
            </w:r>
          </w:p>
          <w:p>
            <w:pPr>
              <w:adjustRightInd w:val="0"/>
              <w:snapToGrid w:val="0"/>
              <w:spacing w:line="360" w:lineRule="auto"/>
              <w:ind w:firstLine="480" w:firstLineChars="200"/>
              <w:rPr>
                <w:bCs/>
                <w:sz w:val="24"/>
              </w:rPr>
            </w:pPr>
            <w:r>
              <w:rPr>
                <w:rFonts w:hint="eastAsia"/>
                <w:bCs/>
                <w:sz w:val="24"/>
              </w:rPr>
              <w:t>②在交有资质单位处理时，应严格按照《危险废物转移联单管理办法》填写危险废物转移联单，并由双方单位保留备查。危险废物产生单位在转移危险废物前，须按照国家有关规定报批危险废物转移计划；经批准后，产生单位应当向移出地环境保护行政主管部门申请领取联单。产生单位应当在危险废物转移前三日内报告移出地环境保护行政主管部门，并同时将预期到达时间报告接受地环境保护行政主管部门。</w:t>
            </w:r>
          </w:p>
          <w:p>
            <w:pPr>
              <w:adjustRightInd w:val="0"/>
              <w:snapToGrid w:val="0"/>
              <w:spacing w:line="360" w:lineRule="auto"/>
              <w:ind w:firstLine="480" w:firstLineChars="200"/>
              <w:rPr>
                <w:bCs/>
                <w:sz w:val="24"/>
              </w:rPr>
            </w:pPr>
            <w:r>
              <w:rPr>
                <w:rFonts w:hint="eastAsia"/>
                <w:bCs/>
                <w:sz w:val="24"/>
              </w:rPr>
              <w:t>③所有废物收集和封装容器应得到接收企业及当地环保部门的认可。</w:t>
            </w:r>
          </w:p>
          <w:p>
            <w:pPr>
              <w:adjustRightInd w:val="0"/>
              <w:snapToGrid w:val="0"/>
              <w:spacing w:line="360" w:lineRule="auto"/>
              <w:ind w:firstLine="480" w:firstLineChars="200"/>
              <w:rPr>
                <w:bCs/>
                <w:sz w:val="24"/>
              </w:rPr>
            </w:pPr>
            <w:r>
              <w:rPr>
                <w:rFonts w:hint="eastAsia"/>
                <w:bCs/>
                <w:sz w:val="24"/>
              </w:rPr>
              <w:t>④应指定专人负责固废和残液的收集、贮运管理工作，运输车辆的司机和押运人员应经专业培训。</w:t>
            </w:r>
          </w:p>
          <w:p>
            <w:pPr>
              <w:adjustRightInd w:val="0"/>
              <w:snapToGrid w:val="0"/>
              <w:spacing w:line="360" w:lineRule="auto"/>
              <w:ind w:firstLine="480" w:firstLineChars="200"/>
              <w:rPr>
                <w:bCs/>
                <w:sz w:val="24"/>
              </w:rPr>
            </w:pPr>
            <w:r>
              <w:rPr>
                <w:rFonts w:hint="eastAsia"/>
                <w:bCs/>
                <w:sz w:val="24"/>
              </w:rPr>
              <w:t>⑤收运车应采用密闭运输方式，防止外泄。</w:t>
            </w:r>
          </w:p>
          <w:p>
            <w:pPr>
              <w:adjustRightInd w:val="0"/>
              <w:snapToGrid w:val="0"/>
              <w:spacing w:line="360" w:lineRule="auto"/>
              <w:ind w:firstLine="480" w:firstLineChars="200"/>
              <w:rPr>
                <w:bCs/>
                <w:sz w:val="24"/>
              </w:rPr>
            </w:pPr>
            <w:r>
              <w:rPr>
                <w:rFonts w:hint="eastAsia"/>
                <w:bCs/>
                <w:sz w:val="24"/>
              </w:rPr>
              <w:t>⑥建设单位与处置单位对危险废物交接时，应按危废联单制管理要求，交接运输，要求交接和运输过程皆处于环境行政主管部门的监控之下进行。</w:t>
            </w:r>
          </w:p>
          <w:p>
            <w:pPr>
              <w:adjustRightInd w:val="0"/>
              <w:snapToGrid w:val="0"/>
              <w:spacing w:line="360" w:lineRule="auto"/>
              <w:ind w:firstLine="480" w:firstLineChars="200"/>
              <w:rPr>
                <w:bCs/>
                <w:sz w:val="24"/>
              </w:rPr>
            </w:pPr>
            <w:r>
              <w:rPr>
                <w:rFonts w:hint="eastAsia"/>
                <w:bCs/>
                <w:sz w:val="24"/>
              </w:rPr>
              <w:t>⑦危险废物运输符合《危险废物收集贮存运输技术规范》相关要求。</w:t>
            </w:r>
          </w:p>
          <w:p>
            <w:pPr>
              <w:adjustRightInd w:val="0"/>
              <w:snapToGrid w:val="0"/>
              <w:spacing w:line="360" w:lineRule="auto"/>
              <w:ind w:firstLine="480" w:firstLineChars="200"/>
              <w:rPr>
                <w:bCs/>
                <w:sz w:val="24"/>
              </w:rPr>
            </w:pPr>
            <w:r>
              <w:rPr>
                <w:rFonts w:hint="eastAsia"/>
                <w:bCs/>
                <w:sz w:val="24"/>
              </w:rPr>
              <w:t>采取以上措施后，拟建项目产生的固体废物对外环境影响小。</w:t>
            </w:r>
          </w:p>
          <w:p>
            <w:pPr>
              <w:adjustRightInd w:val="0"/>
              <w:snapToGrid w:val="0"/>
              <w:spacing w:line="360" w:lineRule="auto"/>
              <w:ind w:firstLine="29" w:firstLineChars="12"/>
              <w:rPr>
                <w:b/>
                <w:bCs/>
                <w:sz w:val="24"/>
              </w:rPr>
            </w:pPr>
            <w:r>
              <w:rPr>
                <w:rFonts w:hint="eastAsia"/>
                <w:b/>
                <w:bCs/>
                <w:sz w:val="24"/>
              </w:rPr>
              <w:t>4.2.5地下水、土壤</w:t>
            </w:r>
          </w:p>
          <w:p>
            <w:pPr>
              <w:spacing w:line="480" w:lineRule="exact"/>
              <w:ind w:firstLine="480" w:firstLineChars="200"/>
              <w:rPr>
                <w:kern w:val="24"/>
                <w:sz w:val="24"/>
              </w:rPr>
            </w:pPr>
            <w:r>
              <w:rPr>
                <w:rFonts w:hint="eastAsia"/>
                <w:sz w:val="24"/>
              </w:rPr>
              <w:t>拟建项目</w:t>
            </w:r>
            <w:r>
              <w:rPr>
                <w:sz w:val="24"/>
              </w:rPr>
              <w:t>对土壤</w:t>
            </w:r>
            <w:r>
              <w:rPr>
                <w:rFonts w:hint="eastAsia"/>
                <w:sz w:val="24"/>
              </w:rPr>
              <w:t>、地下水</w:t>
            </w:r>
            <w:r>
              <w:rPr>
                <w:sz w:val="24"/>
              </w:rPr>
              <w:t>的影响主要是</w:t>
            </w:r>
            <w:r>
              <w:rPr>
                <w:rFonts w:hint="eastAsia"/>
                <w:sz w:val="24"/>
              </w:rPr>
              <w:t>生产车间内柴油、润滑油、液压油、</w:t>
            </w:r>
            <w:r>
              <w:rPr>
                <w:rFonts w:hint="eastAsia"/>
                <w:kern w:val="24"/>
                <w:sz w:val="24"/>
              </w:rPr>
              <w:t>危险废物、污水处理站、事故池等</w:t>
            </w:r>
            <w:r>
              <w:rPr>
                <w:kern w:val="24"/>
                <w:sz w:val="24"/>
              </w:rPr>
              <w:t>对</w:t>
            </w:r>
            <w:r>
              <w:rPr>
                <w:sz w:val="24"/>
              </w:rPr>
              <w:t>土壤</w:t>
            </w:r>
            <w:r>
              <w:rPr>
                <w:rFonts w:hint="eastAsia"/>
                <w:sz w:val="24"/>
              </w:rPr>
              <w:t>、地下水</w:t>
            </w:r>
            <w:r>
              <w:rPr>
                <w:kern w:val="24"/>
                <w:sz w:val="24"/>
              </w:rPr>
              <w:t>的影响。</w:t>
            </w:r>
          </w:p>
          <w:p>
            <w:pPr>
              <w:spacing w:line="480" w:lineRule="exact"/>
              <w:ind w:firstLine="480" w:firstLineChars="200"/>
              <w:rPr>
                <w:kern w:val="24"/>
                <w:sz w:val="24"/>
              </w:rPr>
            </w:pPr>
            <w:r>
              <w:rPr>
                <w:rFonts w:hint="eastAsia"/>
                <w:sz w:val="24"/>
              </w:rPr>
              <w:t>柴油、润滑油、液压油</w:t>
            </w:r>
            <w:r>
              <w:rPr>
                <w:rFonts w:hint="eastAsia"/>
                <w:kern w:val="24"/>
                <w:sz w:val="24"/>
              </w:rPr>
              <w:t>包装桶装</w:t>
            </w:r>
            <w:r>
              <w:rPr>
                <w:kern w:val="24"/>
                <w:sz w:val="24"/>
              </w:rPr>
              <w:t>存放于</w:t>
            </w:r>
            <w:r>
              <w:rPr>
                <w:rFonts w:hint="eastAsia"/>
                <w:kern w:val="24"/>
                <w:sz w:val="24"/>
              </w:rPr>
              <w:t>原辅料库房，</w:t>
            </w:r>
            <w:r>
              <w:rPr>
                <w:kern w:val="24"/>
                <w:sz w:val="24"/>
              </w:rPr>
              <w:t>下设托盘</w:t>
            </w:r>
            <w:r>
              <w:rPr>
                <w:rFonts w:hint="eastAsia"/>
                <w:kern w:val="24"/>
                <w:sz w:val="24"/>
              </w:rPr>
              <w:t>，存放区域</w:t>
            </w:r>
            <w:r>
              <w:rPr>
                <w:kern w:val="24"/>
                <w:sz w:val="24"/>
              </w:rPr>
              <w:t>地面需进行重点防渗，可有效防止</w:t>
            </w:r>
            <w:r>
              <w:rPr>
                <w:rFonts w:hint="eastAsia"/>
                <w:sz w:val="24"/>
              </w:rPr>
              <w:t>柴油、润滑油、液压油</w:t>
            </w:r>
            <w:r>
              <w:rPr>
                <w:kern w:val="24"/>
                <w:sz w:val="24"/>
              </w:rPr>
              <w:t>泄漏对土壤</w:t>
            </w:r>
            <w:r>
              <w:rPr>
                <w:rFonts w:hint="eastAsia"/>
                <w:kern w:val="24"/>
                <w:sz w:val="24"/>
              </w:rPr>
              <w:t>、地下水</w:t>
            </w:r>
            <w:r>
              <w:rPr>
                <w:kern w:val="24"/>
                <w:sz w:val="24"/>
              </w:rPr>
              <w:t>的影响。</w:t>
            </w:r>
            <w:r>
              <w:rPr>
                <w:rFonts w:hint="eastAsia"/>
                <w:kern w:val="24"/>
                <w:sz w:val="24"/>
              </w:rPr>
              <w:t>危险废物</w:t>
            </w:r>
            <w:r>
              <w:rPr>
                <w:kern w:val="24"/>
                <w:sz w:val="24"/>
              </w:rPr>
              <w:t>存放于</w:t>
            </w:r>
            <w:r>
              <w:rPr>
                <w:rFonts w:hint="eastAsia"/>
                <w:kern w:val="24"/>
                <w:sz w:val="24"/>
              </w:rPr>
              <w:t>危废暂存间，使用专用盛具盛放，</w:t>
            </w:r>
            <w:r>
              <w:rPr>
                <w:kern w:val="24"/>
                <w:sz w:val="24"/>
              </w:rPr>
              <w:t>地面进行重点防渗</w:t>
            </w:r>
            <w:r>
              <w:rPr>
                <w:rFonts w:hint="eastAsia"/>
                <w:kern w:val="24"/>
                <w:sz w:val="24"/>
              </w:rPr>
              <w:t>。污水处理站、事故池等需要防腐防渗。</w:t>
            </w:r>
          </w:p>
          <w:p>
            <w:pPr>
              <w:pStyle w:val="12"/>
              <w:adjustRightInd w:val="0"/>
              <w:snapToGrid w:val="0"/>
              <w:spacing w:line="480" w:lineRule="exact"/>
              <w:ind w:firstLine="480" w:firstLineChars="200"/>
              <w:rPr>
                <w:rFonts w:ascii="Times New Roman" w:hAnsi="Times New Roman"/>
                <w:sz w:val="24"/>
                <w:szCs w:val="24"/>
              </w:rPr>
            </w:pPr>
            <w:r>
              <w:rPr>
                <w:rFonts w:ascii="Times New Roman" w:hAnsi="Times New Roman"/>
                <w:sz w:val="24"/>
                <w:szCs w:val="24"/>
              </w:rPr>
              <w:t>项目针对各类污染物均采取了对应的污染治理措施，可确保污染物的达标排放及防止渗漏发生，可从源头上控制项目对区域土壤环境的污染源强，确保项目对区域土壤</w:t>
            </w:r>
            <w:r>
              <w:rPr>
                <w:rFonts w:hint="eastAsia" w:ascii="Times New Roman" w:hAnsi="Times New Roman"/>
                <w:sz w:val="24"/>
                <w:szCs w:val="24"/>
              </w:rPr>
              <w:t>、地下水</w:t>
            </w:r>
            <w:r>
              <w:rPr>
                <w:rFonts w:ascii="Times New Roman" w:hAnsi="Times New Roman"/>
                <w:sz w:val="24"/>
                <w:szCs w:val="24"/>
              </w:rPr>
              <w:t>环境的影响处于可接受水平。</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根据地下水分区防控和项目的实际情况，项目的分区防渗情况如下：</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重点防渗区：</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主要为原料库房、危废暂存间、污水处理站、事故池，需满足《环境影响评价技术导则地下水环境》（HJ610-2016）中等效黏土防渗层厚度Mb≥6.0m，渗透系数K≤1×10</w:t>
            </w:r>
            <w:r>
              <w:rPr>
                <w:rFonts w:hint="eastAsia" w:ascii="Times New Roman" w:hAnsi="Times New Roman"/>
                <w:sz w:val="24"/>
                <w:szCs w:val="24"/>
                <w:vertAlign w:val="superscript"/>
              </w:rPr>
              <w:t>-7</w:t>
            </w:r>
            <w:r>
              <w:rPr>
                <w:rFonts w:hint="eastAsia" w:ascii="Times New Roman" w:hAnsi="Times New Roman"/>
                <w:sz w:val="24"/>
                <w:szCs w:val="24"/>
              </w:rPr>
              <w:t>cm/s的要求。另废蓄电池拆解区和储存区地面需做防酸、防腐、防渗、硬化及绝缘处理，废铅蓄电池拆解区和储存区的地面应做防酸、防腐、防渗及硬化处理，危险废物贮存区应设置液体导流和收集装置，地面应无液体积聚。</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一般防渗区：</w:t>
            </w:r>
          </w:p>
          <w:p>
            <w:pPr>
              <w:pStyle w:val="12"/>
              <w:adjustRightInd w:val="0"/>
              <w:snapToGrid w:val="0"/>
              <w:spacing w:line="480" w:lineRule="exact"/>
              <w:ind w:firstLine="480" w:firstLineChars="200"/>
              <w:rPr>
                <w:rFonts w:ascii="Times New Roman" w:hAnsi="Times New Roman"/>
                <w:sz w:val="24"/>
                <w:szCs w:val="24"/>
              </w:rPr>
            </w:pPr>
            <w:r>
              <w:rPr>
                <w:rFonts w:hint="eastAsia"/>
                <w:kern w:val="24"/>
                <w:sz w:val="24"/>
              </w:rPr>
              <w:t>拆解车间、破碎车间、成品库房、</w:t>
            </w:r>
            <w:r>
              <w:rPr>
                <w:rFonts w:hint="eastAsia" w:ascii="Times New Roman" w:hAnsi="Times New Roman"/>
                <w:sz w:val="24"/>
                <w:szCs w:val="24"/>
              </w:rPr>
              <w:t>一般工业固废暂存间，需满足《环境影响评价技术导则地下水环境》（HJ610-2016）中等效黏土防渗层厚度Mb≥1.5m，渗透系数K≤1×10</w:t>
            </w:r>
            <w:r>
              <w:rPr>
                <w:rFonts w:hint="eastAsia" w:ascii="Times New Roman" w:hAnsi="Times New Roman"/>
                <w:sz w:val="24"/>
                <w:szCs w:val="24"/>
                <w:vertAlign w:val="superscript"/>
              </w:rPr>
              <w:t>-7</w:t>
            </w:r>
            <w:r>
              <w:rPr>
                <w:rFonts w:hint="eastAsia" w:ascii="Times New Roman" w:hAnsi="Times New Roman"/>
                <w:sz w:val="24"/>
                <w:szCs w:val="24"/>
              </w:rPr>
              <w:t>cm/s的要求。另拆解作业区应具有防渗地面和油水收集设施，地面应符合GB 50037 的防油渗地面要求；作业区地面混凝土强度等级不低于C20，厚度不低于150 mm，其中物流通道路面和拆解作业区域强度不低于C30，厚度不低于200 mm。大型拆解设备承重区域的硬化标准参照设备工艺要求执行；</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简单防渗区：</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简单防渗区主要为做好地面硬化，主要为厂区其他区域。</w:t>
            </w:r>
          </w:p>
          <w:p>
            <w:pPr>
              <w:pStyle w:val="12"/>
              <w:adjustRightInd w:val="0"/>
              <w:snapToGrid w:val="0"/>
              <w:spacing w:line="480" w:lineRule="exact"/>
              <w:ind w:firstLine="480" w:firstLineChars="200"/>
              <w:rPr>
                <w:rFonts w:ascii="Times New Roman" w:hAnsi="Times New Roman"/>
                <w:sz w:val="24"/>
                <w:szCs w:val="24"/>
              </w:rPr>
            </w:pPr>
            <w:r>
              <w:rPr>
                <w:rFonts w:hint="eastAsia" w:ascii="Times New Roman" w:hAnsi="Times New Roman"/>
                <w:sz w:val="24"/>
                <w:szCs w:val="24"/>
              </w:rPr>
              <w:t>采取上述措施后，项目对地下水基本不会造成明显影响。</w:t>
            </w:r>
          </w:p>
          <w:p>
            <w:pPr>
              <w:adjustRightInd w:val="0"/>
              <w:snapToGrid w:val="0"/>
              <w:spacing w:line="480" w:lineRule="exact"/>
              <w:ind w:firstLine="29" w:firstLineChars="12"/>
              <w:rPr>
                <w:b/>
                <w:bCs/>
                <w:sz w:val="24"/>
              </w:rPr>
            </w:pPr>
            <w:bookmarkStart w:id="5" w:name="OLE_LINK18"/>
            <w:bookmarkStart w:id="6" w:name="OLE_LINK19"/>
            <w:r>
              <w:rPr>
                <w:rFonts w:hint="eastAsia"/>
                <w:b/>
                <w:bCs/>
                <w:sz w:val="24"/>
              </w:rPr>
              <w:t>4.2.6环境风险</w:t>
            </w:r>
          </w:p>
          <w:p>
            <w:pPr>
              <w:adjustRightInd w:val="0"/>
              <w:snapToGrid w:val="0"/>
              <w:spacing w:line="480" w:lineRule="exact"/>
              <w:ind w:firstLine="480" w:firstLineChars="200"/>
              <w:rPr>
                <w:kern w:val="0"/>
                <w:sz w:val="24"/>
              </w:rPr>
            </w:pPr>
            <w:r>
              <w:rPr>
                <w:rFonts w:hint="eastAsia"/>
                <w:kern w:val="0"/>
                <w:sz w:val="24"/>
              </w:rPr>
              <w:t>（1）风险物质识别</w:t>
            </w:r>
          </w:p>
          <w:p>
            <w:pPr>
              <w:adjustRightInd w:val="0"/>
              <w:snapToGrid w:val="0"/>
              <w:spacing w:line="480" w:lineRule="exact"/>
              <w:ind w:firstLine="480" w:firstLineChars="200"/>
              <w:rPr>
                <w:kern w:val="0"/>
                <w:sz w:val="24"/>
              </w:rPr>
            </w:pPr>
            <w:r>
              <w:rPr>
                <w:rFonts w:hint="eastAsia"/>
                <w:kern w:val="0"/>
                <w:sz w:val="24"/>
              </w:rPr>
              <w:t>根据《危险化学品名录》，全厂涉及的危险化学品为</w:t>
            </w:r>
            <w:r>
              <w:rPr>
                <w:rFonts w:hint="eastAsia"/>
                <w:sz w:val="24"/>
              </w:rPr>
              <w:t>柴油、润滑油、液压油</w:t>
            </w:r>
            <w:r>
              <w:rPr>
                <w:rFonts w:hint="eastAsia"/>
                <w:kern w:val="0"/>
                <w:sz w:val="24"/>
              </w:rPr>
              <w:t>等，但不涉及剧毒化学品。其中</w:t>
            </w:r>
            <w:r>
              <w:rPr>
                <w:rFonts w:hint="eastAsia"/>
                <w:sz w:val="24"/>
              </w:rPr>
              <w:t>柴油、润滑油、液压油</w:t>
            </w:r>
            <w:r>
              <w:rPr>
                <w:rFonts w:hint="eastAsia"/>
                <w:kern w:val="0"/>
                <w:sz w:val="24"/>
              </w:rPr>
              <w:t>属于《建设项目环境风险评价技术导则》（HJ169-2018）附录B重点关注物质。另外，废铅蓄电池（硫酸）、含多氯联苯的废电容器（多氯联苯）、废矿物油与含矿物油废物（废油液）也属于《建设项目环境风险评价技术导则》（HJ169-2018）附录B重点关注物质。</w:t>
            </w:r>
          </w:p>
          <w:p>
            <w:pPr>
              <w:adjustRightInd w:val="0"/>
              <w:snapToGrid w:val="0"/>
              <w:spacing w:line="480" w:lineRule="exact"/>
              <w:ind w:firstLine="480" w:firstLineChars="200"/>
              <w:rPr>
                <w:kern w:val="0"/>
                <w:sz w:val="24"/>
              </w:rPr>
            </w:pPr>
            <w:r>
              <w:rPr>
                <w:rFonts w:hint="eastAsia"/>
                <w:kern w:val="0"/>
                <w:sz w:val="24"/>
              </w:rPr>
              <w:t>厂区内危险物质储存位置详见表4.2.6-1。</w:t>
            </w:r>
          </w:p>
          <w:p>
            <w:pPr>
              <w:pStyle w:val="45"/>
              <w:spacing w:after="60"/>
              <w:rPr>
                <w:rFonts w:ascii="Times New Roman" w:hAnsi="Times New Roman"/>
                <w:szCs w:val="21"/>
              </w:rPr>
            </w:pPr>
            <w:r>
              <w:rPr>
                <w:rFonts w:ascii="Times New Roman" w:hAnsi="Times New Roman"/>
                <w:szCs w:val="21"/>
              </w:rPr>
              <w:t>表</w:t>
            </w:r>
            <w:r>
              <w:rPr>
                <w:rFonts w:ascii="Times New Roman" w:hAnsi="Times New Roman"/>
                <w:kern w:val="0"/>
                <w:szCs w:val="21"/>
              </w:rPr>
              <w:t>4.2.6-1</w:t>
            </w:r>
            <w:r>
              <w:rPr>
                <w:rFonts w:ascii="Times New Roman" w:hAnsi="Times New Roman"/>
                <w:szCs w:val="21"/>
              </w:rPr>
              <w:t xml:space="preserve"> 风险物质分布一览表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851"/>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40" w:type="pct"/>
                  <w:vAlign w:val="center"/>
                </w:tcPr>
                <w:p>
                  <w:pPr>
                    <w:pStyle w:val="36"/>
                    <w:spacing w:beforeLines="0" w:afterLines="0" w:line="240" w:lineRule="exact"/>
                    <w:rPr>
                      <w:rFonts w:ascii="Times New Roman"/>
                      <w:sz w:val="18"/>
                      <w:szCs w:val="18"/>
                    </w:rPr>
                  </w:pPr>
                  <w:r>
                    <w:rPr>
                      <w:rFonts w:ascii="Times New Roman"/>
                      <w:sz w:val="18"/>
                      <w:szCs w:val="18"/>
                    </w:rPr>
                    <w:t>序号</w:t>
                  </w:r>
                </w:p>
              </w:tc>
              <w:tc>
                <w:tcPr>
                  <w:tcW w:w="1796" w:type="pct"/>
                  <w:vAlign w:val="center"/>
                </w:tcPr>
                <w:p>
                  <w:pPr>
                    <w:pStyle w:val="36"/>
                    <w:spacing w:before="24" w:after="24" w:line="240" w:lineRule="exact"/>
                    <w:rPr>
                      <w:rFonts w:ascii="Times New Roman"/>
                      <w:sz w:val="18"/>
                      <w:szCs w:val="18"/>
                    </w:rPr>
                  </w:pPr>
                  <w:r>
                    <w:rPr>
                      <w:rFonts w:ascii="Times New Roman"/>
                      <w:sz w:val="18"/>
                      <w:szCs w:val="18"/>
                    </w:rPr>
                    <w:t>单元</w:t>
                  </w:r>
                </w:p>
              </w:tc>
              <w:tc>
                <w:tcPr>
                  <w:tcW w:w="2464" w:type="pct"/>
                  <w:vAlign w:val="center"/>
                </w:tcPr>
                <w:p>
                  <w:pPr>
                    <w:pStyle w:val="36"/>
                    <w:spacing w:beforeLines="0" w:afterLines="0" w:line="240" w:lineRule="exact"/>
                    <w:rPr>
                      <w:rFonts w:ascii="Times New Roman"/>
                      <w:sz w:val="18"/>
                      <w:szCs w:val="18"/>
                    </w:rPr>
                  </w:pPr>
                  <w:r>
                    <w:rPr>
                      <w:rFonts w:ascii="Times New Roman"/>
                      <w:sz w:val="18"/>
                      <w:szCs w:val="18"/>
                    </w:rPr>
                    <w:t>危险物料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40" w:type="pct"/>
                  <w:vAlign w:val="center"/>
                </w:tcPr>
                <w:p>
                  <w:pPr>
                    <w:pStyle w:val="36"/>
                    <w:spacing w:beforeLines="0" w:afterLines="0" w:line="240" w:lineRule="exact"/>
                    <w:rPr>
                      <w:rFonts w:ascii="Times New Roman"/>
                      <w:sz w:val="18"/>
                      <w:szCs w:val="18"/>
                    </w:rPr>
                  </w:pPr>
                  <w:r>
                    <w:rPr>
                      <w:rFonts w:ascii="Times New Roman"/>
                      <w:sz w:val="18"/>
                      <w:szCs w:val="18"/>
                    </w:rPr>
                    <w:t>1</w:t>
                  </w:r>
                </w:p>
              </w:tc>
              <w:tc>
                <w:tcPr>
                  <w:tcW w:w="1796" w:type="pct"/>
                  <w:vAlign w:val="center"/>
                </w:tcPr>
                <w:p>
                  <w:pPr>
                    <w:pStyle w:val="36"/>
                    <w:spacing w:beforeLines="0" w:afterLines="0" w:line="240" w:lineRule="exact"/>
                    <w:rPr>
                      <w:rFonts w:ascii="Times New Roman"/>
                      <w:sz w:val="18"/>
                      <w:szCs w:val="18"/>
                    </w:rPr>
                  </w:pPr>
                  <w:r>
                    <w:rPr>
                      <w:rFonts w:hint="eastAsia" w:ascii="Times New Roman"/>
                      <w:sz w:val="18"/>
                      <w:szCs w:val="18"/>
                    </w:rPr>
                    <w:t>原辅料</w:t>
                  </w:r>
                  <w:r>
                    <w:rPr>
                      <w:rFonts w:ascii="Times New Roman"/>
                      <w:sz w:val="18"/>
                      <w:szCs w:val="18"/>
                    </w:rPr>
                    <w:t>库房</w:t>
                  </w:r>
                </w:p>
              </w:tc>
              <w:tc>
                <w:tcPr>
                  <w:tcW w:w="2464" w:type="pct"/>
                  <w:vAlign w:val="center"/>
                </w:tcPr>
                <w:p>
                  <w:pPr>
                    <w:pStyle w:val="36"/>
                    <w:spacing w:beforeLines="0" w:afterLines="0" w:line="240" w:lineRule="exact"/>
                    <w:rPr>
                      <w:rFonts w:ascii="Times New Roman"/>
                      <w:sz w:val="18"/>
                      <w:szCs w:val="18"/>
                    </w:rPr>
                  </w:pPr>
                  <w:r>
                    <w:rPr>
                      <w:rFonts w:hint="eastAsia"/>
                      <w:sz w:val="18"/>
                      <w:szCs w:val="18"/>
                    </w:rPr>
                    <w:t>柴油、润滑油、液压油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740" w:type="pct"/>
                  <w:vAlign w:val="center"/>
                </w:tcPr>
                <w:p>
                  <w:pPr>
                    <w:pStyle w:val="36"/>
                    <w:spacing w:beforeLines="0" w:afterLines="0" w:line="240" w:lineRule="exact"/>
                    <w:rPr>
                      <w:rFonts w:ascii="Times New Roman"/>
                      <w:sz w:val="18"/>
                      <w:szCs w:val="18"/>
                    </w:rPr>
                  </w:pPr>
                  <w:r>
                    <w:rPr>
                      <w:rFonts w:ascii="Times New Roman"/>
                      <w:sz w:val="18"/>
                      <w:szCs w:val="18"/>
                    </w:rPr>
                    <w:t>2</w:t>
                  </w:r>
                </w:p>
              </w:tc>
              <w:tc>
                <w:tcPr>
                  <w:tcW w:w="1796" w:type="pct"/>
                  <w:vAlign w:val="center"/>
                </w:tcPr>
                <w:p>
                  <w:pPr>
                    <w:pStyle w:val="36"/>
                    <w:spacing w:beforeLines="0" w:afterLines="0" w:line="240" w:lineRule="exact"/>
                    <w:rPr>
                      <w:rFonts w:ascii="Times New Roman"/>
                      <w:sz w:val="18"/>
                      <w:szCs w:val="18"/>
                    </w:rPr>
                  </w:pPr>
                  <w:r>
                    <w:rPr>
                      <w:rFonts w:hint="eastAsia" w:ascii="Times New Roman"/>
                      <w:sz w:val="18"/>
                      <w:szCs w:val="18"/>
                    </w:rPr>
                    <w:t>危险</w:t>
                  </w:r>
                  <w:r>
                    <w:rPr>
                      <w:rFonts w:ascii="Times New Roman"/>
                      <w:sz w:val="18"/>
                      <w:szCs w:val="18"/>
                    </w:rPr>
                    <w:t>废物暂存间</w:t>
                  </w:r>
                </w:p>
              </w:tc>
              <w:tc>
                <w:tcPr>
                  <w:tcW w:w="2464" w:type="pct"/>
                  <w:vAlign w:val="center"/>
                </w:tcPr>
                <w:p>
                  <w:pPr>
                    <w:pStyle w:val="36"/>
                    <w:spacing w:beforeLines="0" w:afterLines="0" w:line="240" w:lineRule="exact"/>
                    <w:rPr>
                      <w:rFonts w:ascii="Times New Roman"/>
                      <w:sz w:val="18"/>
                      <w:szCs w:val="18"/>
                    </w:rPr>
                  </w:pPr>
                  <w:r>
                    <w:rPr>
                      <w:rFonts w:hint="eastAsia"/>
                      <w:sz w:val="18"/>
                      <w:szCs w:val="18"/>
                    </w:rPr>
                    <w:t>废铅蓄电池（硫酸）、含多氯联苯的废电容器（多氯联苯）、废矿物油与含矿物油废物（废油液）</w:t>
                  </w:r>
                </w:p>
              </w:tc>
            </w:tr>
          </w:tbl>
          <w:p>
            <w:pPr>
              <w:adjustRightInd w:val="0"/>
              <w:snapToGrid w:val="0"/>
              <w:spacing w:line="480" w:lineRule="exact"/>
              <w:ind w:firstLine="480" w:firstLineChars="200"/>
              <w:rPr>
                <w:kern w:val="0"/>
                <w:sz w:val="24"/>
              </w:rPr>
            </w:pPr>
            <w:r>
              <w:rPr>
                <w:rFonts w:hint="eastAsia"/>
                <w:kern w:val="0"/>
                <w:sz w:val="24"/>
              </w:rPr>
              <w:t>根据表2.1.8-4，全厂危险物质最大储存量见下表4.2.6-2。</w:t>
            </w:r>
          </w:p>
          <w:p>
            <w:pPr>
              <w:pStyle w:val="45"/>
              <w:spacing w:after="60" w:line="480" w:lineRule="exact"/>
              <w:ind w:firstLine="420" w:firstLineChars="200"/>
              <w:rPr>
                <w:rFonts w:ascii="Times New Roman" w:hAnsi="Times New Roman"/>
                <w:kern w:val="0"/>
                <w:szCs w:val="21"/>
              </w:rPr>
            </w:pPr>
            <w:r>
              <w:rPr>
                <w:rFonts w:hint="eastAsia" w:ascii="Times New Roman" w:hAnsi="Times New Roman"/>
                <w:kern w:val="0"/>
                <w:szCs w:val="21"/>
              </w:rPr>
              <w:t>表</w:t>
            </w:r>
            <w:r>
              <w:rPr>
                <w:rFonts w:ascii="Times New Roman" w:hAnsi="Times New Roman"/>
                <w:kern w:val="0"/>
                <w:szCs w:val="21"/>
              </w:rPr>
              <w:t>4.2.6-</w:t>
            </w:r>
            <w:r>
              <w:rPr>
                <w:rFonts w:hint="eastAsia" w:ascii="Times New Roman" w:hAnsi="Times New Roman"/>
                <w:kern w:val="0"/>
                <w:szCs w:val="21"/>
              </w:rPr>
              <w:t>2 全厂危险物质最大储存量</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760"/>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36"/>
                    <w:spacing w:beforeLines="0" w:afterLines="0" w:line="240" w:lineRule="exact"/>
                    <w:rPr>
                      <w:rFonts w:ascii="Times New Roman"/>
                      <w:sz w:val="18"/>
                    </w:rPr>
                  </w:pPr>
                  <w:r>
                    <w:rPr>
                      <w:rFonts w:ascii="Times New Roman"/>
                      <w:sz w:val="18"/>
                    </w:rPr>
                    <w:t>序号</w:t>
                  </w:r>
                </w:p>
              </w:tc>
              <w:tc>
                <w:tcPr>
                  <w:tcW w:w="4760" w:type="dxa"/>
                  <w:vAlign w:val="center"/>
                </w:tcPr>
                <w:p>
                  <w:pPr>
                    <w:pStyle w:val="36"/>
                    <w:spacing w:beforeLines="0" w:afterLines="0" w:line="240" w:lineRule="exact"/>
                    <w:rPr>
                      <w:rFonts w:ascii="Times New Roman"/>
                      <w:sz w:val="18"/>
                    </w:rPr>
                  </w:pPr>
                  <w:r>
                    <w:rPr>
                      <w:rFonts w:ascii="Times New Roman"/>
                      <w:sz w:val="18"/>
                    </w:rPr>
                    <w:t>原料名称</w:t>
                  </w:r>
                </w:p>
              </w:tc>
              <w:tc>
                <w:tcPr>
                  <w:tcW w:w="2425" w:type="dxa"/>
                  <w:vAlign w:val="center"/>
                </w:tcPr>
                <w:p>
                  <w:pPr>
                    <w:pStyle w:val="36"/>
                    <w:spacing w:beforeLines="0" w:afterLines="0" w:line="240" w:lineRule="exact"/>
                    <w:rPr>
                      <w:rFonts w:ascii="Times New Roman"/>
                      <w:sz w:val="18"/>
                    </w:rPr>
                  </w:pPr>
                  <w:r>
                    <w:rPr>
                      <w:rFonts w:ascii="Times New Roman"/>
                      <w:sz w:val="18"/>
                    </w:rPr>
                    <w:t>最大储量</w:t>
                  </w:r>
                  <w:r>
                    <w:rPr>
                      <w:rFonts w:hint="eastAsia" w:ascii="Times New Roman"/>
                      <w:sz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36"/>
                    <w:spacing w:beforeLines="0" w:afterLines="0" w:line="240" w:lineRule="exact"/>
                    <w:rPr>
                      <w:rFonts w:ascii="Times New Roman"/>
                      <w:sz w:val="18"/>
                    </w:rPr>
                  </w:pPr>
                  <w:r>
                    <w:rPr>
                      <w:rFonts w:ascii="Times New Roman"/>
                      <w:sz w:val="18"/>
                    </w:rPr>
                    <w:t>1</w:t>
                  </w:r>
                </w:p>
              </w:tc>
              <w:tc>
                <w:tcPr>
                  <w:tcW w:w="4760" w:type="dxa"/>
                  <w:vAlign w:val="center"/>
                </w:tcPr>
                <w:p>
                  <w:pPr>
                    <w:pStyle w:val="36"/>
                    <w:spacing w:beforeLines="0" w:afterLines="0" w:line="240" w:lineRule="exact"/>
                    <w:rPr>
                      <w:rFonts w:ascii="Times New Roman"/>
                      <w:sz w:val="18"/>
                    </w:rPr>
                  </w:pPr>
                  <w:r>
                    <w:rPr>
                      <w:rFonts w:hint="eastAsia"/>
                      <w:sz w:val="18"/>
                      <w:szCs w:val="18"/>
                    </w:rPr>
                    <w:t>柴油</w:t>
                  </w:r>
                </w:p>
              </w:tc>
              <w:tc>
                <w:tcPr>
                  <w:tcW w:w="2425" w:type="dxa"/>
                  <w:vAlign w:val="center"/>
                </w:tcPr>
                <w:p>
                  <w:pPr>
                    <w:pStyle w:val="36"/>
                    <w:spacing w:beforeLines="0" w:afterLines="0" w:line="240" w:lineRule="exact"/>
                    <w:rPr>
                      <w:rFonts w:ascii="Times New Roman"/>
                      <w:sz w:val="18"/>
                    </w:rPr>
                  </w:pPr>
                  <w:r>
                    <w:rPr>
                      <w:rFonts w:ascii="Times New Roman"/>
                      <w:sz w:val="18"/>
                      <w:szCs w:val="18"/>
                    </w:rPr>
                    <w:t>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51" w:type="dxa"/>
                  <w:vAlign w:val="center"/>
                </w:tcPr>
                <w:p>
                  <w:pPr>
                    <w:pStyle w:val="36"/>
                    <w:spacing w:beforeLines="0" w:afterLines="0" w:line="240" w:lineRule="exact"/>
                    <w:rPr>
                      <w:rFonts w:ascii="Times New Roman"/>
                      <w:sz w:val="18"/>
                    </w:rPr>
                  </w:pPr>
                  <w:r>
                    <w:rPr>
                      <w:rFonts w:ascii="Times New Roman"/>
                      <w:sz w:val="18"/>
                    </w:rPr>
                    <w:t>2</w:t>
                  </w:r>
                </w:p>
              </w:tc>
              <w:tc>
                <w:tcPr>
                  <w:tcW w:w="4760" w:type="dxa"/>
                  <w:vAlign w:val="center"/>
                </w:tcPr>
                <w:p>
                  <w:pPr>
                    <w:pStyle w:val="36"/>
                    <w:spacing w:beforeLines="0" w:afterLines="0" w:line="240" w:lineRule="exact"/>
                    <w:rPr>
                      <w:rFonts w:ascii="Times New Roman"/>
                      <w:sz w:val="18"/>
                    </w:rPr>
                  </w:pPr>
                  <w:r>
                    <w:rPr>
                      <w:rFonts w:hint="eastAsia"/>
                      <w:sz w:val="18"/>
                      <w:szCs w:val="18"/>
                    </w:rPr>
                    <w:t>润滑油</w:t>
                  </w:r>
                </w:p>
              </w:tc>
              <w:tc>
                <w:tcPr>
                  <w:tcW w:w="2425" w:type="dxa"/>
                  <w:vAlign w:val="center"/>
                </w:tcPr>
                <w:p>
                  <w:pPr>
                    <w:pStyle w:val="36"/>
                    <w:spacing w:beforeLines="0" w:afterLines="0" w:line="240" w:lineRule="exact"/>
                    <w:rPr>
                      <w:rFonts w:ascii="Times New Roman"/>
                      <w:sz w:val="18"/>
                    </w:rPr>
                  </w:pPr>
                  <w:r>
                    <w:rPr>
                      <w:rFonts w:ascii="Times New Roman"/>
                      <w:sz w:val="18"/>
                      <w:szCs w:val="18"/>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51" w:type="dxa"/>
                  <w:vAlign w:val="center"/>
                </w:tcPr>
                <w:p>
                  <w:pPr>
                    <w:pStyle w:val="36"/>
                    <w:spacing w:beforeLines="0" w:afterLines="0" w:line="240" w:lineRule="exact"/>
                    <w:rPr>
                      <w:rFonts w:ascii="Times New Roman"/>
                      <w:sz w:val="18"/>
                    </w:rPr>
                  </w:pPr>
                  <w:r>
                    <w:rPr>
                      <w:rFonts w:hint="eastAsia" w:ascii="Times New Roman"/>
                      <w:sz w:val="18"/>
                    </w:rPr>
                    <w:t>3</w:t>
                  </w:r>
                </w:p>
              </w:tc>
              <w:tc>
                <w:tcPr>
                  <w:tcW w:w="4760" w:type="dxa"/>
                  <w:vAlign w:val="center"/>
                </w:tcPr>
                <w:p>
                  <w:pPr>
                    <w:pStyle w:val="36"/>
                    <w:spacing w:beforeLines="0" w:afterLines="0" w:line="240" w:lineRule="exact"/>
                    <w:rPr>
                      <w:sz w:val="18"/>
                      <w:szCs w:val="18"/>
                    </w:rPr>
                  </w:pPr>
                  <w:r>
                    <w:rPr>
                      <w:rFonts w:hint="eastAsia"/>
                      <w:sz w:val="18"/>
                      <w:szCs w:val="18"/>
                    </w:rPr>
                    <w:t>液压油</w:t>
                  </w:r>
                </w:p>
              </w:tc>
              <w:tc>
                <w:tcPr>
                  <w:tcW w:w="2425" w:type="dxa"/>
                  <w:vAlign w:val="center"/>
                </w:tcPr>
                <w:p>
                  <w:pPr>
                    <w:pStyle w:val="36"/>
                    <w:spacing w:beforeLines="0" w:afterLines="0" w:line="240" w:lineRule="exact"/>
                    <w:rPr>
                      <w:rFonts w:ascii="Times New Roman"/>
                      <w:sz w:val="18"/>
                    </w:rPr>
                  </w:pPr>
                  <w:r>
                    <w:rPr>
                      <w:rFonts w:ascii="Times New Roman"/>
                      <w:sz w:val="18"/>
                      <w:szCs w:val="18"/>
                    </w:rPr>
                    <w:t>0.1548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36"/>
                    <w:spacing w:beforeLines="0" w:afterLines="0" w:line="240" w:lineRule="exact"/>
                    <w:rPr>
                      <w:rFonts w:ascii="Times New Roman"/>
                      <w:sz w:val="18"/>
                    </w:rPr>
                  </w:pPr>
                  <w:r>
                    <w:rPr>
                      <w:rFonts w:hint="eastAsia" w:ascii="Times New Roman"/>
                      <w:sz w:val="18"/>
                    </w:rPr>
                    <w:t>4</w:t>
                  </w:r>
                </w:p>
              </w:tc>
              <w:tc>
                <w:tcPr>
                  <w:tcW w:w="4760" w:type="dxa"/>
                  <w:vAlign w:val="center"/>
                </w:tcPr>
                <w:p>
                  <w:pPr>
                    <w:pStyle w:val="36"/>
                    <w:spacing w:beforeLines="0" w:afterLines="0" w:line="240" w:lineRule="exact"/>
                    <w:rPr>
                      <w:rFonts w:ascii="Times New Roman"/>
                      <w:sz w:val="18"/>
                    </w:rPr>
                  </w:pPr>
                  <w:r>
                    <w:rPr>
                      <w:rFonts w:hint="eastAsia"/>
                      <w:sz w:val="18"/>
                      <w:szCs w:val="18"/>
                    </w:rPr>
                    <w:t>废铅蓄电池（硫酸，最多含5%）</w:t>
                  </w:r>
                </w:p>
              </w:tc>
              <w:tc>
                <w:tcPr>
                  <w:tcW w:w="2425" w:type="dxa"/>
                  <w:vAlign w:val="center"/>
                </w:tcPr>
                <w:p>
                  <w:pPr>
                    <w:pStyle w:val="36"/>
                    <w:spacing w:beforeLines="0" w:afterLines="0" w:line="240" w:lineRule="exact"/>
                    <w:rPr>
                      <w:rFonts w:ascii="Times New Roman"/>
                      <w:sz w:val="18"/>
                    </w:rPr>
                  </w:pPr>
                  <w:r>
                    <w:rPr>
                      <w:rFonts w:ascii="Times New Roman"/>
                      <w:sz w:val="18"/>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36"/>
                    <w:spacing w:beforeLines="0" w:afterLines="0" w:line="240" w:lineRule="exact"/>
                    <w:rPr>
                      <w:rFonts w:ascii="Times New Roman"/>
                      <w:sz w:val="18"/>
                    </w:rPr>
                  </w:pPr>
                  <w:r>
                    <w:rPr>
                      <w:rFonts w:hint="eastAsia" w:ascii="Times New Roman"/>
                      <w:sz w:val="18"/>
                    </w:rPr>
                    <w:t>5</w:t>
                  </w:r>
                </w:p>
              </w:tc>
              <w:tc>
                <w:tcPr>
                  <w:tcW w:w="4760" w:type="dxa"/>
                  <w:vAlign w:val="center"/>
                </w:tcPr>
                <w:p>
                  <w:pPr>
                    <w:pStyle w:val="36"/>
                    <w:spacing w:beforeLines="0" w:afterLines="0" w:line="240" w:lineRule="exact"/>
                    <w:rPr>
                      <w:sz w:val="18"/>
                      <w:szCs w:val="18"/>
                    </w:rPr>
                  </w:pPr>
                  <w:r>
                    <w:rPr>
                      <w:rFonts w:hint="eastAsia"/>
                      <w:sz w:val="18"/>
                      <w:szCs w:val="18"/>
                    </w:rPr>
                    <w:t>含多氯联苯的废电容器（多氯联苯，按0</w:t>
                  </w:r>
                  <w:r>
                    <w:rPr>
                      <w:sz w:val="18"/>
                      <w:szCs w:val="18"/>
                    </w:rPr>
                    <w:t>.1</w:t>
                  </w:r>
                  <w:r>
                    <w:rPr>
                      <w:rFonts w:hint="eastAsia"/>
                      <w:sz w:val="18"/>
                      <w:szCs w:val="18"/>
                    </w:rPr>
                    <w:t>%计算）</w:t>
                  </w:r>
                </w:p>
              </w:tc>
              <w:tc>
                <w:tcPr>
                  <w:tcW w:w="2425" w:type="dxa"/>
                  <w:vAlign w:val="center"/>
                </w:tcPr>
                <w:p>
                  <w:pPr>
                    <w:pStyle w:val="36"/>
                    <w:spacing w:beforeLines="0" w:afterLines="0" w:line="240" w:lineRule="exact"/>
                    <w:rPr>
                      <w:rFonts w:ascii="Times New Roman"/>
                      <w:sz w:val="18"/>
                    </w:rPr>
                  </w:pPr>
                  <w:r>
                    <w:rPr>
                      <w:rFonts w:hint="eastAsia" w:ascii="Times New Roman"/>
                      <w:sz w:val="18"/>
                    </w:rPr>
                    <w:t>0</w:t>
                  </w:r>
                  <w:r>
                    <w:rPr>
                      <w:rFonts w:ascii="Times New Roman"/>
                      <w:sz w:val="18"/>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pStyle w:val="36"/>
                    <w:spacing w:beforeLines="0" w:afterLines="0" w:line="240" w:lineRule="exact"/>
                    <w:rPr>
                      <w:rFonts w:ascii="Times New Roman"/>
                      <w:sz w:val="18"/>
                    </w:rPr>
                  </w:pPr>
                  <w:r>
                    <w:rPr>
                      <w:rFonts w:hint="eastAsia" w:ascii="Times New Roman"/>
                      <w:sz w:val="18"/>
                    </w:rPr>
                    <w:t>6</w:t>
                  </w:r>
                </w:p>
              </w:tc>
              <w:tc>
                <w:tcPr>
                  <w:tcW w:w="4760" w:type="dxa"/>
                  <w:vAlign w:val="center"/>
                </w:tcPr>
                <w:p>
                  <w:pPr>
                    <w:pStyle w:val="36"/>
                    <w:spacing w:beforeLines="0" w:afterLines="0" w:line="240" w:lineRule="exact"/>
                    <w:rPr>
                      <w:sz w:val="18"/>
                      <w:szCs w:val="18"/>
                    </w:rPr>
                  </w:pPr>
                  <w:r>
                    <w:rPr>
                      <w:rFonts w:hint="eastAsia"/>
                      <w:sz w:val="18"/>
                      <w:szCs w:val="18"/>
                    </w:rPr>
                    <w:t>废矿物油与含矿物油废物（废油液）</w:t>
                  </w:r>
                </w:p>
              </w:tc>
              <w:tc>
                <w:tcPr>
                  <w:tcW w:w="2425" w:type="dxa"/>
                  <w:vAlign w:val="center"/>
                </w:tcPr>
                <w:p>
                  <w:pPr>
                    <w:pStyle w:val="36"/>
                    <w:spacing w:beforeLines="0" w:afterLines="0" w:line="240" w:lineRule="exact"/>
                    <w:rPr>
                      <w:rFonts w:ascii="Times New Roman"/>
                      <w:sz w:val="18"/>
                    </w:rPr>
                  </w:pPr>
                  <w:r>
                    <w:rPr>
                      <w:rFonts w:hint="eastAsia" w:ascii="Times New Roman"/>
                      <w:sz w:val="18"/>
                    </w:rPr>
                    <w:t>4</w:t>
                  </w:r>
                  <w:r>
                    <w:rPr>
                      <w:rFonts w:ascii="Times New Roman"/>
                      <w:sz w:val="18"/>
                    </w:rPr>
                    <w:t>8.01</w:t>
                  </w:r>
                </w:p>
              </w:tc>
            </w:tr>
          </w:tbl>
          <w:p>
            <w:pPr>
              <w:adjustRightInd w:val="0"/>
              <w:snapToGrid w:val="0"/>
              <w:spacing w:line="480" w:lineRule="exact"/>
              <w:ind w:firstLine="480" w:firstLineChars="200"/>
              <w:rPr>
                <w:bCs/>
                <w:sz w:val="24"/>
              </w:rPr>
            </w:pPr>
            <w:r>
              <w:rPr>
                <w:rFonts w:hint="eastAsia"/>
                <w:bCs/>
                <w:sz w:val="24"/>
              </w:rPr>
              <w:t>（2）P的分级确定</w:t>
            </w:r>
          </w:p>
          <w:p>
            <w:pPr>
              <w:adjustRightInd w:val="0"/>
              <w:snapToGrid w:val="0"/>
              <w:spacing w:line="480" w:lineRule="exact"/>
              <w:ind w:firstLine="480" w:firstLineChars="200"/>
              <w:rPr>
                <w:bCs/>
                <w:sz w:val="24"/>
              </w:rPr>
            </w:pPr>
            <w:r>
              <w:rPr>
                <w:rFonts w:hint="eastAsia"/>
                <w:bCs/>
                <w:sz w:val="24"/>
              </w:rPr>
              <w:t>①危险物质数量与临界量比值Q</w:t>
            </w:r>
          </w:p>
          <w:p>
            <w:pPr>
              <w:adjustRightInd w:val="0"/>
              <w:snapToGrid w:val="0"/>
              <w:spacing w:line="480" w:lineRule="exact"/>
              <w:ind w:firstLine="480" w:firstLineChars="200"/>
              <w:rPr>
                <w:bCs/>
                <w:sz w:val="24"/>
              </w:rPr>
            </w:pPr>
            <w:r>
              <w:rPr>
                <w:rFonts w:hint="eastAsia"/>
                <w:bCs/>
                <w:sz w:val="24"/>
              </w:rPr>
              <w:t>据拟建项目涉及的有毒有害、易燃易爆物质在厂区内最大储存量，对比《建设项目环境风险评价技术导则》（HJ169-2018）附录B所列风险物质临界量，计算其厂界内的最大存在总量与其在附录B中对应的临界量的比值Q。</w:t>
            </w:r>
          </w:p>
          <w:p>
            <w:pPr>
              <w:adjustRightInd w:val="0"/>
              <w:snapToGrid w:val="0"/>
              <w:spacing w:line="480" w:lineRule="exact"/>
              <w:ind w:firstLine="480" w:firstLineChars="200"/>
              <w:rPr>
                <w:bCs/>
                <w:sz w:val="24"/>
              </w:rPr>
            </w:pPr>
            <w:r>
              <w:rPr>
                <w:rFonts w:hint="eastAsia"/>
                <w:bCs/>
                <w:sz w:val="24"/>
              </w:rPr>
              <w:t>当企业只涉及一种环境风险物质时，计算该物质的总数量与其临界量比值，即为Q；</w:t>
            </w:r>
          </w:p>
          <w:p>
            <w:pPr>
              <w:adjustRightInd w:val="0"/>
              <w:snapToGrid w:val="0"/>
              <w:spacing w:line="480" w:lineRule="exact"/>
              <w:ind w:firstLine="480" w:firstLineChars="200"/>
              <w:rPr>
                <w:bCs/>
                <w:sz w:val="24"/>
              </w:rPr>
            </w:pPr>
            <w:r>
              <w:rPr>
                <w:rFonts w:hint="eastAsia"/>
                <w:bCs/>
                <w:sz w:val="24"/>
              </w:rPr>
              <w:t>当企业存在多种环境风险物质时，按下式计算物质总量与其临界量比值（Q）：</w:t>
            </w:r>
          </w:p>
          <w:p>
            <w:pPr>
              <w:adjustRightInd w:val="0"/>
              <w:snapToGrid w:val="0"/>
              <w:ind w:firstLine="27" w:firstLineChars="13"/>
              <w:jc w:val="center"/>
              <w:rPr>
                <w:bCs/>
                <w:sz w:val="24"/>
              </w:rPr>
            </w:pPr>
            <m:oMathPara>
              <m:oMath>
                <m:r>
                  <m:rPr>
                    <m:sty m:val="p"/>
                  </m:rPr>
                  <w:rPr>
                    <w:rFonts w:ascii="Cambria Math" w:hAnsi="Cambria Math"/>
                  </w:rPr>
                  <m:t>Q=</m:t>
                </m:r>
                <m:f>
                  <m:fPr>
                    <m:ctrlPr>
                      <w:rPr>
                        <w:rFonts w:ascii="Cambria Math" w:hAnsi="Cambria Math"/>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rPr>
                    </m:ctrlP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num>
                  <m:den>
                    <m:sSub>
                      <m:sSubPr>
                        <m:ctrlPr>
                          <w:rPr>
                            <w:rFonts w:ascii="Cambria Math" w:hAnsi="Cambria Math"/>
                          </w:rPr>
                        </m:ctrlPr>
                      </m:sSubPr>
                      <m:e>
                        <m:r>
                          <m:rPr>
                            <m:sty m:val="p"/>
                          </m:rPr>
                          <w:rPr>
                            <w:rFonts w:ascii="Cambria Math" w:hAnsi="Cambria Math"/>
                          </w:rPr>
                          <m:t>Q</m:t>
                        </m:r>
                        <m:ctrlPr>
                          <w:rPr>
                            <w:rFonts w:ascii="Cambria Math" w:hAnsi="Cambria Math"/>
                          </w:rPr>
                        </m:ctrlPr>
                      </m:e>
                      <m:sub>
                        <m:r>
                          <m:rPr/>
                          <w:rPr>
                            <w:rFonts w:ascii="Cambria Math" w:hAnsi="Cambria Math"/>
                          </w:rPr>
                          <m:t>2</m:t>
                        </m:r>
                        <m:ctrlPr>
                          <w:rPr>
                            <w:rFonts w:ascii="Cambria Math" w:hAnsi="Cambria Math"/>
                          </w:rPr>
                        </m:ctrlPr>
                      </m:sub>
                    </m:sSub>
                    <m:ctrlPr>
                      <w:rPr>
                        <w:rFonts w:ascii="Cambria Math" w:hAnsi="Cambria Math"/>
                      </w:rPr>
                    </m:ctrlPr>
                  </m:den>
                </m:f>
                <m:r>
                  <m:rPr/>
                  <w:rPr>
                    <w:rFonts w:ascii="Cambria Math" w:hAnsi="Cambria Math"/>
                  </w:rPr>
                  <m:t>+</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rPr>
                    </m:ctrlPr>
                  </m:den>
                </m:f>
              </m:oMath>
            </m:oMathPara>
          </w:p>
          <w:p>
            <w:pPr>
              <w:adjustRightInd w:val="0"/>
              <w:snapToGrid w:val="0"/>
              <w:spacing w:line="480" w:lineRule="exact"/>
              <w:ind w:firstLine="480" w:firstLineChars="200"/>
              <w:rPr>
                <w:bCs/>
                <w:sz w:val="24"/>
              </w:rPr>
            </w:pPr>
            <w:r>
              <w:rPr>
                <w:rFonts w:hint="eastAsia"/>
                <w:bCs/>
                <w:sz w:val="24"/>
              </w:rPr>
              <w:t>式中：q</w:t>
            </w:r>
            <w:r>
              <w:rPr>
                <w:rFonts w:hint="eastAsia"/>
                <w:bCs/>
                <w:sz w:val="24"/>
                <w:vertAlign w:val="subscript"/>
              </w:rPr>
              <w:t>1</w:t>
            </w:r>
            <w:r>
              <w:rPr>
                <w:rFonts w:hint="eastAsia"/>
                <w:bCs/>
                <w:sz w:val="24"/>
              </w:rPr>
              <w:t>，q</w:t>
            </w:r>
            <w:r>
              <w:rPr>
                <w:rFonts w:hint="eastAsia"/>
                <w:bCs/>
                <w:sz w:val="24"/>
                <w:vertAlign w:val="subscript"/>
              </w:rPr>
              <w:t>2</w:t>
            </w:r>
            <w:r>
              <w:rPr>
                <w:rFonts w:hint="eastAsia"/>
                <w:bCs/>
                <w:sz w:val="24"/>
              </w:rPr>
              <w:t>，…，qn——每种环境风险物质的最大存在总量，t；</w:t>
            </w:r>
          </w:p>
          <w:p>
            <w:pPr>
              <w:adjustRightInd w:val="0"/>
              <w:snapToGrid w:val="0"/>
              <w:spacing w:line="480" w:lineRule="exact"/>
              <w:ind w:firstLine="480" w:firstLineChars="200"/>
              <w:rPr>
                <w:bCs/>
                <w:sz w:val="24"/>
              </w:rPr>
            </w:pPr>
            <w:r>
              <w:rPr>
                <w:rFonts w:hint="eastAsia"/>
                <w:bCs/>
                <w:sz w:val="24"/>
              </w:rPr>
              <w:t xml:space="preserve">      Q</w:t>
            </w:r>
            <w:r>
              <w:rPr>
                <w:rFonts w:hint="eastAsia"/>
                <w:bCs/>
                <w:sz w:val="24"/>
                <w:vertAlign w:val="subscript"/>
              </w:rPr>
              <w:t>1</w:t>
            </w:r>
            <w:r>
              <w:rPr>
                <w:rFonts w:hint="eastAsia"/>
                <w:bCs/>
                <w:sz w:val="24"/>
              </w:rPr>
              <w:t>，Q</w:t>
            </w:r>
            <w:r>
              <w:rPr>
                <w:rFonts w:hint="eastAsia"/>
                <w:bCs/>
                <w:sz w:val="24"/>
                <w:vertAlign w:val="subscript"/>
              </w:rPr>
              <w:t>2</w:t>
            </w:r>
            <w:r>
              <w:rPr>
                <w:rFonts w:hint="eastAsia"/>
                <w:bCs/>
                <w:sz w:val="24"/>
              </w:rPr>
              <w:t>，…，Qn——每种环境风险物质的临界量，t。</w:t>
            </w:r>
          </w:p>
          <w:p>
            <w:pPr>
              <w:adjustRightInd w:val="0"/>
              <w:snapToGrid w:val="0"/>
              <w:spacing w:line="480" w:lineRule="exact"/>
              <w:ind w:firstLine="480" w:firstLineChars="200"/>
              <w:rPr>
                <w:bCs/>
                <w:sz w:val="24"/>
              </w:rPr>
            </w:pPr>
            <w:r>
              <w:rPr>
                <w:rFonts w:hint="eastAsia"/>
                <w:bCs/>
                <w:sz w:val="24"/>
              </w:rPr>
              <w:t>当Q＜1时，该项目风险潜势为Ⅰ。</w:t>
            </w:r>
          </w:p>
          <w:p>
            <w:pPr>
              <w:adjustRightInd w:val="0"/>
              <w:snapToGrid w:val="0"/>
              <w:spacing w:line="480" w:lineRule="exact"/>
              <w:ind w:firstLine="480" w:firstLineChars="200"/>
              <w:rPr>
                <w:bCs/>
                <w:sz w:val="24"/>
              </w:rPr>
            </w:pPr>
            <w:r>
              <w:rPr>
                <w:rFonts w:hint="eastAsia"/>
                <w:bCs/>
                <w:sz w:val="24"/>
              </w:rPr>
              <w:t>当Q≥1时，将Q值划分为：①1≤Q＜10；②10≤Q＜100；③Q≥100。</w:t>
            </w:r>
          </w:p>
          <w:p>
            <w:pPr>
              <w:spacing w:line="480" w:lineRule="exact"/>
              <w:ind w:firstLine="482"/>
              <w:rPr>
                <w:bCs/>
                <w:sz w:val="24"/>
              </w:rPr>
            </w:pPr>
            <w:r>
              <w:rPr>
                <w:rFonts w:hint="eastAsia"/>
                <w:bCs/>
                <w:sz w:val="24"/>
              </w:rPr>
              <w:t>拟建项目建成后全厂涉及的危险物质数量与临界量比值（Q）计算结果见表</w:t>
            </w:r>
            <w:r>
              <w:rPr>
                <w:kern w:val="0"/>
                <w:sz w:val="24"/>
              </w:rPr>
              <w:t>4.2.6-</w:t>
            </w:r>
            <w:r>
              <w:rPr>
                <w:rFonts w:hint="eastAsia"/>
                <w:kern w:val="0"/>
                <w:sz w:val="24"/>
              </w:rPr>
              <w:t>3</w:t>
            </w:r>
            <w:r>
              <w:rPr>
                <w:rFonts w:hint="eastAsia"/>
                <w:bCs/>
                <w:sz w:val="24"/>
              </w:rPr>
              <w:t>。</w:t>
            </w:r>
          </w:p>
          <w:p>
            <w:pPr>
              <w:pStyle w:val="45"/>
              <w:spacing w:before="156" w:after="60"/>
              <w:rPr>
                <w:rFonts w:ascii="Times New Roman" w:hAnsi="Times New Roman"/>
              </w:rPr>
            </w:pPr>
            <w:r>
              <w:rPr>
                <w:rFonts w:ascii="Times New Roman" w:hAnsi="Times New Roman"/>
              </w:rPr>
              <w:t>表4.2.6-3  环境风险物质储存量和临界量比值（Q）一览表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1148"/>
              <w:gridCol w:w="2601"/>
              <w:gridCol w:w="966"/>
              <w:gridCol w:w="838"/>
              <w:gridCol w:w="1029"/>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序号</w:t>
                  </w:r>
                </w:p>
              </w:tc>
              <w:tc>
                <w:tcPr>
                  <w:tcW w:w="733" w:type="pct"/>
                  <w:vAlign w:val="center"/>
                </w:tcPr>
                <w:p>
                  <w:pPr>
                    <w:pStyle w:val="36"/>
                    <w:spacing w:beforeLines="0" w:afterLines="0" w:line="240" w:lineRule="exact"/>
                    <w:rPr>
                      <w:rFonts w:ascii="Times New Roman"/>
                      <w:sz w:val="18"/>
                      <w:szCs w:val="18"/>
                    </w:rPr>
                  </w:pPr>
                  <w:r>
                    <w:rPr>
                      <w:rFonts w:ascii="Times New Roman"/>
                      <w:sz w:val="18"/>
                      <w:szCs w:val="18"/>
                    </w:rPr>
                    <w:t>储存位置</w:t>
                  </w: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危险物质名称</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CAS号</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临界量Qn/t</w:t>
                  </w:r>
                </w:p>
              </w:tc>
              <w:tc>
                <w:tcPr>
                  <w:tcW w:w="658" w:type="pct"/>
                  <w:vAlign w:val="center"/>
                </w:tcPr>
                <w:p>
                  <w:pPr>
                    <w:pStyle w:val="36"/>
                    <w:spacing w:beforeLines="0" w:afterLines="0" w:line="240" w:lineRule="exact"/>
                    <w:rPr>
                      <w:rFonts w:ascii="Times New Roman"/>
                      <w:sz w:val="18"/>
                      <w:szCs w:val="18"/>
                    </w:rPr>
                  </w:pPr>
                  <w:r>
                    <w:rPr>
                      <w:rFonts w:ascii="Times New Roman"/>
                      <w:sz w:val="18"/>
                      <w:szCs w:val="18"/>
                    </w:rPr>
                    <w:t>最大存在量qn/t</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1</w:t>
                  </w:r>
                </w:p>
              </w:tc>
              <w:tc>
                <w:tcPr>
                  <w:tcW w:w="733" w:type="pct"/>
                  <w:vMerge w:val="restart"/>
                  <w:vAlign w:val="center"/>
                </w:tcPr>
                <w:p>
                  <w:pPr>
                    <w:pStyle w:val="36"/>
                    <w:spacing w:beforeLines="0" w:afterLines="0" w:line="240" w:lineRule="exact"/>
                    <w:rPr>
                      <w:rFonts w:ascii="Times New Roman"/>
                      <w:sz w:val="18"/>
                      <w:szCs w:val="18"/>
                    </w:rPr>
                  </w:pPr>
                  <w:r>
                    <w:rPr>
                      <w:rFonts w:ascii="Times New Roman"/>
                      <w:sz w:val="18"/>
                      <w:szCs w:val="18"/>
                    </w:rPr>
                    <w:t>原辅料库房</w:t>
                  </w: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柴油</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2500</w:t>
                  </w:r>
                </w:p>
              </w:tc>
              <w:tc>
                <w:tcPr>
                  <w:tcW w:w="658" w:type="pct"/>
                  <w:vAlign w:val="center"/>
                </w:tcPr>
                <w:p>
                  <w:pPr>
                    <w:pStyle w:val="36"/>
                    <w:spacing w:beforeLines="0" w:afterLines="0" w:line="240" w:lineRule="exact"/>
                    <w:rPr>
                      <w:rFonts w:ascii="Times New Roman"/>
                      <w:sz w:val="18"/>
                      <w:szCs w:val="18"/>
                    </w:rPr>
                  </w:pPr>
                  <w:r>
                    <w:rPr>
                      <w:rFonts w:ascii="Times New Roman"/>
                      <w:sz w:val="18"/>
                      <w:szCs w:val="18"/>
                    </w:rPr>
                    <w:t>0.255</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2</w:t>
                  </w:r>
                </w:p>
              </w:tc>
              <w:tc>
                <w:tcPr>
                  <w:tcW w:w="733" w:type="pct"/>
                  <w:vMerge w:val="continue"/>
                  <w:vAlign w:val="center"/>
                </w:tcPr>
                <w:p>
                  <w:pPr>
                    <w:pStyle w:val="36"/>
                    <w:spacing w:beforeLines="0" w:afterLines="0" w:line="240" w:lineRule="exact"/>
                    <w:rPr>
                      <w:rFonts w:ascii="Times New Roman"/>
                      <w:sz w:val="18"/>
                      <w:szCs w:val="18"/>
                    </w:rPr>
                  </w:pP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润滑油</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2500</w:t>
                  </w:r>
                </w:p>
              </w:tc>
              <w:tc>
                <w:tcPr>
                  <w:tcW w:w="658" w:type="pct"/>
                  <w:vAlign w:val="center"/>
                </w:tcPr>
                <w:p>
                  <w:pPr>
                    <w:pStyle w:val="36"/>
                    <w:spacing w:beforeLines="0" w:afterLines="0" w:line="240" w:lineRule="exact"/>
                    <w:rPr>
                      <w:rFonts w:ascii="Times New Roman"/>
                      <w:sz w:val="18"/>
                      <w:szCs w:val="18"/>
                    </w:rPr>
                  </w:pPr>
                  <w:r>
                    <w:rPr>
                      <w:rFonts w:ascii="Times New Roman"/>
                      <w:sz w:val="18"/>
                      <w:szCs w:val="18"/>
                    </w:rPr>
                    <w:t>0.091</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3</w:t>
                  </w:r>
                </w:p>
              </w:tc>
              <w:tc>
                <w:tcPr>
                  <w:tcW w:w="733" w:type="pct"/>
                  <w:vMerge w:val="continue"/>
                  <w:vAlign w:val="center"/>
                </w:tcPr>
                <w:p>
                  <w:pPr>
                    <w:pStyle w:val="36"/>
                    <w:spacing w:beforeLines="0" w:afterLines="0" w:line="240" w:lineRule="exact"/>
                    <w:rPr>
                      <w:rFonts w:ascii="Times New Roman"/>
                      <w:sz w:val="18"/>
                      <w:szCs w:val="18"/>
                    </w:rPr>
                  </w:pP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液压油</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2500</w:t>
                  </w:r>
                </w:p>
              </w:tc>
              <w:tc>
                <w:tcPr>
                  <w:tcW w:w="658" w:type="pct"/>
                  <w:vAlign w:val="center"/>
                </w:tcPr>
                <w:p>
                  <w:pPr>
                    <w:pStyle w:val="36"/>
                    <w:spacing w:beforeLines="0" w:afterLines="0" w:line="240" w:lineRule="exact"/>
                    <w:rPr>
                      <w:rFonts w:ascii="Times New Roman"/>
                      <w:sz w:val="18"/>
                      <w:szCs w:val="18"/>
                    </w:rPr>
                  </w:pPr>
                  <w:r>
                    <w:rPr>
                      <w:rFonts w:ascii="Times New Roman"/>
                      <w:sz w:val="18"/>
                      <w:szCs w:val="18"/>
                    </w:rPr>
                    <w:t>0.1548</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4</w:t>
                  </w:r>
                </w:p>
              </w:tc>
              <w:tc>
                <w:tcPr>
                  <w:tcW w:w="733" w:type="pct"/>
                  <w:vMerge w:val="restart"/>
                  <w:vAlign w:val="center"/>
                </w:tcPr>
                <w:p>
                  <w:pPr>
                    <w:pStyle w:val="36"/>
                    <w:spacing w:beforeLines="0" w:afterLines="0" w:line="240" w:lineRule="exact"/>
                    <w:rPr>
                      <w:rFonts w:ascii="Times New Roman"/>
                      <w:sz w:val="18"/>
                      <w:szCs w:val="18"/>
                    </w:rPr>
                  </w:pPr>
                  <w:r>
                    <w:rPr>
                      <w:rFonts w:ascii="Times New Roman"/>
                      <w:sz w:val="18"/>
                      <w:szCs w:val="18"/>
                    </w:rPr>
                    <w:t>危险废物暂存间</w:t>
                  </w: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废铅蓄电池（硫酸，最多含5%）</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7664-93-9</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10</w:t>
                  </w:r>
                </w:p>
              </w:tc>
              <w:tc>
                <w:tcPr>
                  <w:tcW w:w="658" w:type="pct"/>
                  <w:vAlign w:val="center"/>
                </w:tcPr>
                <w:p>
                  <w:pPr>
                    <w:pStyle w:val="36"/>
                    <w:spacing w:beforeLines="0" w:afterLines="0" w:line="240" w:lineRule="exact"/>
                    <w:rPr>
                      <w:rFonts w:ascii="Times New Roman"/>
                      <w:sz w:val="18"/>
                      <w:szCs w:val="18"/>
                    </w:rPr>
                  </w:pPr>
                  <w:r>
                    <w:rPr>
                      <w:rFonts w:ascii="Times New Roman"/>
                      <w:sz w:val="18"/>
                    </w:rPr>
                    <w:t>4.81</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5</w:t>
                  </w:r>
                </w:p>
              </w:tc>
              <w:tc>
                <w:tcPr>
                  <w:tcW w:w="733" w:type="pct"/>
                  <w:vMerge w:val="continue"/>
                  <w:vAlign w:val="center"/>
                </w:tcPr>
                <w:p>
                  <w:pPr>
                    <w:pStyle w:val="36"/>
                    <w:spacing w:beforeLines="0" w:afterLines="0" w:line="240" w:lineRule="exact"/>
                    <w:rPr>
                      <w:rFonts w:ascii="Times New Roman"/>
                      <w:sz w:val="18"/>
                      <w:szCs w:val="18"/>
                    </w:rPr>
                  </w:pP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含多氯联苯的废电容器（多氯联苯，按0.1%计算）</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1336-36-3</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2.5</w:t>
                  </w:r>
                </w:p>
              </w:tc>
              <w:tc>
                <w:tcPr>
                  <w:tcW w:w="658" w:type="pct"/>
                  <w:vAlign w:val="center"/>
                </w:tcPr>
                <w:p>
                  <w:pPr>
                    <w:pStyle w:val="36"/>
                    <w:spacing w:beforeLines="0" w:afterLines="0" w:line="240" w:lineRule="exact"/>
                    <w:rPr>
                      <w:rFonts w:ascii="Times New Roman"/>
                      <w:sz w:val="18"/>
                      <w:szCs w:val="18"/>
                    </w:rPr>
                  </w:pPr>
                  <w:r>
                    <w:rPr>
                      <w:rFonts w:ascii="Times New Roman"/>
                      <w:sz w:val="18"/>
                    </w:rPr>
                    <w:t>0.01</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358" w:type="pct"/>
                  <w:vAlign w:val="center"/>
                </w:tcPr>
                <w:p>
                  <w:pPr>
                    <w:pStyle w:val="36"/>
                    <w:spacing w:beforeLines="0" w:afterLines="0" w:line="240" w:lineRule="exact"/>
                    <w:rPr>
                      <w:rFonts w:ascii="Times New Roman"/>
                      <w:sz w:val="18"/>
                      <w:szCs w:val="18"/>
                    </w:rPr>
                  </w:pPr>
                  <w:r>
                    <w:rPr>
                      <w:rFonts w:ascii="Times New Roman"/>
                      <w:sz w:val="18"/>
                      <w:szCs w:val="18"/>
                    </w:rPr>
                    <w:t>6</w:t>
                  </w:r>
                </w:p>
              </w:tc>
              <w:tc>
                <w:tcPr>
                  <w:tcW w:w="733" w:type="pct"/>
                  <w:vMerge w:val="continue"/>
                  <w:vAlign w:val="center"/>
                </w:tcPr>
                <w:p>
                  <w:pPr>
                    <w:pStyle w:val="36"/>
                    <w:spacing w:beforeLines="0" w:afterLines="0" w:line="240" w:lineRule="exact"/>
                    <w:rPr>
                      <w:rFonts w:ascii="Times New Roman"/>
                      <w:sz w:val="18"/>
                      <w:szCs w:val="18"/>
                    </w:rPr>
                  </w:pPr>
                </w:p>
              </w:tc>
              <w:tc>
                <w:tcPr>
                  <w:tcW w:w="1648" w:type="pct"/>
                  <w:vAlign w:val="center"/>
                </w:tcPr>
                <w:p>
                  <w:pPr>
                    <w:pStyle w:val="36"/>
                    <w:spacing w:beforeLines="0" w:afterLines="0" w:line="240" w:lineRule="exact"/>
                    <w:rPr>
                      <w:rFonts w:ascii="Times New Roman"/>
                      <w:sz w:val="18"/>
                      <w:szCs w:val="18"/>
                    </w:rPr>
                  </w:pPr>
                  <w:r>
                    <w:rPr>
                      <w:rFonts w:ascii="Times New Roman"/>
                      <w:sz w:val="18"/>
                      <w:szCs w:val="18"/>
                    </w:rPr>
                    <w:t>废矿物油与含矿物油废物（废油液）</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2500</w:t>
                  </w:r>
                </w:p>
              </w:tc>
              <w:tc>
                <w:tcPr>
                  <w:tcW w:w="658" w:type="pct"/>
                  <w:vAlign w:val="center"/>
                </w:tcPr>
                <w:p>
                  <w:pPr>
                    <w:pStyle w:val="36"/>
                    <w:spacing w:beforeLines="0" w:afterLines="0" w:line="240" w:lineRule="exact"/>
                    <w:rPr>
                      <w:rFonts w:ascii="Times New Roman"/>
                      <w:sz w:val="18"/>
                      <w:szCs w:val="18"/>
                    </w:rPr>
                  </w:pPr>
                  <w:r>
                    <w:rPr>
                      <w:rFonts w:ascii="Times New Roman"/>
                      <w:sz w:val="18"/>
                    </w:rPr>
                    <w:t>48.01</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39" w:type="pct"/>
                  <w:gridSpan w:val="3"/>
                  <w:vAlign w:val="center"/>
                </w:tcPr>
                <w:p>
                  <w:pPr>
                    <w:pStyle w:val="36"/>
                    <w:spacing w:beforeLines="0" w:afterLines="0" w:line="240" w:lineRule="exact"/>
                    <w:rPr>
                      <w:rFonts w:ascii="Times New Roman"/>
                      <w:sz w:val="18"/>
                      <w:szCs w:val="18"/>
                    </w:rPr>
                  </w:pPr>
                  <w:r>
                    <w:rPr>
                      <w:rFonts w:ascii="Times New Roman"/>
                      <w:sz w:val="18"/>
                      <w:szCs w:val="18"/>
                    </w:rPr>
                    <w:t>合计</w:t>
                  </w:r>
                </w:p>
              </w:tc>
              <w:tc>
                <w:tcPr>
                  <w:tcW w:w="609"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546"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658" w:type="pct"/>
                  <w:vAlign w:val="center"/>
                </w:tcPr>
                <w:p>
                  <w:pPr>
                    <w:pStyle w:val="36"/>
                    <w:spacing w:beforeLines="0" w:afterLines="0" w:line="240" w:lineRule="exact"/>
                    <w:rPr>
                      <w:rFonts w:ascii="Times New Roman"/>
                      <w:sz w:val="18"/>
                      <w:szCs w:val="18"/>
                    </w:rPr>
                  </w:pPr>
                  <w:r>
                    <w:rPr>
                      <w:rFonts w:ascii="Times New Roman"/>
                      <w:sz w:val="18"/>
                      <w:szCs w:val="18"/>
                    </w:rPr>
                    <w:t>/</w:t>
                  </w:r>
                </w:p>
              </w:tc>
              <w:tc>
                <w:tcPr>
                  <w:tcW w:w="448" w:type="pct"/>
                  <w:vAlign w:val="center"/>
                </w:tcPr>
                <w:p>
                  <w:pPr>
                    <w:pStyle w:val="36"/>
                    <w:spacing w:beforeLines="0" w:afterLines="0" w:line="240" w:lineRule="exact"/>
                    <w:rPr>
                      <w:rFonts w:ascii="Times New Roman"/>
                      <w:sz w:val="18"/>
                      <w:szCs w:val="18"/>
                    </w:rPr>
                  </w:pPr>
                  <w:r>
                    <w:rPr>
                      <w:rFonts w:ascii="Times New Roman"/>
                      <w:sz w:val="18"/>
                      <w:szCs w:val="18"/>
                    </w:rPr>
                    <w:t>0.50424</w:t>
                  </w:r>
                </w:p>
              </w:tc>
            </w:tr>
          </w:tbl>
          <w:p>
            <w:pPr>
              <w:adjustRightInd w:val="0"/>
              <w:snapToGrid w:val="0"/>
              <w:spacing w:line="480" w:lineRule="exact"/>
              <w:ind w:firstLine="480" w:firstLineChars="200"/>
              <w:rPr>
                <w:sz w:val="24"/>
              </w:rPr>
            </w:pPr>
            <w:r>
              <w:rPr>
                <w:rFonts w:hint="eastAsia"/>
                <w:kern w:val="0"/>
                <w:sz w:val="24"/>
              </w:rPr>
              <w:t>经统计，企业Q=0.50424，属于</w:t>
            </w:r>
            <w:r>
              <w:rPr>
                <w:rFonts w:hint="eastAsia"/>
                <w:sz w:val="24"/>
              </w:rPr>
              <w:t>Q＜1，环境风险潜势为Ⅰ，风险评价等级为简单分析。</w:t>
            </w:r>
          </w:p>
          <w:p>
            <w:pPr>
              <w:adjustRightInd w:val="0"/>
              <w:snapToGrid w:val="0"/>
              <w:spacing w:line="480" w:lineRule="exact"/>
              <w:ind w:firstLine="480" w:firstLineChars="200"/>
              <w:rPr>
                <w:sz w:val="24"/>
              </w:rPr>
            </w:pPr>
            <w:r>
              <w:rPr>
                <w:rFonts w:hint="eastAsia"/>
                <w:sz w:val="24"/>
              </w:rPr>
              <w:t>（3）影响途径识别</w:t>
            </w:r>
          </w:p>
          <w:p>
            <w:pPr>
              <w:adjustRightInd w:val="0"/>
              <w:snapToGrid w:val="0"/>
              <w:spacing w:line="480" w:lineRule="exact"/>
              <w:ind w:firstLine="480" w:firstLineChars="200"/>
              <w:rPr>
                <w:sz w:val="24"/>
              </w:rPr>
            </w:pPr>
            <w:r>
              <w:rPr>
                <w:rFonts w:hint="eastAsia"/>
                <w:sz w:val="24"/>
              </w:rPr>
              <w:t>根据项目的实际情况，通过对项目的危险因素进行识别和分析，可以确定本项目营运期风险事故体现以下几个方面：</w:t>
            </w:r>
          </w:p>
          <w:p>
            <w:pPr>
              <w:pStyle w:val="137"/>
              <w:adjustRightInd/>
              <w:spacing w:line="480" w:lineRule="exact"/>
              <w:ind w:firstLineChars="200"/>
              <w:rPr>
                <w:rFonts w:eastAsia="宋体"/>
                <w:szCs w:val="24"/>
              </w:rPr>
            </w:pPr>
            <w:r>
              <w:rPr>
                <w:rFonts w:eastAsia="宋体"/>
                <w:szCs w:val="24"/>
              </w:rPr>
              <w:t>1）生产拆解过程环境风险防范措施</w:t>
            </w:r>
            <w:r>
              <w:rPr>
                <w:rFonts w:hint="eastAsia" w:eastAsia="宋体"/>
                <w:szCs w:val="24"/>
              </w:rPr>
              <w:t>（装置级）</w:t>
            </w:r>
          </w:p>
          <w:p>
            <w:pPr>
              <w:pStyle w:val="137"/>
              <w:adjustRightInd/>
              <w:spacing w:line="480" w:lineRule="exact"/>
              <w:ind w:firstLineChars="200"/>
              <w:rPr>
                <w:rFonts w:eastAsia="宋体"/>
                <w:szCs w:val="24"/>
              </w:rPr>
            </w:pPr>
            <w:r>
              <w:rPr>
                <w:rFonts w:hint="eastAsia" w:ascii="宋体" w:hAnsi="宋体" w:eastAsia="宋体" w:cs="宋体"/>
                <w:szCs w:val="24"/>
              </w:rPr>
              <w:t>①分区防渗</w:t>
            </w:r>
            <w:r>
              <w:rPr>
                <w:rFonts w:eastAsia="宋体"/>
                <w:szCs w:val="24"/>
              </w:rPr>
              <w:t>，废</w:t>
            </w:r>
            <w:r>
              <w:rPr>
                <w:rFonts w:hint="eastAsia" w:eastAsia="宋体"/>
                <w:szCs w:val="24"/>
              </w:rPr>
              <w:t>油液</w:t>
            </w:r>
            <w:r>
              <w:rPr>
                <w:rFonts w:eastAsia="宋体"/>
                <w:szCs w:val="24"/>
              </w:rPr>
              <w:t>使用专业的抽取设备将其收集到密闭的容器内，油液抽排系统下方设置防溢托盘，可有效避免在抽取及暂存过程中废</w:t>
            </w:r>
            <w:r>
              <w:rPr>
                <w:rFonts w:hint="eastAsia" w:eastAsia="宋体"/>
                <w:szCs w:val="24"/>
              </w:rPr>
              <w:t>油液</w:t>
            </w:r>
            <w:r>
              <w:rPr>
                <w:rFonts w:eastAsia="宋体"/>
                <w:szCs w:val="24"/>
              </w:rPr>
              <w:t>泄漏；</w:t>
            </w:r>
          </w:p>
          <w:p>
            <w:pPr>
              <w:pStyle w:val="137"/>
              <w:adjustRightInd/>
              <w:spacing w:line="480" w:lineRule="exact"/>
              <w:ind w:firstLineChars="200"/>
              <w:rPr>
                <w:rFonts w:eastAsia="宋体"/>
                <w:szCs w:val="24"/>
              </w:rPr>
            </w:pPr>
            <w:r>
              <w:rPr>
                <w:rFonts w:hint="eastAsia" w:ascii="宋体" w:hAnsi="宋体" w:eastAsia="宋体" w:cs="宋体"/>
                <w:szCs w:val="24"/>
              </w:rPr>
              <w:t>②</w:t>
            </w:r>
            <w:r>
              <w:rPr>
                <w:rFonts w:eastAsia="宋体"/>
                <w:szCs w:val="24"/>
              </w:rPr>
              <w:t>对于拆解过程可能泄漏至地面的少量油类，可用砂土、棉纱等吸附介质覆盖吸附，搅拌后集中交具有相关危废处理资质的单位进行处理。</w:t>
            </w:r>
          </w:p>
          <w:p>
            <w:pPr>
              <w:pStyle w:val="137"/>
              <w:adjustRightInd/>
              <w:spacing w:line="480" w:lineRule="exact"/>
              <w:ind w:firstLineChars="200"/>
              <w:rPr>
                <w:rFonts w:eastAsia="宋体"/>
                <w:szCs w:val="24"/>
              </w:rPr>
            </w:pPr>
            <w:r>
              <w:rPr>
                <w:rFonts w:hint="eastAsia" w:ascii="宋体" w:hAnsi="宋体" w:eastAsia="宋体" w:cs="宋体"/>
                <w:szCs w:val="24"/>
              </w:rPr>
              <w:t>③</w:t>
            </w:r>
            <w:r>
              <w:rPr>
                <w:rFonts w:eastAsia="宋体"/>
                <w:szCs w:val="24"/>
              </w:rPr>
              <w:t>废蓄电池拆解的过程中要专业人员操作，避免拆解过程中造成废蓄电池的破损，导致废酸液和铅重金属物质的泄漏，对环境造成污染。铅酸蓄电池运输前应进行合理包装，防止运输过程出现泄漏。不得擅自倾倒、丢弃废铅酸蓄电池中的电解液。废电池的收集包装应当使用专用的具有相应分类标识的收集装置。收集、运输、贮存废铅酸蓄电池的容器应根据废铅酸蓄电池的特性而设计，不易破损、变形，其所用材料能有效地防止渗漏、扩散，并耐酸腐蚀。装有废铅酸蓄电池的容器必须粘贴符合GB 18597中附录A 所要求的危险废物标签。在废铅酸蓄电池的收集、运输过程中应当保持外壳的完整，并且采取必要措施防止酸液外泄。</w:t>
            </w:r>
          </w:p>
          <w:p>
            <w:pPr>
              <w:pStyle w:val="137"/>
              <w:adjustRightInd/>
              <w:spacing w:line="480" w:lineRule="exact"/>
              <w:ind w:firstLineChars="200"/>
              <w:rPr>
                <w:rFonts w:eastAsia="宋体"/>
                <w:szCs w:val="24"/>
              </w:rPr>
            </w:pPr>
            <w:r>
              <w:rPr>
                <w:rFonts w:eastAsia="宋体"/>
                <w:szCs w:val="24"/>
              </w:rPr>
              <w:t>若蓄电池破损有硫酸流出的，一般不要动蓄电池，要将不漏酸的容器和可燃物立即移开，将硫酸从漏酸容器中转移到其它耐酸容器中。对于泄漏的少量硫酸，可用砂土、煤灰等吸附介质覆盖吸附，搅拌后集中交具有相关危废处理资质的单位进行处理；固态类危废间分别设置砂土、煤灰等吸附介质（塑料桶装）。</w:t>
            </w:r>
          </w:p>
          <w:p>
            <w:pPr>
              <w:pStyle w:val="137"/>
              <w:adjustRightInd/>
              <w:spacing w:line="480" w:lineRule="exact"/>
              <w:ind w:firstLineChars="200"/>
              <w:rPr>
                <w:rFonts w:eastAsia="宋体"/>
                <w:szCs w:val="24"/>
              </w:rPr>
            </w:pPr>
            <w:r>
              <w:rPr>
                <w:rFonts w:hint="eastAsia" w:ascii="宋体" w:hAnsi="宋体" w:eastAsia="宋体" w:cs="宋体"/>
                <w:szCs w:val="24"/>
              </w:rPr>
              <w:t>④</w:t>
            </w:r>
            <w:r>
              <w:rPr>
                <w:rFonts w:eastAsia="宋体"/>
                <w:szCs w:val="24"/>
              </w:rPr>
              <w:t>拆解油箱及燃气瓶过程中，建议戴自给式呼吸器，严禁明火、金属碰撞，严禁穿钉鞋；要用防爆工具；拆解作业区要设置固定泡沫消防设备，并配有小型干粉、二氧化碳等灭火器，定期巡回检查。贮存于污染物控制区时要遵守《危险废物贮存污染控制标准》（GB18597-2001）置和应急防护设施。</w:t>
            </w:r>
          </w:p>
          <w:p>
            <w:pPr>
              <w:pStyle w:val="128"/>
              <w:spacing w:line="480" w:lineRule="exact"/>
              <w:ind w:firstLine="480"/>
            </w:pPr>
            <w:r>
              <w:rPr>
                <w:rFonts w:hint="eastAsia" w:ascii="宋体" w:hAnsi="宋体"/>
                <w:szCs w:val="24"/>
              </w:rPr>
              <w:t>⑤安全气囊引爆在专门的密闭式安全气囊引爆装置进行，</w:t>
            </w:r>
            <w:r>
              <w:rPr>
                <w:rFonts w:hint="eastAsia"/>
                <w:bCs/>
              </w:rPr>
              <w:t>密闭式安全气囊引爆装置工作时需在负压条件下引爆，</w:t>
            </w:r>
            <w:r>
              <w:rPr>
                <w:rFonts w:hint="eastAsia"/>
              </w:rPr>
              <w:t>不能成功引爆的安全气囊交由有相应资质的单位进行引爆，</w:t>
            </w:r>
            <w:r>
              <w:rPr>
                <w:rFonts w:hint="eastAsia" w:ascii="宋体" w:hAnsi="宋体"/>
                <w:szCs w:val="24"/>
              </w:rPr>
              <w:t>车间设置通风设施。</w:t>
            </w:r>
          </w:p>
          <w:p>
            <w:pPr>
              <w:pStyle w:val="137"/>
              <w:adjustRightInd/>
              <w:spacing w:line="480" w:lineRule="exact"/>
              <w:ind w:firstLineChars="200"/>
              <w:rPr>
                <w:rFonts w:eastAsia="宋体"/>
                <w:szCs w:val="24"/>
              </w:rPr>
            </w:pPr>
            <w:r>
              <w:rPr>
                <w:rFonts w:eastAsia="宋体"/>
                <w:szCs w:val="24"/>
              </w:rPr>
              <w:t>2）储存过程环境风险防范措施</w:t>
            </w:r>
          </w:p>
          <w:p>
            <w:pPr>
              <w:pStyle w:val="137"/>
              <w:adjustRightInd/>
              <w:spacing w:line="480" w:lineRule="exact"/>
              <w:ind w:firstLine="420" w:firstLineChars="175"/>
              <w:rPr>
                <w:rFonts w:eastAsia="宋体"/>
                <w:szCs w:val="24"/>
              </w:rPr>
            </w:pPr>
            <w:r>
              <w:rPr>
                <w:rFonts w:hint="eastAsia" w:ascii="宋体" w:hAnsi="宋体" w:eastAsia="宋体" w:cs="宋体"/>
                <w:szCs w:val="24"/>
              </w:rPr>
              <w:t>①按照重点和简单进行分区防渗，其中</w:t>
            </w:r>
            <w:r>
              <w:rPr>
                <w:rFonts w:hint="eastAsia" w:eastAsia="宋体"/>
                <w:kern w:val="0"/>
              </w:rPr>
              <w:t>废蓄电池拆解区和储存区地面需做防酸、防腐、防渗、硬化及绝缘处理，</w:t>
            </w:r>
            <w:r>
              <w:rPr>
                <w:rFonts w:eastAsia="宋体"/>
                <w:kern w:val="0"/>
              </w:rPr>
              <w:t>废铅蓄电池</w:t>
            </w:r>
            <w:r>
              <w:rPr>
                <w:rFonts w:hint="eastAsia" w:eastAsia="宋体"/>
                <w:kern w:val="0"/>
              </w:rPr>
              <w:t>拆解区和储存区的地面应做防酸、防腐、防渗及硬化处理</w:t>
            </w:r>
            <w:r>
              <w:rPr>
                <w:rFonts w:hint="eastAsia" w:ascii="宋体" w:hAnsi="宋体" w:eastAsia="宋体" w:cs="宋体"/>
                <w:szCs w:val="24"/>
              </w:rPr>
              <w:t>；</w:t>
            </w:r>
            <w:r>
              <w:rPr>
                <w:rFonts w:hint="eastAsia" w:eastAsia="宋体"/>
                <w:kern w:val="0"/>
                <w:szCs w:val="21"/>
              </w:rPr>
              <w:t>并配套</w:t>
            </w:r>
            <w:r>
              <w:rPr>
                <w:rFonts w:eastAsia="宋体"/>
                <w:kern w:val="0"/>
                <w:szCs w:val="21"/>
              </w:rPr>
              <w:t>导流沟</w:t>
            </w:r>
            <w:r>
              <w:rPr>
                <w:rFonts w:hint="eastAsia" w:eastAsia="宋体"/>
                <w:kern w:val="0"/>
                <w:szCs w:val="21"/>
              </w:rPr>
              <w:t>，分别为</w:t>
            </w:r>
            <w:r>
              <w:rPr>
                <w:rFonts w:eastAsia="宋体"/>
                <w:kern w:val="0"/>
                <w:szCs w:val="21"/>
              </w:rPr>
              <w:t>总成及其他零部件堆存区</w:t>
            </w:r>
            <w:r>
              <w:rPr>
                <w:rFonts w:eastAsia="宋体"/>
                <w:szCs w:val="24"/>
              </w:rPr>
              <w:t>防止各种原料危化品、液体类危险废物漫流或泄漏。</w:t>
            </w:r>
          </w:p>
          <w:p>
            <w:pPr>
              <w:spacing w:line="480" w:lineRule="exact"/>
              <w:ind w:firstLine="480" w:firstLineChars="200"/>
              <w:rPr>
                <w:kern w:val="0"/>
                <w:sz w:val="24"/>
              </w:rPr>
            </w:pPr>
            <w:r>
              <w:rPr>
                <w:rFonts w:hint="eastAsia" w:ascii="宋体" w:hAnsi="宋体" w:cs="宋体"/>
                <w:sz w:val="24"/>
              </w:rPr>
              <w:t>②</w:t>
            </w:r>
            <w:r>
              <w:rPr>
                <w:kern w:val="0"/>
                <w:sz w:val="24"/>
              </w:rPr>
              <w:t>危险废物应存放于专门的收集容器，设置独立的存放空间场所避免于其他废旧物资混杂存放。各种危险废物应严格按照《危险废物贮存污染控制标准》（GB18597-2001）贮存，且在厂区内的贮存时间不得超过一年。</w:t>
            </w:r>
            <w:r>
              <w:rPr>
                <w:rFonts w:hint="eastAsia"/>
                <w:kern w:val="0"/>
                <w:sz w:val="24"/>
              </w:rPr>
              <w:t>另</w:t>
            </w:r>
            <w:r>
              <w:rPr>
                <w:kern w:val="0"/>
                <w:sz w:val="24"/>
              </w:rPr>
              <w:t>含有多氯联苯的废电容器采用双塞聚乙烯塑料桶或闭口钢桶收集暂存。</w:t>
            </w:r>
          </w:p>
          <w:p>
            <w:pPr>
              <w:spacing w:line="480" w:lineRule="exact"/>
              <w:ind w:firstLine="480" w:firstLineChars="200"/>
              <w:rPr>
                <w:kern w:val="0"/>
                <w:sz w:val="24"/>
              </w:rPr>
            </w:pPr>
            <w:r>
              <w:rPr>
                <w:rFonts w:hint="eastAsia"/>
                <w:kern w:val="0"/>
                <w:sz w:val="24"/>
              </w:rPr>
              <w:t>③柴油、润滑油、液压油包装桶</w:t>
            </w:r>
          </w:p>
          <w:p>
            <w:pPr>
              <w:spacing w:line="480" w:lineRule="exact"/>
              <w:ind w:firstLine="480" w:firstLineChars="200"/>
              <w:rPr>
                <w:kern w:val="0"/>
                <w:sz w:val="24"/>
              </w:rPr>
            </w:pPr>
            <w:r>
              <w:rPr>
                <w:rFonts w:hint="eastAsia"/>
                <w:kern w:val="0"/>
                <w:sz w:val="24"/>
              </w:rPr>
              <w:t>柴油、润滑油、液压油包装桶装存放于原辅料库房，下设托盘 ，存放区域地面需进行重点防渗，可有效防止柴油、润滑油、液压油泄漏对土壤、地下水的影响。</w:t>
            </w:r>
          </w:p>
          <w:p>
            <w:pPr>
              <w:spacing w:line="480" w:lineRule="exact"/>
              <w:ind w:firstLine="480" w:firstLineChars="200"/>
              <w:jc w:val="left"/>
              <w:rPr>
                <w:rFonts w:ascii="宋体" w:hAnsi="宋体" w:cs="宋体"/>
                <w:kern w:val="0"/>
                <w:sz w:val="24"/>
              </w:rPr>
            </w:pPr>
            <w:r>
              <w:rPr>
                <w:rFonts w:hint="eastAsia" w:ascii="宋体" w:hAnsi="宋体" w:cs="宋体"/>
                <w:kern w:val="0"/>
                <w:sz w:val="24"/>
              </w:rPr>
              <w:t>③事故池设置（工厂级）</w:t>
            </w:r>
          </w:p>
          <w:p>
            <w:pPr>
              <w:spacing w:line="480" w:lineRule="exact"/>
              <w:ind w:firstLine="480"/>
              <w:rPr>
                <w:sz w:val="24"/>
              </w:rPr>
            </w:pPr>
            <w:r>
              <w:rPr>
                <w:rFonts w:hint="eastAsia"/>
                <w:sz w:val="24"/>
              </w:rPr>
              <w:t>根据《水体污染防控紧急措施设计导则》计算事故池最小容积，事故储存设施总有效容积计算公式为：</w:t>
            </w:r>
          </w:p>
          <w:p>
            <w:pPr>
              <w:spacing w:before="156" w:after="156" w:line="480" w:lineRule="exact"/>
              <w:ind w:firstLine="480"/>
              <w:jc w:val="center"/>
              <w:rPr>
                <w:sz w:val="24"/>
              </w:rPr>
            </w:pPr>
            <w:r>
              <w:rPr>
                <w:rFonts w:hint="eastAsia"/>
                <w:sz w:val="24"/>
              </w:rPr>
              <w:t>V</w:t>
            </w:r>
            <w:r>
              <w:rPr>
                <w:rFonts w:hint="eastAsia"/>
                <w:sz w:val="24"/>
                <w:vertAlign w:val="subscript"/>
              </w:rPr>
              <w:t>总</w:t>
            </w:r>
            <w:r>
              <w:rPr>
                <w:rFonts w:hint="eastAsia"/>
                <w:sz w:val="24"/>
              </w:rPr>
              <w:t>=（V</w:t>
            </w:r>
            <w:r>
              <w:rPr>
                <w:rFonts w:hint="eastAsia"/>
                <w:sz w:val="24"/>
                <w:vertAlign w:val="subscript"/>
              </w:rPr>
              <w:t>1</w:t>
            </w:r>
            <w:r>
              <w:rPr>
                <w:rFonts w:hint="eastAsia"/>
                <w:sz w:val="24"/>
              </w:rPr>
              <w:t>+V</w:t>
            </w:r>
            <w:r>
              <w:rPr>
                <w:rFonts w:hint="eastAsia"/>
                <w:sz w:val="24"/>
                <w:vertAlign w:val="subscript"/>
              </w:rPr>
              <w:t>2</w:t>
            </w:r>
            <w:r>
              <w:rPr>
                <w:rFonts w:hint="eastAsia"/>
                <w:sz w:val="24"/>
              </w:rPr>
              <w:t>-V</w:t>
            </w:r>
            <w:r>
              <w:rPr>
                <w:rFonts w:hint="eastAsia"/>
                <w:sz w:val="24"/>
                <w:vertAlign w:val="subscript"/>
              </w:rPr>
              <w:t>3</w:t>
            </w:r>
            <w:r>
              <w:rPr>
                <w:rFonts w:hint="eastAsia"/>
                <w:sz w:val="24"/>
              </w:rPr>
              <w:t>）</w:t>
            </w:r>
            <w:r>
              <w:rPr>
                <w:rFonts w:hint="eastAsia"/>
                <w:sz w:val="24"/>
                <w:vertAlign w:val="subscript"/>
              </w:rPr>
              <w:t>max</w:t>
            </w:r>
            <w:r>
              <w:rPr>
                <w:rFonts w:hint="eastAsia"/>
                <w:sz w:val="24"/>
              </w:rPr>
              <w:t>+V</w:t>
            </w:r>
            <w:r>
              <w:rPr>
                <w:rFonts w:hint="eastAsia"/>
                <w:sz w:val="24"/>
                <w:vertAlign w:val="subscript"/>
              </w:rPr>
              <w:t>4</w:t>
            </w:r>
            <w:r>
              <w:rPr>
                <w:rFonts w:hint="eastAsia"/>
                <w:sz w:val="24"/>
              </w:rPr>
              <w:t>+V</w:t>
            </w:r>
            <w:r>
              <w:rPr>
                <w:rFonts w:hint="eastAsia"/>
                <w:sz w:val="24"/>
                <w:vertAlign w:val="subscript"/>
              </w:rPr>
              <w:t>5</w:t>
            </w:r>
          </w:p>
          <w:p>
            <w:pPr>
              <w:spacing w:line="480" w:lineRule="exact"/>
              <w:ind w:firstLine="480"/>
              <w:rPr>
                <w:sz w:val="24"/>
              </w:rPr>
            </w:pPr>
            <w:r>
              <w:rPr>
                <w:rFonts w:hint="eastAsia"/>
                <w:sz w:val="24"/>
              </w:rPr>
              <w:t>式中：V</w:t>
            </w:r>
            <w:r>
              <w:rPr>
                <w:rFonts w:hint="eastAsia"/>
                <w:sz w:val="24"/>
                <w:vertAlign w:val="subscript"/>
              </w:rPr>
              <w:t>1</w:t>
            </w:r>
            <w:r>
              <w:rPr>
                <w:rFonts w:hint="eastAsia"/>
                <w:sz w:val="24"/>
              </w:rPr>
              <w:t>—收集系统范围内发生事故的一个罐组或一套装置的物料量m</w:t>
            </w:r>
            <w:r>
              <w:rPr>
                <w:rFonts w:hint="eastAsia"/>
                <w:sz w:val="24"/>
                <w:vertAlign w:val="superscript"/>
              </w:rPr>
              <w:t>3</w:t>
            </w:r>
            <w:r>
              <w:rPr>
                <w:rFonts w:hint="eastAsia"/>
                <w:sz w:val="24"/>
              </w:rPr>
              <w:t>（储存相同物料的罐组按一个最大储罐计，装置物料量按存留最大物料量的一台反应器或中间储罐计）；</w:t>
            </w:r>
          </w:p>
          <w:p>
            <w:pPr>
              <w:spacing w:line="480" w:lineRule="exact"/>
              <w:ind w:firstLine="480"/>
              <w:rPr>
                <w:sz w:val="24"/>
              </w:rPr>
            </w:pPr>
            <w:r>
              <w:rPr>
                <w:rFonts w:hint="eastAsia"/>
                <w:sz w:val="24"/>
              </w:rPr>
              <w:t>V</w:t>
            </w:r>
            <w:r>
              <w:rPr>
                <w:rFonts w:hint="eastAsia"/>
                <w:sz w:val="24"/>
                <w:vertAlign w:val="subscript"/>
              </w:rPr>
              <w:t>2</w:t>
            </w:r>
            <w:r>
              <w:rPr>
                <w:rFonts w:hint="eastAsia"/>
                <w:sz w:val="24"/>
              </w:rPr>
              <w:t>—发生事故的库区或装置的消防水量，m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V</w:t>
            </w:r>
            <w:r>
              <w:rPr>
                <w:rFonts w:hint="eastAsia"/>
                <w:sz w:val="24"/>
                <w:vertAlign w:val="subscript"/>
              </w:rPr>
              <w:t>3</w:t>
            </w:r>
            <w:r>
              <w:rPr>
                <w:rFonts w:hint="eastAsia"/>
                <w:sz w:val="24"/>
              </w:rPr>
              <w:t>—发生事故时可以转输到其他设施的物料量，m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V</w:t>
            </w:r>
            <w:r>
              <w:rPr>
                <w:rFonts w:hint="eastAsia"/>
                <w:sz w:val="24"/>
                <w:vertAlign w:val="subscript"/>
              </w:rPr>
              <w:t>4</w:t>
            </w:r>
            <w:r>
              <w:rPr>
                <w:rFonts w:hint="eastAsia"/>
                <w:sz w:val="24"/>
              </w:rPr>
              <w:t>—发生事故时仍必须进入该收集系统的生产废水量，m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V</w:t>
            </w:r>
            <w:r>
              <w:rPr>
                <w:rFonts w:hint="eastAsia"/>
                <w:sz w:val="24"/>
                <w:vertAlign w:val="subscript"/>
              </w:rPr>
              <w:t>5</w:t>
            </w:r>
            <w:r>
              <w:rPr>
                <w:rFonts w:hint="eastAsia"/>
                <w:sz w:val="24"/>
              </w:rPr>
              <w:t>—发生事故时可能进入该收集系统的降雨量，m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泄漏物料V</w:t>
            </w:r>
            <w:r>
              <w:rPr>
                <w:rFonts w:hint="eastAsia"/>
                <w:sz w:val="24"/>
                <w:vertAlign w:val="subscript"/>
              </w:rPr>
              <w:t>1</w:t>
            </w:r>
            <w:r>
              <w:rPr>
                <w:rFonts w:hint="eastAsia"/>
                <w:sz w:val="24"/>
              </w:rPr>
              <w:t>：</w:t>
            </w:r>
            <w:r>
              <w:rPr>
                <w:sz w:val="24"/>
              </w:rPr>
              <w:t>拟建项目</w:t>
            </w:r>
            <w:r>
              <w:rPr>
                <w:rFonts w:hint="eastAsia"/>
                <w:sz w:val="24"/>
              </w:rPr>
              <w:t>库房</w:t>
            </w:r>
            <w:r>
              <w:rPr>
                <w:sz w:val="24"/>
              </w:rPr>
              <w:t>地面设置地沟连通事故池，最多考虑一桶</w:t>
            </w:r>
            <w:r>
              <w:rPr>
                <w:rFonts w:hint="eastAsia"/>
                <w:sz w:val="24"/>
              </w:rPr>
              <w:t>液压油</w:t>
            </w:r>
            <w:r>
              <w:rPr>
                <w:sz w:val="24"/>
              </w:rPr>
              <w:t>泄漏（18</w:t>
            </w:r>
            <w:r>
              <w:rPr>
                <w:rFonts w:hint="eastAsia"/>
                <w:sz w:val="24"/>
              </w:rPr>
              <w:t>L</w:t>
            </w:r>
            <w:r>
              <w:rPr>
                <w:sz w:val="24"/>
              </w:rPr>
              <w:t>/桶），因此，可能泄漏的量为</w:t>
            </w:r>
            <w:r>
              <w:rPr>
                <w:rFonts w:hint="eastAsia"/>
                <w:sz w:val="24"/>
              </w:rPr>
              <w:t>0.02</w:t>
            </w:r>
            <w:r>
              <w:rPr>
                <w:sz w:val="24"/>
              </w:rPr>
              <w:t>m</w:t>
            </w:r>
            <w:r>
              <w:rPr>
                <w:sz w:val="24"/>
                <w:vertAlign w:val="superscript"/>
              </w:rPr>
              <w:t>3</w:t>
            </w:r>
            <w:r>
              <w:rPr>
                <w:sz w:val="24"/>
              </w:rPr>
              <w:t>。</w:t>
            </w:r>
          </w:p>
          <w:p>
            <w:pPr>
              <w:spacing w:line="480" w:lineRule="exact"/>
              <w:ind w:firstLine="480"/>
              <w:rPr>
                <w:sz w:val="24"/>
              </w:rPr>
            </w:pPr>
            <w:r>
              <w:rPr>
                <w:rFonts w:hint="eastAsia"/>
                <w:sz w:val="24"/>
              </w:rPr>
              <w:t>②消防废水V</w:t>
            </w:r>
            <w:r>
              <w:rPr>
                <w:rFonts w:hint="eastAsia"/>
                <w:sz w:val="24"/>
                <w:vertAlign w:val="subscript"/>
              </w:rPr>
              <w:t>2</w:t>
            </w:r>
            <w:r>
              <w:rPr>
                <w:rFonts w:hint="eastAsia"/>
                <w:sz w:val="24"/>
              </w:rPr>
              <w:t>：</w:t>
            </w:r>
            <w:r>
              <w:rPr>
                <w:sz w:val="24"/>
              </w:rPr>
              <w:t>消防用水量</w:t>
            </w:r>
            <w:r>
              <w:rPr>
                <w:rFonts w:hint="eastAsia"/>
                <w:sz w:val="24"/>
              </w:rPr>
              <w:t>根据《建筑设计防火规范》（GB50016-2014）、《石油化工企业设计防火标准》（GB50160-2008）（2018年版）、《消防给水及消火栓系统技术规范》（GB50974-2014）有关规定进行取值，火灾延续时间考虑为3h，设计消防水量为45L/s，生产单元一次消防水量为486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③转输物料量V</w:t>
            </w:r>
            <w:r>
              <w:rPr>
                <w:rFonts w:hint="eastAsia"/>
                <w:sz w:val="24"/>
                <w:vertAlign w:val="subscript"/>
              </w:rPr>
              <w:t>3</w:t>
            </w:r>
            <w:r>
              <w:rPr>
                <w:rFonts w:hint="eastAsia"/>
                <w:sz w:val="24"/>
              </w:rPr>
              <w:t>：转输物料量为0m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④事故状态下可能进入该收集系统的生产废水V</w:t>
            </w:r>
            <w:r>
              <w:rPr>
                <w:rFonts w:hint="eastAsia"/>
                <w:sz w:val="24"/>
                <w:vertAlign w:val="subscript"/>
              </w:rPr>
              <w:t>4</w:t>
            </w:r>
            <w:r>
              <w:rPr>
                <w:rFonts w:hint="eastAsia"/>
                <w:sz w:val="24"/>
              </w:rPr>
              <w:t>：0m</w:t>
            </w:r>
            <w:r>
              <w:rPr>
                <w:rFonts w:hint="eastAsia"/>
                <w:sz w:val="24"/>
                <w:vertAlign w:val="superscript"/>
              </w:rPr>
              <w:t>3</w:t>
            </w:r>
            <w:r>
              <w:rPr>
                <w:rFonts w:hint="eastAsia"/>
                <w:sz w:val="24"/>
              </w:rPr>
              <w:t>；</w:t>
            </w:r>
          </w:p>
          <w:p>
            <w:pPr>
              <w:spacing w:line="480" w:lineRule="exact"/>
              <w:ind w:firstLine="480"/>
              <w:rPr>
                <w:sz w:val="24"/>
              </w:rPr>
            </w:pPr>
            <w:r>
              <w:rPr>
                <w:rFonts w:hint="eastAsia"/>
                <w:sz w:val="24"/>
              </w:rPr>
              <w:t>⑤降雨量V</w:t>
            </w:r>
            <w:r>
              <w:rPr>
                <w:rFonts w:hint="eastAsia"/>
                <w:sz w:val="24"/>
                <w:vertAlign w:val="subscript"/>
              </w:rPr>
              <w:t>5</w:t>
            </w:r>
            <w:r>
              <w:rPr>
                <w:rFonts w:hint="eastAsia"/>
                <w:sz w:val="24"/>
              </w:rPr>
              <w:t>，本评价按最不利的暴雨情况下，前15mim产生的初期雨水计算：</w:t>
            </w:r>
          </w:p>
          <w:p>
            <w:pPr>
              <w:spacing w:line="480" w:lineRule="exact"/>
              <w:ind w:firstLine="480"/>
              <w:jc w:val="center"/>
              <w:rPr>
                <w:sz w:val="24"/>
              </w:rPr>
            </w:pPr>
            <w:r>
              <w:rPr>
                <w:rFonts w:hint="eastAsia"/>
                <w:sz w:val="24"/>
              </w:rPr>
              <w:t>V=Qt</w:t>
            </w:r>
          </w:p>
          <w:p>
            <w:pPr>
              <w:spacing w:line="480" w:lineRule="exact"/>
              <w:ind w:firstLine="480"/>
              <w:jc w:val="center"/>
              <w:rPr>
                <w:sz w:val="24"/>
              </w:rPr>
            </w:pPr>
            <w:r>
              <w:rPr>
                <w:sz w:val="24"/>
              </w:rPr>
              <w:t>Q= qψF</w:t>
            </w:r>
          </w:p>
          <w:p>
            <w:pPr>
              <w:spacing w:line="480" w:lineRule="exact"/>
              <w:ind w:firstLine="480"/>
              <w:rPr>
                <w:sz w:val="24"/>
              </w:rPr>
            </w:pPr>
            <w:r>
              <w:rPr>
                <w:rFonts w:hint="eastAsia"/>
                <w:sz w:val="24"/>
              </w:rPr>
              <w:t>式中：V—发生事故时可能进入该收集系统的降雨量，m</w:t>
            </w:r>
            <w:r>
              <w:rPr>
                <w:rFonts w:hint="eastAsia"/>
                <w:sz w:val="24"/>
                <w:vertAlign w:val="superscript"/>
              </w:rPr>
              <w:t>3</w:t>
            </w:r>
            <w:r>
              <w:rPr>
                <w:rFonts w:hint="eastAsia"/>
                <w:sz w:val="24"/>
              </w:rPr>
              <w:t>。</w:t>
            </w:r>
          </w:p>
          <w:p>
            <w:pPr>
              <w:spacing w:line="480" w:lineRule="exact"/>
              <w:ind w:firstLine="1168" w:firstLineChars="487"/>
              <w:rPr>
                <w:sz w:val="24"/>
              </w:rPr>
            </w:pPr>
            <w:r>
              <w:rPr>
                <w:rFonts w:hint="eastAsia"/>
                <w:sz w:val="24"/>
              </w:rPr>
              <w:t>Q—雨水设计流量（L/s）；</w:t>
            </w:r>
          </w:p>
          <w:p>
            <w:pPr>
              <w:spacing w:line="480" w:lineRule="exact"/>
              <w:ind w:firstLine="1168" w:firstLineChars="487"/>
              <w:rPr>
                <w:sz w:val="24"/>
              </w:rPr>
            </w:pPr>
            <w:r>
              <w:rPr>
                <w:rFonts w:hint="eastAsia"/>
                <w:sz w:val="24"/>
              </w:rPr>
              <w:t>q—设计暴雨强度（L/s•ha）；</w:t>
            </w:r>
          </w:p>
          <w:p>
            <w:pPr>
              <w:spacing w:line="480" w:lineRule="exact"/>
              <w:ind w:firstLine="1168" w:firstLineChars="487"/>
              <w:rPr>
                <w:sz w:val="24"/>
              </w:rPr>
            </w:pPr>
            <w:r>
              <w:rPr>
                <w:rFonts w:hint="eastAsia"/>
                <w:sz w:val="24"/>
              </w:rPr>
              <w:t>ψ—径流系数（0.4-0.9，取0.5）；</w:t>
            </w:r>
          </w:p>
          <w:p>
            <w:pPr>
              <w:spacing w:line="480" w:lineRule="exact"/>
              <w:ind w:firstLine="1168" w:firstLineChars="487"/>
              <w:rPr>
                <w:sz w:val="24"/>
              </w:rPr>
            </w:pPr>
            <w:r>
              <w:rPr>
                <w:rFonts w:hint="eastAsia"/>
                <w:sz w:val="24"/>
              </w:rPr>
              <w:t>F—汇水面积，约</w:t>
            </w:r>
            <w:r>
              <w:rPr>
                <w:sz w:val="24"/>
              </w:rPr>
              <w:t>0.3</w:t>
            </w:r>
            <w:r>
              <w:rPr>
                <w:rFonts w:hint="eastAsia"/>
                <w:sz w:val="24"/>
              </w:rPr>
              <w:t>ha。</w:t>
            </w:r>
          </w:p>
          <w:p>
            <w:pPr>
              <w:spacing w:line="480" w:lineRule="exact"/>
              <w:ind w:firstLine="480"/>
              <w:rPr>
                <w:sz w:val="24"/>
              </w:rPr>
            </w:pPr>
            <w:r>
              <w:rPr>
                <w:rFonts w:hint="eastAsia"/>
                <w:sz w:val="24"/>
              </w:rPr>
              <w:t>根据《重庆市城乡建设委员会关于发布重庆市暴雨强度修订公式及设计暴雨雨型的通知》（渝建〔2017〕443号文），大足区暴雨强度公式如下：</w:t>
            </w:r>
          </w:p>
          <w:p>
            <w:pPr>
              <w:spacing w:line="480" w:lineRule="exact"/>
              <w:ind w:firstLine="480"/>
              <w:rPr>
                <w:sz w:val="24"/>
              </w:rPr>
            </w:pPr>
          </w:p>
          <w:p>
            <w:pPr>
              <w:spacing w:line="480" w:lineRule="exact"/>
              <w:ind w:firstLine="480"/>
              <w:rPr>
                <w:sz w:val="24"/>
              </w:rPr>
            </w:pPr>
          </w:p>
          <w:p>
            <w:pPr>
              <w:spacing w:line="480" w:lineRule="exact"/>
              <w:ind w:firstLine="480"/>
              <w:rPr>
                <w:sz w:val="24"/>
              </w:rPr>
            </w:pPr>
            <w:r>
              <w:drawing>
                <wp:inline distT="0" distB="0" distL="0" distR="0">
                  <wp:extent cx="2842895" cy="70612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8"/>
                          <a:stretch>
                            <a:fillRect/>
                          </a:stretch>
                        </pic:blipFill>
                        <pic:spPr>
                          <a:xfrm>
                            <a:off x="0" y="0"/>
                            <a:ext cx="2843213" cy="706671"/>
                          </a:xfrm>
                          <a:prstGeom prst="rect">
                            <a:avLst/>
                          </a:prstGeom>
                        </pic:spPr>
                      </pic:pic>
                    </a:graphicData>
                  </a:graphic>
                </wp:inline>
              </w:drawing>
            </w:r>
          </w:p>
          <w:p>
            <w:pPr>
              <w:spacing w:line="480" w:lineRule="exact"/>
              <w:ind w:firstLine="480"/>
              <w:rPr>
                <w:sz w:val="24"/>
              </w:rPr>
            </w:pPr>
            <w:r>
              <w:rPr>
                <w:rFonts w:hint="eastAsia"/>
                <w:sz w:val="24"/>
              </w:rPr>
              <w:t>式中：重现期P=3年、地面集流时间t=15min，计算得设计暴雨强度q=2</w:t>
            </w:r>
            <w:r>
              <w:rPr>
                <w:sz w:val="24"/>
              </w:rPr>
              <w:t>57.65</w:t>
            </w:r>
            <w:r>
              <w:rPr>
                <w:rFonts w:hint="eastAsia"/>
                <w:sz w:val="24"/>
              </w:rPr>
              <w:t>(升/ 秒•公顷)，雨水设计流量Q=</w:t>
            </w:r>
            <w:r>
              <w:rPr>
                <w:sz w:val="24"/>
              </w:rPr>
              <w:t>38.65</w:t>
            </w:r>
            <w:r>
              <w:rPr>
                <w:rFonts w:hint="eastAsia"/>
                <w:sz w:val="24"/>
              </w:rPr>
              <w:t>（L/s），历时15min，降雨量V=</w:t>
            </w:r>
            <w:r>
              <w:rPr>
                <w:sz w:val="24"/>
              </w:rPr>
              <w:t>34.79</w:t>
            </w:r>
            <w:r>
              <w:rPr>
                <w:rFonts w:hint="eastAsia"/>
                <w:sz w:val="24"/>
              </w:rPr>
              <w:t>m</w:t>
            </w:r>
            <w:r>
              <w:rPr>
                <w:rFonts w:hint="eastAsia"/>
                <w:sz w:val="24"/>
                <w:vertAlign w:val="superscript"/>
              </w:rPr>
              <w:t>3</w:t>
            </w:r>
            <w:r>
              <w:rPr>
                <w:rFonts w:hint="eastAsia"/>
                <w:sz w:val="24"/>
              </w:rPr>
              <w:t>。该初期雨水收集进入厂区事故池。</w:t>
            </w:r>
          </w:p>
          <w:p>
            <w:pPr>
              <w:adjustRightInd w:val="0"/>
              <w:snapToGrid w:val="0"/>
              <w:spacing w:line="480" w:lineRule="exact"/>
              <w:ind w:firstLine="480"/>
              <w:rPr>
                <w:sz w:val="24"/>
              </w:rPr>
            </w:pPr>
            <w:r>
              <w:rPr>
                <w:rFonts w:hint="eastAsia"/>
                <w:sz w:val="24"/>
              </w:rPr>
              <w:t>综上所述，事故状况下最大可能的废水量为</w:t>
            </w:r>
            <w:r>
              <w:rPr>
                <w:sz w:val="24"/>
              </w:rPr>
              <w:t>0.02</w:t>
            </w:r>
            <w:r>
              <w:rPr>
                <w:rFonts w:hint="eastAsia"/>
                <w:sz w:val="24"/>
              </w:rPr>
              <w:t>+486+</w:t>
            </w:r>
            <w:r>
              <w:rPr>
                <w:sz w:val="24"/>
              </w:rPr>
              <w:t>34.79</w:t>
            </w:r>
            <w:r>
              <w:rPr>
                <w:rFonts w:hint="eastAsia"/>
                <w:sz w:val="24"/>
              </w:rPr>
              <w:t>=</w:t>
            </w:r>
            <w:r>
              <w:rPr>
                <w:sz w:val="24"/>
              </w:rPr>
              <w:t>520.81</w:t>
            </w:r>
            <w:r>
              <w:rPr>
                <w:rFonts w:hint="eastAsia"/>
                <w:sz w:val="24"/>
              </w:rPr>
              <w:t>m</w:t>
            </w:r>
            <w:r>
              <w:rPr>
                <w:rFonts w:hint="eastAsia"/>
                <w:sz w:val="24"/>
                <w:vertAlign w:val="superscript"/>
              </w:rPr>
              <w:t>3</w:t>
            </w:r>
            <w:r>
              <w:rPr>
                <w:rFonts w:hint="eastAsia"/>
                <w:sz w:val="24"/>
              </w:rPr>
              <w:t>。</w:t>
            </w:r>
          </w:p>
          <w:p>
            <w:pPr>
              <w:spacing w:line="480" w:lineRule="exact"/>
              <w:ind w:firstLine="480" w:firstLineChars="200"/>
              <w:jc w:val="left"/>
              <w:rPr>
                <w:rFonts w:ascii="宋体" w:hAnsi="宋体" w:cs="宋体"/>
                <w:kern w:val="0"/>
                <w:sz w:val="24"/>
              </w:rPr>
            </w:pPr>
            <w:r>
              <w:rPr>
                <w:rFonts w:hint="eastAsia"/>
                <w:bCs/>
                <w:sz w:val="24"/>
              </w:rPr>
              <w:t>厂区拟建有效容积为</w:t>
            </w:r>
            <w:r>
              <w:rPr>
                <w:bCs/>
                <w:sz w:val="24"/>
              </w:rPr>
              <w:t>550</w:t>
            </w:r>
            <w:r>
              <w:rPr>
                <w:rFonts w:hint="eastAsia"/>
                <w:bCs/>
                <w:sz w:val="24"/>
              </w:rPr>
              <w:t>m</w:t>
            </w:r>
            <w:r>
              <w:rPr>
                <w:rFonts w:hint="eastAsia"/>
                <w:bCs/>
                <w:sz w:val="24"/>
                <w:vertAlign w:val="superscript"/>
              </w:rPr>
              <w:t>3</w:t>
            </w:r>
            <w:r>
              <w:rPr>
                <w:rFonts w:hint="eastAsia"/>
                <w:bCs/>
                <w:sz w:val="24"/>
              </w:rPr>
              <w:t>的事故池及配套设置的事故废水收集管网系统的雨污切换阀，能满足一次最大事故废水量的收集要求。事故池位于厂区东南侧，在厂区标高的低位。发生事故时，将厂区雨水管道从流向市政雨水管网通过“雨污切换阀”切换至事故池，产生的事故废水、初期雨水进入事故池，防止事故废水流出厂区。另外事故池设置了水泵，事故结束后，将事故池内的收集的事故废水泵送至厂区污水处理站进行处理后排放。</w:t>
            </w:r>
          </w:p>
          <w:p>
            <w:pPr>
              <w:spacing w:line="480" w:lineRule="exact"/>
              <w:ind w:firstLine="480" w:firstLineChars="200"/>
              <w:rPr>
                <w:szCs w:val="21"/>
              </w:rPr>
            </w:pPr>
            <w:r>
              <w:rPr>
                <w:rFonts w:hint="eastAsia"/>
                <w:sz w:val="24"/>
              </w:rPr>
              <w:t>另</w:t>
            </w:r>
            <w:r>
              <w:rPr>
                <w:rFonts w:hint="eastAsia"/>
                <w:kern w:val="0"/>
                <w:sz w:val="24"/>
                <w:szCs w:val="20"/>
              </w:rPr>
              <w:t>根据《</w:t>
            </w:r>
            <w:r>
              <w:rPr>
                <w:kern w:val="0"/>
                <w:sz w:val="24"/>
                <w:szCs w:val="20"/>
              </w:rPr>
              <w:t>报废机动车拆解</w:t>
            </w:r>
            <w:r>
              <w:rPr>
                <w:rFonts w:hint="eastAsia"/>
                <w:kern w:val="0"/>
                <w:sz w:val="24"/>
                <w:szCs w:val="20"/>
              </w:rPr>
              <w:t>企业污染控制</w:t>
            </w:r>
            <w:r>
              <w:rPr>
                <w:kern w:val="0"/>
                <w:sz w:val="24"/>
                <w:szCs w:val="20"/>
              </w:rPr>
              <w:t>技术规范</w:t>
            </w:r>
            <w:r>
              <w:rPr>
                <w:rFonts w:hint="eastAsia"/>
                <w:kern w:val="0"/>
                <w:sz w:val="24"/>
                <w:szCs w:val="20"/>
              </w:rPr>
              <w:t>》（HJ</w:t>
            </w:r>
            <w:r>
              <w:rPr>
                <w:kern w:val="0"/>
                <w:sz w:val="24"/>
                <w:szCs w:val="20"/>
              </w:rPr>
              <w:t>348</w:t>
            </w:r>
            <w:r>
              <w:rPr>
                <w:rFonts w:hint="eastAsia"/>
                <w:kern w:val="0"/>
                <w:sz w:val="24"/>
                <w:szCs w:val="20"/>
              </w:rPr>
              <w:t>-</w:t>
            </w:r>
            <w:r>
              <w:rPr>
                <w:kern w:val="0"/>
                <w:sz w:val="24"/>
                <w:szCs w:val="20"/>
              </w:rPr>
              <w:t>2022</w:t>
            </w:r>
            <w:r>
              <w:rPr>
                <w:rFonts w:hint="eastAsia"/>
                <w:kern w:val="0"/>
                <w:sz w:val="24"/>
                <w:szCs w:val="20"/>
              </w:rPr>
              <w:t>）的要求“初期污染雨水收集池的设置按照</w:t>
            </w:r>
            <w:r>
              <w:rPr>
                <w:kern w:val="0"/>
                <w:sz w:val="24"/>
                <w:szCs w:val="20"/>
              </w:rPr>
              <w:t>事故池</w:t>
            </w:r>
            <w:r>
              <w:rPr>
                <w:rFonts w:hint="eastAsia"/>
                <w:kern w:val="0"/>
                <w:sz w:val="24"/>
                <w:szCs w:val="20"/>
              </w:rPr>
              <w:t>参照GB/T50483执行”。根据《化工建设项目环境保护工程设计标准》（GB/T 50483-</w:t>
            </w:r>
            <w:r>
              <w:rPr>
                <w:kern w:val="0"/>
                <w:sz w:val="24"/>
                <w:szCs w:val="20"/>
              </w:rPr>
              <w:t>2019</w:t>
            </w:r>
            <w:r>
              <w:rPr>
                <w:rFonts w:hint="eastAsia"/>
                <w:kern w:val="0"/>
                <w:sz w:val="24"/>
                <w:szCs w:val="20"/>
              </w:rPr>
              <w:t>）里的6</w:t>
            </w:r>
            <w:r>
              <w:rPr>
                <w:kern w:val="0"/>
                <w:sz w:val="24"/>
                <w:szCs w:val="20"/>
              </w:rPr>
              <w:t>.6.3</w:t>
            </w:r>
            <w:r>
              <w:rPr>
                <w:rFonts w:hint="eastAsia"/>
                <w:kern w:val="0"/>
                <w:sz w:val="24"/>
                <w:szCs w:val="20"/>
              </w:rPr>
              <w:t>章节进行设置，主要为“水池容积应根据事故物料泄漏量、消防废水量、进入应急事故水池的降雨量等因素确定；宜采取地下式；应采取防渗、防腐、防洪、抗震等措施；事故废水中含有甲类、乙类、丙类物质时，火灾类别按丙类设计，事故状态下应按甲类运行管理；当事故期间事故废水必须转输时，转输泵及其备用泵的电源应按一级负荷确定；当不能满足一级负荷</w:t>
            </w:r>
            <w:bookmarkStart w:id="9" w:name="_GoBack"/>
            <w:bookmarkEnd w:id="9"/>
            <w:r>
              <w:rPr>
                <w:rFonts w:hint="eastAsia"/>
                <w:kern w:val="0"/>
                <w:sz w:val="24"/>
                <w:szCs w:val="20"/>
              </w:rPr>
              <w:t>要求时，应设双动力源，备用泵配置应与消防供水泵相一致。”</w:t>
            </w:r>
          </w:p>
          <w:p>
            <w:pPr>
              <w:pStyle w:val="20"/>
              <w:spacing w:after="0" w:line="480" w:lineRule="exact"/>
              <w:ind w:left="0" w:leftChars="0" w:firstLine="480"/>
              <w:rPr>
                <w:sz w:val="24"/>
              </w:rPr>
            </w:pPr>
            <w:r>
              <w:rPr>
                <w:sz w:val="24"/>
              </w:rPr>
              <w:t>综上所述，</w:t>
            </w:r>
            <w:r>
              <w:rPr>
                <w:rFonts w:hint="eastAsia"/>
                <w:sz w:val="24"/>
              </w:rPr>
              <w:t>拟建项目</w:t>
            </w:r>
            <w:r>
              <w:rPr>
                <w:sz w:val="24"/>
              </w:rPr>
              <w:t>设置有效容积550m</w:t>
            </w:r>
            <w:r>
              <w:rPr>
                <w:sz w:val="24"/>
                <w:vertAlign w:val="superscript"/>
              </w:rPr>
              <w:t>3</w:t>
            </w:r>
            <w:r>
              <w:rPr>
                <w:sz w:val="24"/>
              </w:rPr>
              <w:t>的事故池，能满足项目事故废水收集要求，</w:t>
            </w:r>
            <w:r>
              <w:rPr>
                <w:rFonts w:hint="eastAsia"/>
                <w:sz w:val="24"/>
              </w:rPr>
              <w:t>拟采取地下式，设置备用泵和备用电源，</w:t>
            </w:r>
            <w:r>
              <w:rPr>
                <w:sz w:val="24"/>
              </w:rPr>
              <w:t>能确保事故废水不外流，实现将污染控制在厂区内的目的。</w:t>
            </w:r>
          </w:p>
          <w:p>
            <w:pPr>
              <w:spacing w:line="480" w:lineRule="exact"/>
              <w:ind w:firstLine="480" w:firstLineChars="200"/>
              <w:jc w:val="left"/>
              <w:rPr>
                <w:kern w:val="0"/>
                <w:sz w:val="24"/>
              </w:rPr>
            </w:pPr>
            <w:r>
              <w:rPr>
                <w:kern w:val="0"/>
                <w:sz w:val="24"/>
              </w:rPr>
              <w:t>3）厂区转运过程环境风险防范措施</w:t>
            </w:r>
          </w:p>
          <w:p>
            <w:pPr>
              <w:spacing w:line="480" w:lineRule="exact"/>
              <w:ind w:firstLine="480" w:firstLineChars="200"/>
              <w:jc w:val="left"/>
              <w:rPr>
                <w:kern w:val="0"/>
                <w:sz w:val="24"/>
              </w:rPr>
            </w:pPr>
            <w:r>
              <w:rPr>
                <w:kern w:val="0"/>
                <w:sz w:val="24"/>
              </w:rPr>
              <w:t>项目设置有电池周转箱、拆解件周转箱，项目拆解产生的完好蓄电池采用经人工分类后，完好的存放于木制托盘上，并用缠绕带进行包装，利用叉车运至存放区，尽快通知有资质的运输公司进行厂外转运；破损的蓄电池采用防腐周转箱转至危废暂存区分区单独存放。含有多氯联苯的废电容器采用双塞聚乙烯塑料桶收集后，采用叉车运至危废暂存区分区带桶存放。</w:t>
            </w:r>
          </w:p>
          <w:p>
            <w:pPr>
              <w:spacing w:line="480" w:lineRule="exact"/>
              <w:ind w:firstLine="480" w:firstLineChars="200"/>
              <w:jc w:val="left"/>
              <w:rPr>
                <w:rStyle w:val="42"/>
              </w:rPr>
            </w:pPr>
            <w:r>
              <w:rPr>
                <w:rStyle w:val="42"/>
              </w:rPr>
              <w:t>4）厂区环境风险管理措施</w:t>
            </w:r>
          </w:p>
          <w:p>
            <w:pPr>
              <w:spacing w:line="480" w:lineRule="exact"/>
              <w:ind w:firstLine="480" w:firstLineChars="200"/>
              <w:jc w:val="left"/>
              <w:rPr>
                <w:rStyle w:val="42"/>
              </w:rPr>
            </w:pPr>
            <w:r>
              <w:rPr>
                <w:rStyle w:val="42"/>
              </w:rPr>
              <w:t>在各储存区与生产车间应配备足够的专用灭火器材、设置沙包、沙袋或沙箱等应急物资。厂区内昼、夜24h应有安全值班人员值守。对每个职工进行安全知识与环保知识的岗前培训，使每个职工学会使用灭火器材，并进行考核，考核合格后方能上岗。</w:t>
            </w:r>
          </w:p>
          <w:p>
            <w:pPr>
              <w:spacing w:line="480" w:lineRule="exact"/>
              <w:ind w:firstLine="480" w:firstLineChars="200"/>
              <w:jc w:val="left"/>
              <w:rPr>
                <w:rStyle w:val="42"/>
              </w:rPr>
            </w:pPr>
            <w:r>
              <w:rPr>
                <w:rStyle w:val="42"/>
                <w:rFonts w:hint="eastAsia"/>
              </w:rPr>
              <w:t>5）应急预案</w:t>
            </w:r>
          </w:p>
          <w:p>
            <w:pPr>
              <w:spacing w:line="480" w:lineRule="exact"/>
              <w:ind w:firstLine="480" w:firstLineChars="200"/>
              <w:jc w:val="left"/>
              <w:rPr>
                <w:rStyle w:val="42"/>
              </w:rPr>
            </w:pPr>
            <w:r>
              <w:rPr>
                <w:rStyle w:val="42"/>
                <w:rFonts w:hint="eastAsia"/>
              </w:rPr>
              <w:t>本评价要求，拟建项目在建成运行后、完成竣工环境保护验收之前，应及时编写企业突发环境事件应急预案，并严格按照《企业事业单位突发环境事件应急预案评审工作指南（试行）》要求，组织开始应急预案。最终，将应急预案报生态环境局备案并定期进行演练。</w:t>
            </w:r>
          </w:p>
          <w:p>
            <w:pPr>
              <w:adjustRightInd w:val="0"/>
              <w:snapToGrid w:val="0"/>
              <w:spacing w:line="480" w:lineRule="exact"/>
              <w:ind w:firstLine="480" w:firstLineChars="200"/>
              <w:rPr>
                <w:sz w:val="24"/>
              </w:rPr>
            </w:pPr>
            <w:r>
              <w:rPr>
                <w:rFonts w:hint="eastAsia"/>
                <w:sz w:val="24"/>
              </w:rPr>
              <w:t>6）风险评价结论</w:t>
            </w:r>
          </w:p>
          <w:p>
            <w:pPr>
              <w:adjustRightInd w:val="0"/>
              <w:snapToGrid w:val="0"/>
              <w:spacing w:line="480" w:lineRule="exact"/>
              <w:ind w:firstLine="480" w:firstLineChars="200"/>
              <w:rPr>
                <w:sz w:val="18"/>
                <w:szCs w:val="18"/>
              </w:rPr>
            </w:pPr>
            <w:r>
              <w:rPr>
                <w:rFonts w:hint="eastAsia"/>
                <w:kern w:val="0"/>
                <w:sz w:val="24"/>
              </w:rPr>
              <w:t>本项目在生产过程、储存、运输等方面充分考虑了其环境风险。项目建成后，生产过程涉及到柴油、润滑油、液压油等重点关注的危险物质，潜存火灾、爆炸、泄漏中毒等风险，项目制定了较为周全的环境风险防范措施，并且在投产前编写环境风险应急预案。在采取严格的安全防护和风险防范措施后，建设项目可能出现的风险概率将大大减小，能将事故的环境风险降到最低，环境可以接受。</w:t>
            </w:r>
            <w:bookmarkEnd w:id="5"/>
            <w:bookmarkEnd w:id="6"/>
          </w:p>
        </w:tc>
      </w:tr>
    </w:tbl>
    <w:p>
      <w:pPr>
        <w:pStyle w:val="18"/>
        <w:spacing w:before="0" w:beforeAutospacing="0" w:after="0" w:afterAutospacing="0" w:line="20" w:lineRule="exact"/>
        <w:jc w:val="center"/>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7" w:name="_Hlk54167917"/>
      <w:r>
        <w:rPr>
          <w:rFonts w:ascii="Times New Roman" w:hAnsi="Times New Roman" w:eastAsia="黑体"/>
          <w:snapToGrid w:val="0"/>
          <w:sz w:val="30"/>
          <w:szCs w:val="30"/>
        </w:rPr>
        <w:t>环境保护措施监督检查清单</w:t>
      </w:r>
      <w:bookmarkEnd w:id="7"/>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7"/>
        <w:gridCol w:w="1559"/>
        <w:gridCol w:w="5245"/>
        <w:gridCol w:w="4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tcBorders>
              <w:tl2br w:val="single" w:color="auto" w:sz="4" w:space="0"/>
            </w:tcBorders>
          </w:tcPr>
          <w:p>
            <w:pPr>
              <w:adjustRightInd w:val="0"/>
              <w:snapToGrid w:val="0"/>
              <w:spacing w:line="240" w:lineRule="exact"/>
              <w:ind w:firstLine="709"/>
              <w:rPr>
                <w:sz w:val="18"/>
                <w:szCs w:val="18"/>
              </w:rPr>
            </w:pPr>
            <w:r>
              <w:rPr>
                <w:sz w:val="18"/>
                <w:szCs w:val="18"/>
              </w:rPr>
              <w:t>内容</w:t>
            </w:r>
          </w:p>
          <w:p>
            <w:pPr>
              <w:adjustRightInd w:val="0"/>
              <w:snapToGrid w:val="0"/>
              <w:spacing w:line="240" w:lineRule="exact"/>
              <w:rPr>
                <w:sz w:val="18"/>
                <w:szCs w:val="18"/>
              </w:rPr>
            </w:pPr>
            <w:r>
              <w:rPr>
                <w:sz w:val="18"/>
                <w:szCs w:val="18"/>
              </w:rPr>
              <w:t>要素</w:t>
            </w:r>
          </w:p>
        </w:tc>
        <w:tc>
          <w:tcPr>
            <w:tcW w:w="519" w:type="pct"/>
            <w:vAlign w:val="center"/>
          </w:tcPr>
          <w:p>
            <w:pPr>
              <w:adjustRightInd w:val="0"/>
              <w:snapToGrid w:val="0"/>
              <w:spacing w:line="240" w:lineRule="exact"/>
              <w:jc w:val="center"/>
              <w:rPr>
                <w:sz w:val="18"/>
                <w:szCs w:val="18"/>
              </w:rPr>
            </w:pPr>
            <w:r>
              <w:rPr>
                <w:sz w:val="18"/>
                <w:szCs w:val="18"/>
              </w:rPr>
              <w:t>排放口(编号、名称)/污染源</w:t>
            </w:r>
          </w:p>
        </w:tc>
        <w:tc>
          <w:tcPr>
            <w:tcW w:w="571" w:type="pct"/>
            <w:vAlign w:val="center"/>
          </w:tcPr>
          <w:p>
            <w:pPr>
              <w:adjustRightInd w:val="0"/>
              <w:snapToGrid w:val="0"/>
              <w:spacing w:line="240" w:lineRule="exact"/>
              <w:jc w:val="center"/>
              <w:rPr>
                <w:sz w:val="18"/>
                <w:szCs w:val="18"/>
              </w:rPr>
            </w:pPr>
            <w:r>
              <w:rPr>
                <w:sz w:val="18"/>
                <w:szCs w:val="18"/>
              </w:rPr>
              <w:t>污染物项目</w:t>
            </w:r>
          </w:p>
        </w:tc>
        <w:tc>
          <w:tcPr>
            <w:tcW w:w="1921" w:type="pct"/>
            <w:vAlign w:val="center"/>
          </w:tcPr>
          <w:p>
            <w:pPr>
              <w:adjustRightInd w:val="0"/>
              <w:snapToGrid w:val="0"/>
              <w:spacing w:line="240" w:lineRule="exact"/>
              <w:jc w:val="center"/>
              <w:rPr>
                <w:sz w:val="18"/>
                <w:szCs w:val="18"/>
              </w:rPr>
            </w:pPr>
            <w:r>
              <w:rPr>
                <w:sz w:val="18"/>
                <w:szCs w:val="18"/>
              </w:rPr>
              <w:t>环境保护措施</w:t>
            </w:r>
          </w:p>
        </w:tc>
        <w:tc>
          <w:tcPr>
            <w:tcW w:w="1482" w:type="pct"/>
            <w:vAlign w:val="center"/>
          </w:tcPr>
          <w:p>
            <w:pPr>
              <w:adjustRightInd w:val="0"/>
              <w:snapToGrid w:val="0"/>
              <w:spacing w:line="240" w:lineRule="exact"/>
              <w:jc w:val="center"/>
              <w:rPr>
                <w:sz w:val="18"/>
                <w:szCs w:val="18"/>
              </w:rPr>
            </w:pPr>
            <w:r>
              <w:rPr>
                <w:sz w:val="18"/>
                <w:szCs w:val="18"/>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07" w:type="pct"/>
            <w:vMerge w:val="restart"/>
            <w:vAlign w:val="center"/>
          </w:tcPr>
          <w:p>
            <w:pPr>
              <w:adjustRightInd w:val="0"/>
              <w:snapToGrid w:val="0"/>
              <w:spacing w:line="240" w:lineRule="exact"/>
              <w:jc w:val="center"/>
              <w:rPr>
                <w:sz w:val="18"/>
                <w:szCs w:val="18"/>
              </w:rPr>
            </w:pPr>
            <w:r>
              <w:rPr>
                <w:sz w:val="18"/>
                <w:szCs w:val="18"/>
              </w:rPr>
              <w:t>大气环境</w:t>
            </w:r>
          </w:p>
        </w:tc>
        <w:tc>
          <w:tcPr>
            <w:tcW w:w="519" w:type="pct"/>
            <w:vAlign w:val="center"/>
          </w:tcPr>
          <w:p>
            <w:pPr>
              <w:adjustRightInd w:val="0"/>
              <w:snapToGrid w:val="0"/>
              <w:spacing w:line="240" w:lineRule="exact"/>
              <w:jc w:val="center"/>
              <w:rPr>
                <w:sz w:val="18"/>
                <w:szCs w:val="18"/>
              </w:rPr>
            </w:pPr>
            <w:r>
              <w:rPr>
                <w:rFonts w:hint="eastAsia"/>
                <w:sz w:val="18"/>
                <w:szCs w:val="18"/>
              </w:rPr>
              <w:t>DA001</w:t>
            </w:r>
          </w:p>
        </w:tc>
        <w:tc>
          <w:tcPr>
            <w:tcW w:w="571" w:type="pct"/>
            <w:vAlign w:val="center"/>
          </w:tcPr>
          <w:p>
            <w:pPr>
              <w:adjustRightInd w:val="0"/>
              <w:snapToGrid w:val="0"/>
              <w:spacing w:line="240" w:lineRule="exact"/>
              <w:jc w:val="center"/>
              <w:rPr>
                <w:sz w:val="18"/>
                <w:szCs w:val="18"/>
              </w:rPr>
            </w:pPr>
            <w:r>
              <w:rPr>
                <w:rFonts w:hint="eastAsia"/>
                <w:sz w:val="18"/>
                <w:szCs w:val="18"/>
              </w:rPr>
              <w:t>非甲烷总烃</w:t>
            </w:r>
          </w:p>
        </w:tc>
        <w:tc>
          <w:tcPr>
            <w:tcW w:w="1921" w:type="pct"/>
            <w:vAlign w:val="center"/>
          </w:tcPr>
          <w:p>
            <w:pPr>
              <w:rPr>
                <w:rFonts w:hAnsi="宋体"/>
                <w:sz w:val="18"/>
                <w:szCs w:val="18"/>
              </w:rPr>
            </w:pPr>
            <w:r>
              <w:rPr>
                <w:rFonts w:hint="eastAsia" w:hAnsi="宋体"/>
                <w:sz w:val="18"/>
                <w:szCs w:val="18"/>
              </w:rPr>
              <w:t>油液挥发废气经集气罩收集（收集效率80%）后经二级活性炭吸附处理（处理效率</w:t>
            </w:r>
            <w:r>
              <w:rPr>
                <w:rFonts w:hAnsi="宋体"/>
                <w:sz w:val="18"/>
                <w:szCs w:val="18"/>
              </w:rPr>
              <w:t>55</w:t>
            </w:r>
            <w:r>
              <w:rPr>
                <w:rFonts w:hint="eastAsia" w:hAnsi="宋体"/>
                <w:sz w:val="18"/>
                <w:szCs w:val="18"/>
              </w:rPr>
              <w:t>%）后气经高15m、内径0.</w:t>
            </w:r>
            <w:r>
              <w:rPr>
                <w:rFonts w:hAnsi="宋体"/>
                <w:sz w:val="18"/>
                <w:szCs w:val="18"/>
              </w:rPr>
              <w:t>4</w:t>
            </w:r>
            <w:r>
              <w:rPr>
                <w:rFonts w:hint="eastAsia" w:hAnsi="宋体"/>
                <w:sz w:val="18"/>
                <w:szCs w:val="18"/>
              </w:rPr>
              <w:t>m的DA001排气筒排放。</w:t>
            </w:r>
          </w:p>
        </w:tc>
        <w:tc>
          <w:tcPr>
            <w:tcW w:w="1482" w:type="pct"/>
            <w:vMerge w:val="restart"/>
            <w:vAlign w:val="center"/>
          </w:tcPr>
          <w:p>
            <w:pPr>
              <w:adjustRightInd w:val="0"/>
              <w:snapToGrid w:val="0"/>
              <w:spacing w:line="240" w:lineRule="exact"/>
              <w:jc w:val="center"/>
              <w:rPr>
                <w:sz w:val="18"/>
                <w:szCs w:val="18"/>
              </w:rPr>
            </w:pPr>
            <w:r>
              <w:rPr>
                <w:sz w:val="18"/>
                <w:szCs w:val="18"/>
              </w:rPr>
              <w:t>《大气污染物综合排放标准》（DB50/418-2016）</w:t>
            </w:r>
            <w:r>
              <w:rPr>
                <w:rFonts w:hint="eastAsia"/>
                <w:sz w:val="18"/>
                <w:szCs w:val="18"/>
              </w:rPr>
              <w:t>、</w:t>
            </w:r>
            <w:r>
              <w:rPr>
                <w:sz w:val="18"/>
                <w:szCs w:val="18"/>
              </w:rPr>
              <w:t>《恶臭污染物排放标准》（GB14554-93）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07" w:type="pct"/>
            <w:vMerge w:val="continue"/>
            <w:vAlign w:val="center"/>
          </w:tcPr>
          <w:p>
            <w:pPr>
              <w:adjustRightInd w:val="0"/>
              <w:snapToGrid w:val="0"/>
              <w:spacing w:line="240" w:lineRule="exact"/>
              <w:jc w:val="center"/>
              <w:rPr>
                <w:sz w:val="18"/>
                <w:szCs w:val="18"/>
              </w:rPr>
            </w:pPr>
          </w:p>
        </w:tc>
        <w:tc>
          <w:tcPr>
            <w:tcW w:w="519" w:type="pct"/>
            <w:vAlign w:val="center"/>
          </w:tcPr>
          <w:p>
            <w:pPr>
              <w:adjustRightInd w:val="0"/>
              <w:snapToGrid w:val="0"/>
              <w:spacing w:line="240" w:lineRule="exact"/>
              <w:jc w:val="center"/>
              <w:rPr>
                <w:sz w:val="18"/>
                <w:szCs w:val="18"/>
              </w:rPr>
            </w:pPr>
            <w:r>
              <w:rPr>
                <w:rFonts w:hint="eastAsia"/>
                <w:sz w:val="18"/>
                <w:szCs w:val="18"/>
              </w:rPr>
              <w:t>DA00</w:t>
            </w:r>
            <w:r>
              <w:rPr>
                <w:sz w:val="18"/>
                <w:szCs w:val="18"/>
              </w:rPr>
              <w:t>2</w:t>
            </w:r>
          </w:p>
        </w:tc>
        <w:tc>
          <w:tcPr>
            <w:tcW w:w="571" w:type="pct"/>
            <w:vAlign w:val="center"/>
          </w:tcPr>
          <w:p>
            <w:pPr>
              <w:adjustRightInd w:val="0"/>
              <w:snapToGrid w:val="0"/>
              <w:spacing w:line="240" w:lineRule="exact"/>
              <w:jc w:val="center"/>
              <w:rPr>
                <w:sz w:val="18"/>
                <w:szCs w:val="18"/>
              </w:rPr>
            </w:pPr>
            <w:r>
              <w:rPr>
                <w:rFonts w:hint="eastAsia"/>
                <w:sz w:val="18"/>
                <w:szCs w:val="18"/>
              </w:rPr>
              <w:t>颗粒物</w:t>
            </w:r>
          </w:p>
        </w:tc>
        <w:tc>
          <w:tcPr>
            <w:tcW w:w="1921" w:type="pct"/>
            <w:vAlign w:val="center"/>
          </w:tcPr>
          <w:p>
            <w:pPr>
              <w:rPr>
                <w:rFonts w:hAnsi="宋体"/>
                <w:sz w:val="18"/>
                <w:szCs w:val="18"/>
              </w:rPr>
            </w:pPr>
            <w:r>
              <w:rPr>
                <w:rFonts w:hint="eastAsia" w:hAnsi="宋体"/>
                <w:sz w:val="18"/>
                <w:szCs w:val="18"/>
              </w:rPr>
              <w:t>切割废气经集气罩收集（收集效率80%）后经布袋除尘器处理（颗粒物处理效率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5</w:t>
            </w:r>
            <w:r>
              <w:rPr>
                <w:rFonts w:hint="eastAsia" w:hAnsi="宋体"/>
                <w:sz w:val="18"/>
                <w:szCs w:val="18"/>
              </w:rPr>
              <w:t>m的DA00</w:t>
            </w:r>
            <w:r>
              <w:rPr>
                <w:rFonts w:hAnsi="宋体"/>
                <w:sz w:val="18"/>
                <w:szCs w:val="18"/>
              </w:rPr>
              <w:t>2</w:t>
            </w:r>
            <w:r>
              <w:rPr>
                <w:rFonts w:hint="eastAsia" w:hAnsi="宋体"/>
                <w:sz w:val="18"/>
                <w:szCs w:val="18"/>
              </w:rPr>
              <w:t>排气筒排放。</w:t>
            </w:r>
          </w:p>
        </w:tc>
        <w:tc>
          <w:tcPr>
            <w:tcW w:w="1482" w:type="pct"/>
            <w:vMerge w:val="continue"/>
            <w:vAlign w:val="center"/>
          </w:tcPr>
          <w:p>
            <w:pPr>
              <w:adjustRightInd w:val="0"/>
              <w:snapToGrid w:val="0"/>
              <w:spacing w:line="240" w:lineRule="exact"/>
              <w:jc w:val="center"/>
              <w:rPr>
                <w:rStyle w:val="9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07" w:type="pct"/>
            <w:vMerge w:val="continue"/>
            <w:vAlign w:val="center"/>
          </w:tcPr>
          <w:p>
            <w:pPr>
              <w:adjustRightInd w:val="0"/>
              <w:snapToGrid w:val="0"/>
              <w:spacing w:line="240" w:lineRule="exact"/>
              <w:jc w:val="center"/>
              <w:rPr>
                <w:sz w:val="18"/>
                <w:szCs w:val="18"/>
              </w:rPr>
            </w:pPr>
          </w:p>
        </w:tc>
        <w:tc>
          <w:tcPr>
            <w:tcW w:w="519" w:type="pct"/>
            <w:vAlign w:val="center"/>
          </w:tcPr>
          <w:p>
            <w:pPr>
              <w:adjustRightInd w:val="0"/>
              <w:snapToGrid w:val="0"/>
              <w:spacing w:line="240" w:lineRule="exact"/>
              <w:jc w:val="center"/>
              <w:rPr>
                <w:sz w:val="18"/>
                <w:szCs w:val="18"/>
              </w:rPr>
            </w:pPr>
            <w:r>
              <w:rPr>
                <w:rFonts w:hint="eastAsia"/>
                <w:sz w:val="18"/>
                <w:szCs w:val="18"/>
              </w:rPr>
              <w:t>DA00</w:t>
            </w:r>
            <w:r>
              <w:rPr>
                <w:sz w:val="18"/>
                <w:szCs w:val="18"/>
              </w:rPr>
              <w:t>3</w:t>
            </w:r>
          </w:p>
        </w:tc>
        <w:tc>
          <w:tcPr>
            <w:tcW w:w="571" w:type="pct"/>
            <w:vAlign w:val="center"/>
          </w:tcPr>
          <w:p>
            <w:pPr>
              <w:adjustRightInd w:val="0"/>
              <w:snapToGrid w:val="0"/>
              <w:spacing w:line="240" w:lineRule="exact"/>
              <w:jc w:val="center"/>
              <w:rPr>
                <w:sz w:val="18"/>
                <w:szCs w:val="18"/>
              </w:rPr>
            </w:pPr>
            <w:r>
              <w:rPr>
                <w:rFonts w:hint="eastAsia"/>
                <w:sz w:val="18"/>
                <w:szCs w:val="18"/>
              </w:rPr>
              <w:t>颗粒物</w:t>
            </w:r>
          </w:p>
        </w:tc>
        <w:tc>
          <w:tcPr>
            <w:tcW w:w="1921" w:type="pct"/>
            <w:vAlign w:val="center"/>
          </w:tcPr>
          <w:p>
            <w:pPr>
              <w:rPr>
                <w:rFonts w:hAnsi="宋体"/>
                <w:sz w:val="18"/>
                <w:szCs w:val="18"/>
              </w:rPr>
            </w:pPr>
            <w:r>
              <w:rPr>
                <w:rFonts w:hint="eastAsia" w:hAnsi="宋体"/>
                <w:sz w:val="18"/>
                <w:szCs w:val="18"/>
              </w:rPr>
              <w:t>破碎废气经集气罩收集（收集效率80%）后经布袋除尘器处理（颗粒物处理效率</w:t>
            </w:r>
            <w:r>
              <w:rPr>
                <w:rFonts w:hAnsi="宋体"/>
                <w:sz w:val="18"/>
                <w:szCs w:val="18"/>
              </w:rPr>
              <w:t>95</w:t>
            </w:r>
            <w:r>
              <w:rPr>
                <w:rFonts w:hint="eastAsia" w:hAnsi="宋体"/>
                <w:sz w:val="18"/>
                <w:szCs w:val="18"/>
              </w:rPr>
              <w:t>%）后气经高15m、内径0.</w:t>
            </w:r>
            <w:r>
              <w:rPr>
                <w:rFonts w:hAnsi="宋体"/>
                <w:sz w:val="18"/>
                <w:szCs w:val="18"/>
              </w:rPr>
              <w:t>4</w:t>
            </w:r>
            <w:r>
              <w:rPr>
                <w:rFonts w:hint="eastAsia" w:hAnsi="宋体"/>
                <w:sz w:val="18"/>
                <w:szCs w:val="18"/>
              </w:rPr>
              <w:t>m的DA00</w:t>
            </w:r>
            <w:r>
              <w:rPr>
                <w:rFonts w:hAnsi="宋体"/>
                <w:sz w:val="18"/>
                <w:szCs w:val="18"/>
              </w:rPr>
              <w:t>3</w:t>
            </w:r>
            <w:r>
              <w:rPr>
                <w:rFonts w:hint="eastAsia" w:hAnsi="宋体"/>
                <w:sz w:val="18"/>
                <w:szCs w:val="18"/>
              </w:rPr>
              <w:t>排气筒排放。</w:t>
            </w:r>
          </w:p>
        </w:tc>
        <w:tc>
          <w:tcPr>
            <w:tcW w:w="1482" w:type="pct"/>
            <w:vMerge w:val="continue"/>
            <w:vAlign w:val="center"/>
          </w:tcPr>
          <w:p>
            <w:pPr>
              <w:adjustRightInd w:val="0"/>
              <w:snapToGrid w:val="0"/>
              <w:spacing w:line="240" w:lineRule="exact"/>
              <w:jc w:val="center"/>
              <w:rPr>
                <w:rStyle w:val="9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Merge w:val="continue"/>
            <w:vAlign w:val="center"/>
          </w:tcPr>
          <w:p>
            <w:pPr>
              <w:adjustRightInd w:val="0"/>
              <w:snapToGrid w:val="0"/>
              <w:spacing w:line="240" w:lineRule="exact"/>
              <w:jc w:val="center"/>
              <w:rPr>
                <w:sz w:val="18"/>
                <w:szCs w:val="18"/>
              </w:rPr>
            </w:pPr>
          </w:p>
        </w:tc>
        <w:tc>
          <w:tcPr>
            <w:tcW w:w="519" w:type="pct"/>
            <w:vAlign w:val="center"/>
          </w:tcPr>
          <w:p>
            <w:pPr>
              <w:adjustRightInd w:val="0"/>
              <w:snapToGrid w:val="0"/>
              <w:spacing w:line="240" w:lineRule="exact"/>
              <w:jc w:val="center"/>
              <w:rPr>
                <w:sz w:val="18"/>
                <w:szCs w:val="18"/>
              </w:rPr>
            </w:pPr>
            <w:r>
              <w:rPr>
                <w:rFonts w:hint="eastAsia"/>
                <w:sz w:val="18"/>
                <w:szCs w:val="18"/>
              </w:rPr>
              <w:t>无组织废气</w:t>
            </w:r>
          </w:p>
        </w:tc>
        <w:tc>
          <w:tcPr>
            <w:tcW w:w="571" w:type="pct"/>
            <w:vAlign w:val="center"/>
          </w:tcPr>
          <w:p>
            <w:pPr>
              <w:adjustRightInd w:val="0"/>
              <w:snapToGrid w:val="0"/>
              <w:spacing w:line="240" w:lineRule="exact"/>
              <w:jc w:val="center"/>
              <w:rPr>
                <w:sz w:val="18"/>
                <w:szCs w:val="18"/>
              </w:rPr>
            </w:pPr>
            <w:r>
              <w:rPr>
                <w:rFonts w:hint="eastAsia"/>
                <w:sz w:val="18"/>
                <w:szCs w:val="18"/>
              </w:rPr>
              <w:t>颗粒物、非甲烷总烃、臭气浓度、H</w:t>
            </w:r>
            <w:r>
              <w:rPr>
                <w:rFonts w:hint="eastAsia"/>
                <w:sz w:val="18"/>
                <w:szCs w:val="18"/>
                <w:vertAlign w:val="subscript"/>
              </w:rPr>
              <w:t>2</w:t>
            </w:r>
            <w:r>
              <w:rPr>
                <w:rFonts w:hint="eastAsia"/>
                <w:sz w:val="18"/>
                <w:szCs w:val="18"/>
              </w:rPr>
              <w:t>S、NH</w:t>
            </w:r>
            <w:r>
              <w:rPr>
                <w:rFonts w:hint="eastAsia"/>
                <w:sz w:val="18"/>
                <w:szCs w:val="18"/>
                <w:vertAlign w:val="subscript"/>
              </w:rPr>
              <w:t>3</w:t>
            </w:r>
          </w:p>
        </w:tc>
        <w:tc>
          <w:tcPr>
            <w:tcW w:w="1921" w:type="pct"/>
            <w:vAlign w:val="center"/>
          </w:tcPr>
          <w:p>
            <w:pPr>
              <w:adjustRightInd w:val="0"/>
              <w:snapToGrid w:val="0"/>
              <w:spacing w:line="240" w:lineRule="exact"/>
              <w:jc w:val="left"/>
              <w:rPr>
                <w:rFonts w:hAnsi="宋体"/>
                <w:sz w:val="18"/>
                <w:szCs w:val="18"/>
              </w:rPr>
            </w:pPr>
            <w:r>
              <w:rPr>
                <w:rFonts w:hint="eastAsia" w:hAnsi="宋体"/>
                <w:sz w:val="18"/>
                <w:szCs w:val="18"/>
              </w:rPr>
              <w:t>污水处理站密闭，产生的臭气经收集后引至业务用房屋顶。</w:t>
            </w:r>
          </w:p>
          <w:p>
            <w:pPr>
              <w:adjustRightInd w:val="0"/>
              <w:snapToGrid w:val="0"/>
              <w:spacing w:line="240" w:lineRule="exact"/>
              <w:jc w:val="left"/>
              <w:rPr>
                <w:rFonts w:hAnsi="宋体"/>
                <w:sz w:val="18"/>
                <w:szCs w:val="18"/>
              </w:rPr>
            </w:pPr>
            <w:r>
              <w:rPr>
                <w:rFonts w:hint="eastAsia" w:hAnsi="宋体"/>
                <w:sz w:val="18"/>
                <w:szCs w:val="18"/>
              </w:rPr>
              <w:t>食堂废气通过集气罩收集后经油烟净化器处理后经管道引至办公楼屋顶排放。</w:t>
            </w:r>
          </w:p>
          <w:p>
            <w:pPr>
              <w:rPr>
                <w:rFonts w:hAnsi="宋体"/>
                <w:sz w:val="18"/>
                <w:szCs w:val="18"/>
              </w:rPr>
            </w:pPr>
            <w:r>
              <w:rPr>
                <w:rFonts w:hint="eastAsia"/>
                <w:sz w:val="18"/>
                <w:szCs w:val="18"/>
              </w:rPr>
              <w:t>生产过程均配套设置了废气收集和处理措施，少量未被收集的废气在厂区内无组织排放。</w:t>
            </w:r>
          </w:p>
        </w:tc>
        <w:tc>
          <w:tcPr>
            <w:tcW w:w="1482" w:type="pct"/>
            <w:vMerge w:val="continue"/>
            <w:vAlign w:val="center"/>
          </w:tcPr>
          <w:p>
            <w:pPr>
              <w:adjustRightInd w:val="0"/>
              <w:snapToGrid w:val="0"/>
              <w:spacing w:line="240" w:lineRule="exact"/>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Align w:val="center"/>
          </w:tcPr>
          <w:p>
            <w:pPr>
              <w:adjustRightInd w:val="0"/>
              <w:snapToGrid w:val="0"/>
              <w:spacing w:line="240" w:lineRule="exact"/>
              <w:jc w:val="center"/>
              <w:rPr>
                <w:sz w:val="18"/>
                <w:szCs w:val="18"/>
              </w:rPr>
            </w:pPr>
            <w:r>
              <w:rPr>
                <w:sz w:val="18"/>
                <w:szCs w:val="18"/>
              </w:rPr>
              <w:t>地表水环境</w:t>
            </w:r>
          </w:p>
        </w:tc>
        <w:tc>
          <w:tcPr>
            <w:tcW w:w="519" w:type="pct"/>
            <w:vAlign w:val="center"/>
          </w:tcPr>
          <w:p>
            <w:pPr>
              <w:adjustRightInd w:val="0"/>
              <w:snapToGrid w:val="0"/>
              <w:spacing w:line="240" w:lineRule="exact"/>
              <w:jc w:val="center"/>
              <w:rPr>
                <w:sz w:val="18"/>
                <w:szCs w:val="18"/>
              </w:rPr>
            </w:pPr>
            <w:r>
              <w:rPr>
                <w:rFonts w:hint="eastAsia"/>
                <w:sz w:val="18"/>
                <w:szCs w:val="18"/>
              </w:rPr>
              <w:t>DW001</w:t>
            </w:r>
          </w:p>
        </w:tc>
        <w:tc>
          <w:tcPr>
            <w:tcW w:w="571" w:type="pct"/>
            <w:vAlign w:val="center"/>
          </w:tcPr>
          <w:p>
            <w:pPr>
              <w:widowControl/>
              <w:jc w:val="center"/>
              <w:rPr>
                <w:kern w:val="0"/>
                <w:sz w:val="18"/>
                <w:szCs w:val="18"/>
              </w:rPr>
            </w:pPr>
            <w:r>
              <w:rPr>
                <w:rFonts w:hint="eastAsia"/>
                <w:sz w:val="18"/>
                <w:szCs w:val="18"/>
              </w:rPr>
              <w:t>pH</w:t>
            </w:r>
          </w:p>
          <w:p>
            <w:pPr>
              <w:widowControl/>
              <w:jc w:val="center"/>
              <w:rPr>
                <w:kern w:val="0"/>
                <w:sz w:val="18"/>
                <w:szCs w:val="18"/>
              </w:rPr>
            </w:pPr>
            <w:r>
              <w:rPr>
                <w:sz w:val="18"/>
                <w:szCs w:val="18"/>
              </w:rPr>
              <w:t>COD</w:t>
            </w:r>
          </w:p>
          <w:p>
            <w:pPr>
              <w:widowControl/>
              <w:jc w:val="center"/>
              <w:rPr>
                <w:kern w:val="0"/>
                <w:sz w:val="18"/>
                <w:szCs w:val="18"/>
              </w:rPr>
            </w:pPr>
            <w:r>
              <w:rPr>
                <w:sz w:val="18"/>
                <w:szCs w:val="18"/>
              </w:rPr>
              <w:t>BOD</w:t>
            </w:r>
            <w:r>
              <w:rPr>
                <w:sz w:val="18"/>
                <w:szCs w:val="18"/>
                <w:vertAlign w:val="subscript"/>
              </w:rPr>
              <w:t>5</w:t>
            </w:r>
          </w:p>
          <w:p>
            <w:pPr>
              <w:widowControl/>
              <w:jc w:val="center"/>
              <w:rPr>
                <w:kern w:val="0"/>
                <w:sz w:val="18"/>
                <w:szCs w:val="18"/>
              </w:rPr>
            </w:pPr>
            <w:r>
              <w:rPr>
                <w:sz w:val="18"/>
                <w:szCs w:val="18"/>
              </w:rPr>
              <w:t>SS</w:t>
            </w:r>
          </w:p>
          <w:p>
            <w:pPr>
              <w:widowControl/>
              <w:jc w:val="center"/>
              <w:rPr>
                <w:kern w:val="0"/>
                <w:sz w:val="18"/>
                <w:szCs w:val="18"/>
              </w:rPr>
            </w:pPr>
            <w:r>
              <w:rPr>
                <w:sz w:val="18"/>
                <w:szCs w:val="18"/>
              </w:rPr>
              <w:t>NH</w:t>
            </w:r>
            <w:r>
              <w:rPr>
                <w:sz w:val="18"/>
                <w:szCs w:val="18"/>
                <w:vertAlign w:val="subscript"/>
              </w:rPr>
              <w:t>3</w:t>
            </w:r>
            <w:r>
              <w:rPr>
                <w:sz w:val="18"/>
                <w:szCs w:val="18"/>
              </w:rPr>
              <w:t>-N</w:t>
            </w:r>
          </w:p>
          <w:p>
            <w:pPr>
              <w:widowControl/>
              <w:jc w:val="center"/>
              <w:rPr>
                <w:kern w:val="0"/>
                <w:sz w:val="18"/>
                <w:szCs w:val="18"/>
              </w:rPr>
            </w:pPr>
            <w:r>
              <w:rPr>
                <w:rFonts w:hint="eastAsia"/>
                <w:sz w:val="18"/>
                <w:szCs w:val="18"/>
              </w:rPr>
              <w:t>动植物油</w:t>
            </w:r>
          </w:p>
          <w:p>
            <w:pPr>
              <w:widowControl/>
              <w:jc w:val="center"/>
              <w:rPr>
                <w:kern w:val="0"/>
                <w:sz w:val="18"/>
                <w:szCs w:val="18"/>
              </w:rPr>
            </w:pPr>
            <w:r>
              <w:rPr>
                <w:rFonts w:hint="eastAsia"/>
                <w:sz w:val="18"/>
                <w:szCs w:val="18"/>
              </w:rPr>
              <w:t>总氮</w:t>
            </w:r>
          </w:p>
          <w:p>
            <w:pPr>
              <w:widowControl/>
              <w:jc w:val="center"/>
              <w:rPr>
                <w:kern w:val="0"/>
                <w:sz w:val="18"/>
                <w:szCs w:val="18"/>
              </w:rPr>
            </w:pPr>
            <w:r>
              <w:rPr>
                <w:rFonts w:hint="eastAsia"/>
                <w:sz w:val="18"/>
                <w:szCs w:val="18"/>
              </w:rPr>
              <w:t>总磷</w:t>
            </w:r>
          </w:p>
          <w:p>
            <w:pPr>
              <w:adjustRightInd w:val="0"/>
              <w:snapToGrid w:val="0"/>
              <w:spacing w:line="240" w:lineRule="exact"/>
              <w:jc w:val="center"/>
              <w:rPr>
                <w:sz w:val="18"/>
                <w:szCs w:val="18"/>
              </w:rPr>
            </w:pPr>
            <w:r>
              <w:rPr>
                <w:rFonts w:hint="eastAsia"/>
                <w:sz w:val="18"/>
                <w:szCs w:val="18"/>
              </w:rPr>
              <w:t>石油类</w:t>
            </w:r>
          </w:p>
        </w:tc>
        <w:tc>
          <w:tcPr>
            <w:tcW w:w="1921" w:type="pct"/>
            <w:vAlign w:val="center"/>
          </w:tcPr>
          <w:p>
            <w:pPr>
              <w:adjustRightInd w:val="0"/>
              <w:snapToGrid w:val="0"/>
              <w:spacing w:line="240" w:lineRule="exact"/>
              <w:jc w:val="center"/>
              <w:rPr>
                <w:sz w:val="18"/>
                <w:szCs w:val="18"/>
              </w:rPr>
            </w:pPr>
            <w:r>
              <w:rPr>
                <w:rFonts w:hint="eastAsia"/>
                <w:kern w:val="0"/>
                <w:sz w:val="18"/>
                <w:szCs w:val="18"/>
              </w:rPr>
              <w:t>厂区内所有废水一并</w:t>
            </w:r>
            <w:r>
              <w:rPr>
                <w:kern w:val="0"/>
                <w:sz w:val="18"/>
                <w:szCs w:val="18"/>
              </w:rPr>
              <w:t>进入厂区内新建污水处理站处理达</w:t>
            </w:r>
            <w:r>
              <w:rPr>
                <w:rFonts w:hint="eastAsia"/>
                <w:kern w:val="0"/>
                <w:sz w:val="18"/>
                <w:szCs w:val="18"/>
              </w:rPr>
              <w:t>《污水综合排放标准》（GB8978-1996）三级排放标准（其中氨氮、总氮、总磷参照执行《污水排入城镇下水道水质标准》（GB/T31962-2015））后进入双桥园区污水处理厂近期进一步处理达《城镇污水处理厂污染物排放标准》（GB18918-2002）一级B标后排入苦水河，远期待园区污水处理厂提标改造后进一步处理达《城镇污水处理厂污染物排放标准》（GB18918-2002）一级A标后排入苦水河。</w:t>
            </w:r>
          </w:p>
        </w:tc>
        <w:tc>
          <w:tcPr>
            <w:tcW w:w="1482" w:type="pct"/>
            <w:vAlign w:val="center"/>
          </w:tcPr>
          <w:p>
            <w:pPr>
              <w:adjustRightInd w:val="0"/>
              <w:snapToGrid w:val="0"/>
              <w:spacing w:line="240" w:lineRule="exact"/>
              <w:jc w:val="center"/>
              <w:rPr>
                <w:sz w:val="18"/>
                <w:szCs w:val="18"/>
              </w:rPr>
            </w:pPr>
            <w:r>
              <w:rPr>
                <w:rFonts w:hint="eastAsia"/>
                <w:kern w:val="0"/>
                <w:sz w:val="18"/>
                <w:szCs w:val="18"/>
              </w:rPr>
              <w:t>《污水综合排放标准》（GB8978-1996）三级排放标准、《污水排入城镇下水道水质标准》（GB/T31962-2015）、《城镇污水处理厂污染物排放标准》（GB18918-2002）一级B标、《城镇污水处理厂污染物排放标准》（GB18918-2002）一级A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7" w:type="pct"/>
            <w:vAlign w:val="center"/>
          </w:tcPr>
          <w:p>
            <w:pPr>
              <w:adjustRightInd w:val="0"/>
              <w:snapToGrid w:val="0"/>
              <w:spacing w:line="240" w:lineRule="exact"/>
              <w:jc w:val="center"/>
              <w:rPr>
                <w:sz w:val="18"/>
                <w:szCs w:val="18"/>
              </w:rPr>
            </w:pPr>
            <w:r>
              <w:rPr>
                <w:sz w:val="18"/>
                <w:szCs w:val="18"/>
              </w:rPr>
              <w:t>声环境</w:t>
            </w:r>
          </w:p>
        </w:tc>
        <w:tc>
          <w:tcPr>
            <w:tcW w:w="519" w:type="pct"/>
            <w:vAlign w:val="center"/>
          </w:tcPr>
          <w:p>
            <w:pPr>
              <w:adjustRightInd w:val="0"/>
              <w:snapToGrid w:val="0"/>
              <w:spacing w:line="240" w:lineRule="exact"/>
              <w:jc w:val="center"/>
              <w:rPr>
                <w:sz w:val="18"/>
                <w:szCs w:val="18"/>
              </w:rPr>
            </w:pPr>
            <w:r>
              <w:rPr>
                <w:rFonts w:hint="eastAsia"/>
                <w:sz w:val="18"/>
                <w:szCs w:val="18"/>
              </w:rPr>
              <w:t>举升机、气动废油抽取机等</w:t>
            </w:r>
          </w:p>
        </w:tc>
        <w:tc>
          <w:tcPr>
            <w:tcW w:w="571" w:type="pct"/>
            <w:vAlign w:val="center"/>
          </w:tcPr>
          <w:p>
            <w:pPr>
              <w:spacing w:line="240" w:lineRule="exact"/>
              <w:jc w:val="center"/>
              <w:rPr>
                <w:sz w:val="18"/>
                <w:szCs w:val="18"/>
              </w:rPr>
            </w:pPr>
            <w:r>
              <w:rPr>
                <w:sz w:val="18"/>
                <w:szCs w:val="18"/>
              </w:rPr>
              <w:t>噪声</w:t>
            </w:r>
          </w:p>
        </w:tc>
        <w:tc>
          <w:tcPr>
            <w:tcW w:w="1921" w:type="pct"/>
            <w:vAlign w:val="center"/>
          </w:tcPr>
          <w:p>
            <w:pPr>
              <w:spacing w:line="240" w:lineRule="exact"/>
              <w:jc w:val="left"/>
              <w:rPr>
                <w:sz w:val="18"/>
                <w:szCs w:val="18"/>
              </w:rPr>
            </w:pPr>
            <w:r>
              <w:rPr>
                <w:sz w:val="18"/>
                <w:szCs w:val="18"/>
              </w:rPr>
              <w:t>隔声、消声、减振、吸声</w:t>
            </w:r>
          </w:p>
        </w:tc>
        <w:tc>
          <w:tcPr>
            <w:tcW w:w="1482" w:type="pct"/>
            <w:vAlign w:val="center"/>
          </w:tcPr>
          <w:p>
            <w:pPr>
              <w:adjustRightInd w:val="0"/>
              <w:snapToGrid w:val="0"/>
              <w:spacing w:line="240" w:lineRule="exact"/>
              <w:jc w:val="center"/>
              <w:rPr>
                <w:sz w:val="18"/>
                <w:szCs w:val="18"/>
              </w:rPr>
            </w:pPr>
            <w:r>
              <w:rPr>
                <w:sz w:val="18"/>
                <w:szCs w:val="18"/>
              </w:rPr>
              <w:t>厂界执行《工业企业厂界环境噪声排放标准》(GB12348-2008)</w:t>
            </w:r>
            <w:r>
              <w:rPr>
                <w:rFonts w:hint="eastAsia"/>
                <w:sz w:val="18"/>
                <w:szCs w:val="18"/>
              </w:rPr>
              <w:t>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7" w:type="pct"/>
            <w:vAlign w:val="center"/>
          </w:tcPr>
          <w:p>
            <w:pPr>
              <w:adjustRightInd w:val="0"/>
              <w:snapToGrid w:val="0"/>
              <w:spacing w:line="240" w:lineRule="exact"/>
              <w:jc w:val="center"/>
              <w:rPr>
                <w:sz w:val="18"/>
                <w:szCs w:val="18"/>
              </w:rPr>
            </w:pPr>
            <w:r>
              <w:rPr>
                <w:sz w:val="18"/>
                <w:szCs w:val="18"/>
              </w:rPr>
              <w:t>固体废物</w:t>
            </w:r>
          </w:p>
        </w:tc>
        <w:tc>
          <w:tcPr>
            <w:tcW w:w="4493" w:type="pct"/>
            <w:gridSpan w:val="4"/>
            <w:vAlign w:val="center"/>
          </w:tcPr>
          <w:p>
            <w:pPr>
              <w:adjustRightInd w:val="0"/>
              <w:snapToGrid w:val="0"/>
              <w:spacing w:line="240" w:lineRule="exact"/>
              <w:ind w:firstLine="360" w:firstLineChars="200"/>
              <w:rPr>
                <w:sz w:val="18"/>
                <w:szCs w:val="18"/>
              </w:rPr>
            </w:pPr>
            <w:r>
              <w:rPr>
                <w:rFonts w:hint="eastAsia"/>
                <w:sz w:val="18"/>
                <w:szCs w:val="18"/>
              </w:rPr>
              <w:t>一般工业固废暂存间：拟建项目新建一座一般工业固废暂存间，位于拆解车间内西北侧，建筑面积为280m</w:t>
            </w:r>
            <w:r>
              <w:rPr>
                <w:rFonts w:hint="eastAsia"/>
                <w:sz w:val="18"/>
                <w:szCs w:val="18"/>
                <w:vertAlign w:val="superscript"/>
              </w:rPr>
              <w:t>2</w:t>
            </w:r>
            <w:r>
              <w:rPr>
                <w:rFonts w:hint="eastAsia"/>
                <w:sz w:val="18"/>
                <w:szCs w:val="18"/>
              </w:rPr>
              <w:t>。拟建项目新建动力蓄电池贮存区，位于拆解车间内东北侧，建筑面积为90m</w:t>
            </w:r>
            <w:r>
              <w:rPr>
                <w:rFonts w:hint="eastAsia"/>
                <w:sz w:val="18"/>
                <w:szCs w:val="18"/>
                <w:vertAlign w:val="superscript"/>
              </w:rPr>
              <w:t>2</w:t>
            </w:r>
            <w:r>
              <w:rPr>
                <w:rFonts w:hint="eastAsia"/>
                <w:sz w:val="18"/>
                <w:szCs w:val="18"/>
              </w:rPr>
              <w:t>。</w:t>
            </w:r>
            <w:r>
              <w:rPr>
                <w:rFonts w:hint="eastAsia"/>
                <w:bCs/>
                <w:sz w:val="18"/>
                <w:szCs w:val="18"/>
              </w:rPr>
              <w:t>废液化气罐、引爆后的安全气囊、废制冷剂、布袋除尘器截留粉尘、其他废物（破碎的玻璃、轮胎、轮毂、塑料等）</w:t>
            </w:r>
            <w:r>
              <w:rPr>
                <w:rFonts w:hint="eastAsia"/>
                <w:sz w:val="18"/>
                <w:szCs w:val="18"/>
              </w:rPr>
              <w:t>集中收集后交由具有相应资质的单位利用和处置。废旧动力蓄电池（不包含铅蓄电池）收集后存放于动力蓄电池贮存区。建设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adjustRightInd w:val="0"/>
              <w:snapToGrid w:val="0"/>
              <w:spacing w:line="240" w:lineRule="exact"/>
              <w:ind w:firstLine="360" w:firstLineChars="200"/>
              <w:rPr>
                <w:sz w:val="18"/>
                <w:szCs w:val="18"/>
              </w:rPr>
            </w:pPr>
            <w:r>
              <w:rPr>
                <w:rFonts w:hint="eastAsia"/>
                <w:sz w:val="18"/>
                <w:szCs w:val="18"/>
              </w:rPr>
              <w:t>危险废物暂存间：拟建项目新建危废暂存间，位于厂区内西北侧，建筑面积为140m</w:t>
            </w:r>
            <w:r>
              <w:rPr>
                <w:rFonts w:hint="eastAsia"/>
                <w:sz w:val="18"/>
                <w:szCs w:val="18"/>
                <w:vertAlign w:val="superscript"/>
              </w:rPr>
              <w:t>2</w:t>
            </w:r>
            <w:r>
              <w:rPr>
                <w:rFonts w:hint="eastAsia"/>
                <w:sz w:val="18"/>
                <w:szCs w:val="18"/>
              </w:rPr>
              <w:t>。</w:t>
            </w:r>
            <w:r>
              <w:rPr>
                <w:rFonts w:hint="eastAsia"/>
                <w:bCs/>
                <w:sz w:val="18"/>
                <w:szCs w:val="18"/>
              </w:rPr>
              <w:t>废铅蓄电池、含多氯联苯的废电容器、废尾气催化剂、废矿物油与含矿物油废物、废电路板及其元件、废机油滤清器、废油箱、石棉废物、含汞废物、污水处理站污泥、废含油抹布及劳保用品、废活性炭、废活性炭沾染危化品的废包装材料</w:t>
            </w:r>
            <w:r>
              <w:rPr>
                <w:rFonts w:hint="eastAsia"/>
                <w:sz w:val="18"/>
                <w:szCs w:val="18"/>
              </w:rPr>
              <w:t>等属于危险废物，集中收集交有资质单位统一清运处置。建设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adjustRightInd w:val="0"/>
              <w:snapToGrid w:val="0"/>
              <w:spacing w:line="240" w:lineRule="exact"/>
              <w:ind w:firstLine="360" w:firstLineChars="200"/>
              <w:rPr>
                <w:sz w:val="18"/>
                <w:szCs w:val="18"/>
              </w:rPr>
            </w:pPr>
            <w:r>
              <w:rPr>
                <w:rFonts w:hint="eastAsia"/>
                <w:sz w:val="18"/>
                <w:szCs w:val="18"/>
              </w:rPr>
              <w:t>生活垃圾收集后由当地环卫部门统一清运处理。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7" w:type="pct"/>
            <w:vAlign w:val="center"/>
          </w:tcPr>
          <w:p>
            <w:pPr>
              <w:adjustRightInd w:val="0"/>
              <w:snapToGrid w:val="0"/>
              <w:spacing w:line="240" w:lineRule="exact"/>
              <w:jc w:val="center"/>
              <w:rPr>
                <w:sz w:val="18"/>
                <w:szCs w:val="18"/>
              </w:rPr>
            </w:pPr>
            <w:r>
              <w:rPr>
                <w:sz w:val="18"/>
                <w:szCs w:val="18"/>
              </w:rPr>
              <w:t>土壤及地下水污染防治措施</w:t>
            </w:r>
          </w:p>
        </w:tc>
        <w:tc>
          <w:tcPr>
            <w:tcW w:w="4493" w:type="pct"/>
            <w:gridSpan w:val="4"/>
            <w:vAlign w:val="center"/>
          </w:tcPr>
          <w:p>
            <w:pPr>
              <w:adjustRightInd w:val="0"/>
              <w:snapToGrid w:val="0"/>
              <w:spacing w:line="240" w:lineRule="exact"/>
              <w:ind w:firstLine="360" w:firstLineChars="200"/>
              <w:rPr>
                <w:sz w:val="18"/>
                <w:szCs w:val="18"/>
              </w:rPr>
            </w:pPr>
            <w:r>
              <w:rPr>
                <w:rFonts w:hint="eastAsia"/>
                <w:sz w:val="18"/>
                <w:szCs w:val="18"/>
              </w:rPr>
              <w:t>柴油、润滑油、液压油包装桶装存放于原辅料库房，下设托盘，存放区域地面需进行重点防渗，可有效防止柴油、润滑油、液压油泄漏对土壤、地下水的影响。危险废物存放于危废暂存间，使用专用盛具盛放，地面进行重点防渗。污水处理站、事故池等需要防腐防渗。</w:t>
            </w:r>
          </w:p>
          <w:p>
            <w:pPr>
              <w:adjustRightInd w:val="0"/>
              <w:snapToGrid w:val="0"/>
              <w:spacing w:line="240" w:lineRule="exact"/>
              <w:ind w:firstLine="360" w:firstLineChars="200"/>
              <w:rPr>
                <w:sz w:val="18"/>
                <w:szCs w:val="18"/>
              </w:rPr>
            </w:pPr>
            <w:r>
              <w:rPr>
                <w:rFonts w:hint="eastAsia"/>
                <w:sz w:val="18"/>
                <w:szCs w:val="18"/>
              </w:rPr>
              <w:t>重点防渗区：</w:t>
            </w:r>
          </w:p>
          <w:p>
            <w:pPr>
              <w:adjustRightInd w:val="0"/>
              <w:snapToGrid w:val="0"/>
              <w:spacing w:line="240" w:lineRule="exact"/>
              <w:ind w:firstLine="360" w:firstLineChars="200"/>
              <w:rPr>
                <w:sz w:val="18"/>
                <w:szCs w:val="18"/>
              </w:rPr>
            </w:pPr>
            <w:r>
              <w:rPr>
                <w:rFonts w:hint="eastAsia"/>
                <w:sz w:val="18"/>
                <w:szCs w:val="18"/>
              </w:rPr>
              <w:t>主要为原料库房、危废暂存间、污水处理站、事故池，需满足《环境影响评价技术导则地下水环境》（HJ610-2016）中等效黏土防渗层厚度Mb≥6.0m，渗透系数K≤1×10</w:t>
            </w:r>
            <w:r>
              <w:rPr>
                <w:rFonts w:hint="eastAsia"/>
                <w:sz w:val="18"/>
                <w:szCs w:val="18"/>
                <w:vertAlign w:val="superscript"/>
              </w:rPr>
              <w:t>-7</w:t>
            </w:r>
            <w:r>
              <w:rPr>
                <w:rFonts w:hint="eastAsia"/>
                <w:sz w:val="18"/>
                <w:szCs w:val="18"/>
              </w:rPr>
              <w:t>cm/s的要求。另废蓄电池拆解区和储存区地面需做防酸、防腐、防渗、硬化及绝缘处理，废铅蓄电池拆解区和储存区的地面应做防酸、防腐、防渗及硬化处理，危险废物贮存区应设置液体导流和收集装置，地面应无液体积聚。</w:t>
            </w:r>
          </w:p>
          <w:p>
            <w:pPr>
              <w:adjustRightInd w:val="0"/>
              <w:snapToGrid w:val="0"/>
              <w:spacing w:line="240" w:lineRule="exact"/>
              <w:ind w:firstLine="360" w:firstLineChars="200"/>
              <w:rPr>
                <w:sz w:val="18"/>
                <w:szCs w:val="18"/>
              </w:rPr>
            </w:pPr>
            <w:r>
              <w:rPr>
                <w:rFonts w:hint="eastAsia"/>
                <w:sz w:val="18"/>
                <w:szCs w:val="18"/>
              </w:rPr>
              <w:t>一般防渗区：</w:t>
            </w:r>
          </w:p>
          <w:p>
            <w:pPr>
              <w:adjustRightInd w:val="0"/>
              <w:snapToGrid w:val="0"/>
              <w:spacing w:line="240" w:lineRule="exact"/>
              <w:ind w:firstLine="360" w:firstLineChars="200"/>
              <w:rPr>
                <w:sz w:val="18"/>
                <w:szCs w:val="18"/>
              </w:rPr>
            </w:pPr>
            <w:r>
              <w:rPr>
                <w:rFonts w:hint="eastAsia"/>
                <w:sz w:val="18"/>
                <w:szCs w:val="18"/>
              </w:rPr>
              <w:t>拆解车间、破碎车间、成品库房、一般工业固废暂存间，需满足《环境影响评价技术导则地下水环境》（HJ610-2016）中等效黏土防渗层厚度Mb≥1.5m，渗透系数K≤1×10</w:t>
            </w:r>
            <w:r>
              <w:rPr>
                <w:rFonts w:hint="eastAsia"/>
                <w:sz w:val="18"/>
                <w:szCs w:val="18"/>
                <w:vertAlign w:val="superscript"/>
              </w:rPr>
              <w:t>-7</w:t>
            </w:r>
            <w:r>
              <w:rPr>
                <w:rFonts w:hint="eastAsia"/>
                <w:sz w:val="18"/>
                <w:szCs w:val="18"/>
              </w:rPr>
              <w:t>cm/s的要求。另拆解作业区应具有防渗地面和油水收集设施，地面应符合GB 50037 的防油渗地面要求；作业区地面混凝土强度等级不低于C20，厚度不低于150 mm，其中物流通道路面和拆解作业区域强度不低于C30，厚度不低于200 mm。大型拆解设备承重区域的硬化标准参照设备工艺要求执行；</w:t>
            </w:r>
          </w:p>
          <w:p>
            <w:pPr>
              <w:adjustRightInd w:val="0"/>
              <w:snapToGrid w:val="0"/>
              <w:spacing w:line="240" w:lineRule="exact"/>
              <w:ind w:firstLine="360" w:firstLineChars="200"/>
              <w:rPr>
                <w:sz w:val="18"/>
                <w:szCs w:val="18"/>
              </w:rPr>
            </w:pPr>
            <w:r>
              <w:rPr>
                <w:rFonts w:hint="eastAsia"/>
                <w:sz w:val="18"/>
                <w:szCs w:val="18"/>
              </w:rPr>
              <w:t>简单防渗区：</w:t>
            </w:r>
          </w:p>
          <w:p>
            <w:pPr>
              <w:adjustRightInd w:val="0"/>
              <w:snapToGrid w:val="0"/>
              <w:spacing w:line="240" w:lineRule="exact"/>
              <w:ind w:firstLine="360" w:firstLineChars="200"/>
              <w:rPr>
                <w:sz w:val="18"/>
                <w:szCs w:val="18"/>
              </w:rPr>
            </w:pPr>
            <w:r>
              <w:rPr>
                <w:rFonts w:hint="eastAsia"/>
                <w:sz w:val="18"/>
                <w:szCs w:val="18"/>
              </w:rPr>
              <w:t>简单防渗区主要为做好地面硬化，主要为厂区其他区域。</w:t>
            </w:r>
          </w:p>
          <w:p>
            <w:pPr>
              <w:adjustRightInd w:val="0"/>
              <w:snapToGrid w:val="0"/>
              <w:spacing w:line="240" w:lineRule="exact"/>
              <w:ind w:firstLine="360" w:firstLineChars="200"/>
              <w:rPr>
                <w:sz w:val="18"/>
                <w:szCs w:val="18"/>
              </w:rPr>
            </w:pPr>
            <w:r>
              <w:rPr>
                <w:rFonts w:hint="eastAsia"/>
                <w:sz w:val="18"/>
                <w:szCs w:val="18"/>
              </w:rPr>
              <w:t>采取上述措施后，项目对地下水基本不会造成明显影响。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507" w:type="pct"/>
            <w:vAlign w:val="center"/>
          </w:tcPr>
          <w:p>
            <w:pPr>
              <w:adjustRightInd w:val="0"/>
              <w:snapToGrid w:val="0"/>
              <w:spacing w:line="240" w:lineRule="exact"/>
              <w:jc w:val="center"/>
              <w:rPr>
                <w:spacing w:val="-8"/>
                <w:sz w:val="18"/>
                <w:szCs w:val="18"/>
              </w:rPr>
            </w:pPr>
            <w:r>
              <w:rPr>
                <w:spacing w:val="-8"/>
                <w:sz w:val="18"/>
                <w:szCs w:val="18"/>
              </w:rPr>
              <w:t>环境风险</w:t>
            </w:r>
          </w:p>
          <w:p>
            <w:pPr>
              <w:adjustRightInd w:val="0"/>
              <w:snapToGrid w:val="0"/>
              <w:spacing w:line="240" w:lineRule="exact"/>
              <w:jc w:val="center"/>
              <w:rPr>
                <w:spacing w:val="-8"/>
                <w:sz w:val="18"/>
                <w:szCs w:val="18"/>
              </w:rPr>
            </w:pPr>
            <w:r>
              <w:rPr>
                <w:spacing w:val="-8"/>
                <w:sz w:val="18"/>
                <w:szCs w:val="18"/>
              </w:rPr>
              <w:t>防范措施</w:t>
            </w:r>
          </w:p>
        </w:tc>
        <w:tc>
          <w:tcPr>
            <w:tcW w:w="4493" w:type="pct"/>
            <w:gridSpan w:val="4"/>
            <w:vAlign w:val="center"/>
          </w:tcPr>
          <w:p>
            <w:pPr>
              <w:adjustRightInd w:val="0"/>
              <w:snapToGrid w:val="0"/>
              <w:spacing w:line="240" w:lineRule="exact"/>
              <w:ind w:firstLine="360" w:firstLineChars="200"/>
              <w:rPr>
                <w:sz w:val="18"/>
                <w:szCs w:val="18"/>
              </w:rPr>
            </w:pPr>
            <w:r>
              <w:rPr>
                <w:rFonts w:hint="eastAsia"/>
                <w:sz w:val="18"/>
                <w:szCs w:val="18"/>
              </w:rPr>
              <w:t>1）生产拆解过程环境风险防范措施：分区防渗；对于拆解过程可能泄漏至地面的少量油类，可用砂土、棉纱等吸附介质覆盖吸附，搅拌后集中交具有相关危废处理资质的单位进行处理；废蓄电池拆解的过程中要专业人员操作；拆解油箱及燃气瓶过程中，建议戴自给式呼吸器，严禁明火、金属碰撞，严禁穿钉鞋；要用防爆工具；安全气囊引爆在专门的密闭式安全气囊引爆装置进行。</w:t>
            </w:r>
          </w:p>
          <w:p>
            <w:pPr>
              <w:adjustRightInd w:val="0"/>
              <w:snapToGrid w:val="0"/>
              <w:spacing w:line="240" w:lineRule="exact"/>
              <w:ind w:firstLine="360" w:firstLineChars="200"/>
              <w:rPr>
                <w:sz w:val="18"/>
                <w:szCs w:val="18"/>
              </w:rPr>
            </w:pPr>
            <w:r>
              <w:rPr>
                <w:sz w:val="18"/>
                <w:szCs w:val="18"/>
              </w:rPr>
              <w:t>2</w:t>
            </w:r>
            <w:r>
              <w:rPr>
                <w:rFonts w:hint="eastAsia"/>
                <w:sz w:val="18"/>
                <w:szCs w:val="18"/>
              </w:rPr>
              <w:t>）储存过程环境风险防范措施：按照重点和简单进行分区防渗；危险废物应存放于专门的收集容器，设置独立的存放空间场所避免于其他废旧物资混杂存放；设置550m</w:t>
            </w:r>
            <w:r>
              <w:rPr>
                <w:rFonts w:hint="eastAsia"/>
                <w:sz w:val="18"/>
                <w:szCs w:val="18"/>
                <w:vertAlign w:val="superscript"/>
              </w:rPr>
              <w:t>3</w:t>
            </w:r>
            <w:r>
              <w:rPr>
                <w:rFonts w:hint="eastAsia"/>
                <w:sz w:val="18"/>
                <w:szCs w:val="18"/>
              </w:rPr>
              <w:t>的事故池及配套设置的事故废水收集管网系统的雨污切换阀；</w:t>
            </w:r>
          </w:p>
          <w:p>
            <w:pPr>
              <w:adjustRightInd w:val="0"/>
              <w:snapToGrid w:val="0"/>
              <w:spacing w:line="240" w:lineRule="exact"/>
              <w:ind w:firstLine="360" w:firstLineChars="200"/>
              <w:rPr>
                <w:sz w:val="18"/>
                <w:szCs w:val="18"/>
              </w:rPr>
            </w:pPr>
            <w:r>
              <w:rPr>
                <w:rFonts w:hint="eastAsia"/>
                <w:sz w:val="18"/>
                <w:szCs w:val="18"/>
              </w:rPr>
              <w:t>3）厂区转运过程环境风险防范措施</w:t>
            </w:r>
          </w:p>
          <w:p>
            <w:pPr>
              <w:adjustRightInd w:val="0"/>
              <w:snapToGrid w:val="0"/>
              <w:spacing w:line="240" w:lineRule="exact"/>
              <w:ind w:firstLine="360" w:firstLineChars="200"/>
              <w:rPr>
                <w:sz w:val="18"/>
                <w:szCs w:val="18"/>
              </w:rPr>
            </w:pPr>
            <w:r>
              <w:rPr>
                <w:rFonts w:hint="eastAsia"/>
                <w:sz w:val="18"/>
                <w:szCs w:val="18"/>
              </w:rPr>
              <w:t>项目设置有电池周转箱、拆解件周转箱，项目拆解产生的完好蓄电池采用经人工分类后，完好的存放于木制托盘上，并用缠绕带进行包装，利用叉车运至存放区，尽快通知有资质的运输公司进行厂外转运；破损的蓄电池采用防腐周转箱转至危废暂存区分区单独存放。含有多氯联苯的废电容器采用双塞聚乙烯塑料桶收集后，采用叉车运至危废暂存区分区带桶存放；</w:t>
            </w:r>
          </w:p>
          <w:p>
            <w:pPr>
              <w:adjustRightInd w:val="0"/>
              <w:snapToGrid w:val="0"/>
              <w:spacing w:line="240" w:lineRule="exact"/>
              <w:ind w:firstLine="360" w:firstLineChars="200"/>
              <w:rPr>
                <w:sz w:val="18"/>
                <w:szCs w:val="18"/>
              </w:rPr>
            </w:pPr>
            <w:r>
              <w:rPr>
                <w:rFonts w:hint="eastAsia"/>
                <w:sz w:val="18"/>
                <w:szCs w:val="18"/>
              </w:rPr>
              <w:t>4）厂区环境风险管理措施</w:t>
            </w:r>
          </w:p>
          <w:p>
            <w:pPr>
              <w:adjustRightInd w:val="0"/>
              <w:snapToGrid w:val="0"/>
              <w:spacing w:line="240" w:lineRule="exact"/>
              <w:ind w:firstLine="360" w:firstLineChars="200"/>
              <w:rPr>
                <w:sz w:val="18"/>
                <w:szCs w:val="18"/>
              </w:rPr>
            </w:pPr>
            <w:r>
              <w:rPr>
                <w:rFonts w:hint="eastAsia"/>
                <w:sz w:val="18"/>
                <w:szCs w:val="18"/>
              </w:rPr>
              <w:t>在各储存区与生产车间应配备足够的专用灭火器材、设置沙包、沙袋或沙箱等应急物资。厂区内昼、夜24h应有安全值班人员值守。对每个职工进行安全知识与环保知识的岗前培训，使每个职工学会使用灭火器材，并进行考核，考核合格后方能上岗；</w:t>
            </w:r>
          </w:p>
          <w:p>
            <w:pPr>
              <w:adjustRightInd w:val="0"/>
              <w:snapToGrid w:val="0"/>
              <w:spacing w:line="240" w:lineRule="exact"/>
              <w:ind w:firstLine="360" w:firstLineChars="200"/>
              <w:rPr>
                <w:sz w:val="18"/>
                <w:szCs w:val="18"/>
              </w:rPr>
            </w:pPr>
            <w:r>
              <w:rPr>
                <w:rFonts w:hint="eastAsia"/>
                <w:sz w:val="18"/>
                <w:szCs w:val="18"/>
              </w:rPr>
              <w:t>5）应急预案</w:t>
            </w:r>
          </w:p>
          <w:p>
            <w:pPr>
              <w:adjustRightInd w:val="0"/>
              <w:snapToGrid w:val="0"/>
              <w:spacing w:line="240" w:lineRule="exact"/>
              <w:ind w:firstLine="360" w:firstLineChars="200"/>
              <w:rPr>
                <w:sz w:val="18"/>
                <w:szCs w:val="18"/>
              </w:rPr>
            </w:pPr>
            <w:r>
              <w:rPr>
                <w:rFonts w:hint="eastAsia"/>
                <w:sz w:val="18"/>
                <w:szCs w:val="18"/>
              </w:rPr>
              <w:t>本评价要求，拟建项目在建成运行后、完成竣工环境保护验收之前，应及时编写企业突发环境事件应急预案，并严格按照《企业事业单位突发环境事件应急预案评审工作指南（试行）》要求，组织开始应急预案。最终，将应急预案报生态环境局备案并定期进行演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07" w:type="pct"/>
            <w:vAlign w:val="center"/>
          </w:tcPr>
          <w:p>
            <w:pPr>
              <w:adjustRightInd w:val="0"/>
              <w:snapToGrid w:val="0"/>
              <w:spacing w:line="240" w:lineRule="exact"/>
              <w:jc w:val="center"/>
              <w:rPr>
                <w:spacing w:val="-8"/>
                <w:sz w:val="18"/>
                <w:szCs w:val="18"/>
              </w:rPr>
            </w:pPr>
            <w:r>
              <w:rPr>
                <w:spacing w:val="-8"/>
                <w:sz w:val="18"/>
                <w:szCs w:val="18"/>
              </w:rPr>
              <w:t>其他环境</w:t>
            </w:r>
          </w:p>
          <w:p>
            <w:pPr>
              <w:adjustRightInd w:val="0"/>
              <w:snapToGrid w:val="0"/>
              <w:spacing w:line="240" w:lineRule="exact"/>
              <w:jc w:val="center"/>
              <w:rPr>
                <w:spacing w:val="-8"/>
                <w:sz w:val="18"/>
                <w:szCs w:val="18"/>
              </w:rPr>
            </w:pPr>
            <w:r>
              <w:rPr>
                <w:spacing w:val="-8"/>
                <w:sz w:val="18"/>
                <w:szCs w:val="18"/>
              </w:rPr>
              <w:t>管理要求</w:t>
            </w:r>
          </w:p>
        </w:tc>
        <w:tc>
          <w:tcPr>
            <w:tcW w:w="4493" w:type="pct"/>
            <w:gridSpan w:val="4"/>
            <w:vAlign w:val="center"/>
          </w:tcPr>
          <w:p>
            <w:pPr>
              <w:spacing w:line="240" w:lineRule="exact"/>
              <w:ind w:firstLine="360" w:firstLineChars="200"/>
              <w:rPr>
                <w:sz w:val="18"/>
                <w:szCs w:val="18"/>
              </w:rPr>
            </w:pPr>
            <w:r>
              <w:rPr>
                <w:sz w:val="18"/>
                <w:szCs w:val="18"/>
              </w:rPr>
              <w:t>台账管理要求</w:t>
            </w:r>
            <w:r>
              <w:rPr>
                <w:rFonts w:hint="eastAsia"/>
                <w:sz w:val="18"/>
                <w:szCs w:val="18"/>
              </w:rPr>
              <w:t>：建立环境管理台账，内容包含单位基本信息、监测记录信息、生产设施运行管理信息、污染防治设施运行管理信息等。</w:t>
            </w:r>
          </w:p>
          <w:p>
            <w:pPr>
              <w:ind w:firstLine="360" w:firstLineChars="200"/>
              <w:rPr>
                <w:rFonts w:ascii="宋体" w:hAnsi="宋体" w:cs="宋体"/>
                <w:kern w:val="0"/>
                <w:sz w:val="18"/>
                <w:szCs w:val="18"/>
              </w:rPr>
            </w:pPr>
            <w:r>
              <w:rPr>
                <w:rFonts w:hint="eastAsia" w:ascii="宋体" w:hAnsi="宋体" w:cs="宋体"/>
                <w:kern w:val="0"/>
                <w:sz w:val="18"/>
                <w:szCs w:val="18"/>
              </w:rPr>
              <w:t>危化品储存：危化品由专人管理，危化品出入库必须进行核查登记，并定期检查库存。</w:t>
            </w:r>
          </w:p>
          <w:p>
            <w:pPr>
              <w:ind w:firstLine="360" w:firstLineChars="200"/>
              <w:rPr>
                <w:rFonts w:ascii="宋体" w:hAnsi="宋体" w:cs="宋体"/>
                <w:kern w:val="0"/>
                <w:sz w:val="18"/>
                <w:szCs w:val="18"/>
              </w:rPr>
            </w:pPr>
            <w:r>
              <w:rPr>
                <w:rFonts w:hint="eastAsia" w:ascii="宋体" w:hAnsi="宋体" w:cs="宋体"/>
                <w:kern w:val="0"/>
                <w:sz w:val="18"/>
                <w:szCs w:val="18"/>
              </w:rPr>
              <w:t>生产工艺管理：废气收集装置和污染治理设施应在满足设计工况的条件下进行，并根据工艺要求，定期对设备、电器、自控仪表及构筑物进行检查维护，确保废气收集装置及污染治理设置可靠运行</w:t>
            </w:r>
          </w:p>
          <w:p>
            <w:pPr>
              <w:spacing w:line="240" w:lineRule="exact"/>
              <w:ind w:firstLine="360" w:firstLineChars="200"/>
              <w:rPr>
                <w:sz w:val="18"/>
                <w:szCs w:val="18"/>
              </w:rPr>
            </w:pPr>
            <w:r>
              <w:rPr>
                <w:rFonts w:hint="eastAsia" w:ascii="宋体" w:hAnsi="宋体" w:cs="宋体"/>
                <w:kern w:val="0"/>
                <w:sz w:val="18"/>
                <w:szCs w:val="18"/>
              </w:rPr>
              <w:t>操作技术要求：企业应如实记录含</w:t>
            </w:r>
            <w:r>
              <w:rPr>
                <w:kern w:val="0"/>
                <w:sz w:val="18"/>
                <w:szCs w:val="18"/>
              </w:rPr>
              <w:t>VOCs</w:t>
            </w:r>
            <w:r>
              <w:rPr>
                <w:rFonts w:hint="eastAsia" w:ascii="宋体" w:hAnsi="宋体" w:cs="宋体"/>
                <w:kern w:val="0"/>
                <w:sz w:val="18"/>
                <w:szCs w:val="18"/>
              </w:rPr>
              <w:t>原料的购置、储存、使用及处理</w:t>
            </w:r>
            <w:r>
              <w:rPr>
                <w:rFonts w:hint="eastAsia" w:ascii="宋体" w:hAnsi="宋体" w:cs="宋体"/>
                <w:kern w:val="0"/>
                <w:sz w:val="18"/>
                <w:szCs w:val="18"/>
                <w:lang w:eastAsia="zh-CN"/>
              </w:rPr>
              <w:t>等台账</w:t>
            </w:r>
            <w:r>
              <w:rPr>
                <w:rFonts w:hint="eastAsia" w:ascii="宋体" w:hAnsi="宋体" w:cs="宋体"/>
                <w:kern w:val="0"/>
                <w:sz w:val="18"/>
                <w:szCs w:val="18"/>
              </w:rPr>
              <w:t>，并保存相关原始凭据，供主管部门查验。记录保存时间不少于</w:t>
            </w:r>
            <w:r>
              <w:rPr>
                <w:kern w:val="0"/>
                <w:sz w:val="18"/>
                <w:szCs w:val="18"/>
              </w:rPr>
              <w:t>3</w:t>
            </w:r>
            <w:r>
              <w:rPr>
                <w:rFonts w:hint="eastAsia" w:ascii="宋体" w:hAnsi="宋体" w:cs="宋体"/>
                <w:kern w:val="0"/>
                <w:sz w:val="18"/>
                <w:szCs w:val="18"/>
              </w:rPr>
              <w:t>年。应记录的数据包括含</w:t>
            </w:r>
            <w:r>
              <w:rPr>
                <w:kern w:val="0"/>
                <w:sz w:val="18"/>
                <w:szCs w:val="18"/>
              </w:rPr>
              <w:t>VOCs</w:t>
            </w:r>
            <w:r>
              <w:rPr>
                <w:rFonts w:hint="eastAsia" w:ascii="宋体" w:hAnsi="宋体" w:cs="宋体"/>
                <w:kern w:val="0"/>
                <w:sz w:val="18"/>
                <w:szCs w:val="18"/>
              </w:rPr>
              <w:t xml:space="preserve">的原辅料的月使用量、产品月生产量；吸附处理装置中及吸附剂的使用量、使用期限和更换频率。 </w:t>
            </w:r>
          </w:p>
        </w:tc>
      </w:tr>
    </w:tbl>
    <w:p>
      <w:pPr>
        <w:pStyle w:val="18"/>
        <w:jc w:val="center"/>
        <w:outlineLvl w:val="0"/>
        <w:rPr>
          <w:rFonts w:ascii="Times New Roman" w:hAnsi="Times New Roman"/>
          <w:snapToGrid w:val="0"/>
        </w:rPr>
        <w:sectPr>
          <w:pgSz w:w="16839" w:h="11907" w:orient="landscape"/>
          <w:pgMar w:top="1531" w:right="1701" w:bottom="1531" w:left="1701" w:header="851" w:footer="851" w:gutter="0"/>
          <w:cols w:space="720" w:num="1"/>
          <w:docGrid w:linePitch="312" w:charSpace="0"/>
        </w:sectPr>
      </w:pPr>
      <w:r>
        <w:rPr>
          <w:rFonts w:ascii="Times New Roman" w:hAnsi="Times New Roman"/>
          <w:snapToGrid w:val="0"/>
        </w:rPr>
        <w:br w:type="page"/>
      </w:r>
    </w:p>
    <w:p>
      <w:pPr>
        <w:pStyle w:val="18"/>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六、结论</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line="360" w:lineRule="auto"/>
              <w:ind w:firstLine="480" w:firstLineChars="200"/>
              <w:rPr>
                <w:sz w:val="24"/>
              </w:rPr>
            </w:pPr>
            <w:r>
              <w:rPr>
                <w:rFonts w:hint="eastAsia"/>
                <w:sz w:val="24"/>
              </w:rPr>
              <w:t>重庆集健再生资源回收有限责任公司重庆集健再生资源有限责任公司报废机动车回收拆解再利用项目位于重庆市大足区邮亭镇工业园区A7-01/01地块，项目符合国家产业政策，符合</w:t>
            </w:r>
            <w:r>
              <w:rPr>
                <w:rFonts w:hint="eastAsia"/>
                <w:bCs/>
                <w:sz w:val="24"/>
              </w:rPr>
              <w:t>《重庆市大足区人民政府关于落实生态保护红线、环境质量底线、资源利用上线制定生态环境准入清单实施生态环境分区管控的实施意见》（大足府发〔2020〕39号）</w:t>
            </w:r>
            <w:r>
              <w:rPr>
                <w:rFonts w:hint="eastAsia"/>
                <w:sz w:val="24"/>
              </w:rPr>
              <w:t>要求，符合</w:t>
            </w:r>
            <w:r>
              <w:rPr>
                <w:rFonts w:hint="eastAsia"/>
                <w:bCs/>
                <w:sz w:val="24"/>
              </w:rPr>
              <w:t>重庆市环境保护局关重庆市双桥经济技术开发区邮亭片区A区控制性详细规划</w:t>
            </w:r>
            <w:r>
              <w:rPr>
                <w:rFonts w:hint="eastAsia"/>
                <w:sz w:val="24"/>
              </w:rPr>
              <w:t>及入园条件。项目采用的污染防治措施技术经济可行，能确保各种污染物稳定达标排放，对环境不会造成明显影响，不会改变区域环境功能。采取严格的风险防范措施后，环境风险可防可控。因此，在严格落实各项环境保护措施和风险防范措施后，从环境保护角度分析，拟建项目建设是合理、可行的。</w:t>
            </w:r>
          </w:p>
        </w:tc>
      </w:tr>
    </w:tbl>
    <w:p>
      <w:pPr>
        <w:sectPr>
          <w:pgSz w:w="11906" w:h="16838"/>
          <w:pgMar w:top="1701" w:right="1531" w:bottom="1701" w:left="1531" w:header="851" w:footer="851" w:gutter="0"/>
          <w:cols w:space="720" w:num="1"/>
          <w:docGrid w:linePitch="312" w:charSpace="0"/>
        </w:sectPr>
      </w:pPr>
    </w:p>
    <w:p>
      <w:pPr>
        <w:pStyle w:val="18"/>
        <w:adjustRightInd w:val="0"/>
        <w:snapToGrid w:val="0"/>
        <w:spacing w:before="0" w:beforeAutospacing="0" w:after="0" w:afterAutospacing="0" w:line="648" w:lineRule="auto"/>
        <w:outlineLvl w:val="0"/>
        <w:rPr>
          <w:rFonts w:ascii="Times New Roman" w:hAnsi="Times New Roman" w:eastAsia="黑体"/>
          <w:snapToGrid w:val="0"/>
          <w:sz w:val="32"/>
          <w:szCs w:val="32"/>
        </w:rPr>
      </w:pPr>
      <w:r>
        <w:rPr>
          <w:rFonts w:ascii="Times New Roman" w:hAnsi="Times New Roman" w:eastAsia="黑体"/>
          <w:snapToGrid w:val="0"/>
          <w:sz w:val="32"/>
          <w:szCs w:val="32"/>
        </w:rPr>
        <w:t>附表</w:t>
      </w:r>
    </w:p>
    <w:p>
      <w:pPr>
        <w:pStyle w:val="18"/>
        <w:adjustRightInd w:val="0"/>
        <w:snapToGrid w:val="0"/>
        <w:spacing w:before="0" w:beforeAutospacing="0" w:after="0" w:afterAutospacing="0" w:line="552" w:lineRule="auto"/>
        <w:jc w:val="center"/>
        <w:outlineLvl w:val="0"/>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1"/>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59"/>
        <w:gridCol w:w="1559"/>
        <w:gridCol w:w="1276"/>
        <w:gridCol w:w="1701"/>
        <w:gridCol w:w="1559"/>
        <w:gridCol w:w="1761"/>
        <w:gridCol w:w="1641"/>
        <w:gridCol w:w="11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项目</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分类</w:t>
            </w:r>
          </w:p>
        </w:tc>
        <w:tc>
          <w:tcPr>
            <w:tcW w:w="1559"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污染物名称</w:t>
            </w:r>
          </w:p>
        </w:tc>
        <w:tc>
          <w:tcPr>
            <w:tcW w:w="1559"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现有工程</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排放量（固体废物产生量）</w:t>
            </w:r>
            <w:r>
              <w:rPr>
                <w:rFonts w:ascii="Times New Roman" w:eastAsiaTheme="majorEastAsia"/>
                <w:snapToGrid w:val="0"/>
                <w:spacing w:val="-6"/>
                <w:kern w:val="21"/>
                <w:sz w:val="18"/>
                <w:szCs w:val="18"/>
              </w:rPr>
              <w:fldChar w:fldCharType="begin"/>
            </w:r>
            <w:r>
              <w:rPr>
                <w:rFonts w:ascii="Times New Roman" w:eastAsiaTheme="majorEastAsia"/>
                <w:snapToGrid w:val="0"/>
                <w:spacing w:val="-6"/>
                <w:kern w:val="21"/>
                <w:sz w:val="18"/>
                <w:szCs w:val="18"/>
              </w:rPr>
              <w:instrText xml:space="preserve"> = 1 \* GB3 \* MERGEFORMAT </w:instrText>
            </w:r>
            <w:r>
              <w:rPr>
                <w:rFonts w:ascii="Times New Roman" w:eastAsiaTheme="majorEastAsia"/>
                <w:snapToGrid w:val="0"/>
                <w:spacing w:val="-6"/>
                <w:kern w:val="21"/>
                <w:sz w:val="18"/>
                <w:szCs w:val="18"/>
              </w:rPr>
              <w:fldChar w:fldCharType="separate"/>
            </w:r>
            <w:r>
              <w:rPr>
                <w:rFonts w:hint="eastAsia" w:hAnsi="宋体" w:cs="宋体"/>
                <w:kern w:val="2"/>
                <w:sz w:val="18"/>
                <w:szCs w:val="18"/>
              </w:rPr>
              <w:t>①</w:t>
            </w:r>
            <w:r>
              <w:rPr>
                <w:rFonts w:ascii="Times New Roman" w:eastAsiaTheme="majorEastAsia"/>
                <w:snapToGrid w:val="0"/>
                <w:spacing w:val="-6"/>
                <w:kern w:val="21"/>
                <w:sz w:val="18"/>
                <w:szCs w:val="18"/>
              </w:rPr>
              <w:fldChar w:fldCharType="end"/>
            </w:r>
          </w:p>
        </w:tc>
        <w:tc>
          <w:tcPr>
            <w:tcW w:w="1276"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现有工程</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许可排放量</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fldChar w:fldCharType="begin"/>
            </w:r>
            <w:r>
              <w:rPr>
                <w:rFonts w:ascii="Times New Roman" w:eastAsiaTheme="majorEastAsia"/>
                <w:snapToGrid w:val="0"/>
                <w:spacing w:val="-6"/>
                <w:kern w:val="21"/>
                <w:sz w:val="18"/>
                <w:szCs w:val="18"/>
              </w:rPr>
              <w:instrText xml:space="preserve"> = 2 \* GB3 \* MERGEFORMAT </w:instrText>
            </w:r>
            <w:r>
              <w:rPr>
                <w:rFonts w:ascii="Times New Roman" w:eastAsiaTheme="majorEastAsia"/>
                <w:snapToGrid w:val="0"/>
                <w:spacing w:val="-6"/>
                <w:kern w:val="21"/>
                <w:sz w:val="18"/>
                <w:szCs w:val="18"/>
              </w:rPr>
              <w:fldChar w:fldCharType="separate"/>
            </w:r>
            <w:r>
              <w:rPr>
                <w:rFonts w:hint="eastAsia" w:hAnsi="宋体" w:cs="宋体"/>
                <w:snapToGrid w:val="0"/>
                <w:spacing w:val="-6"/>
                <w:kern w:val="21"/>
                <w:sz w:val="18"/>
                <w:szCs w:val="18"/>
              </w:rPr>
              <w:t>②</w:t>
            </w:r>
            <w:r>
              <w:rPr>
                <w:rFonts w:ascii="Times New Roman" w:eastAsiaTheme="majorEastAsia"/>
                <w:snapToGrid w:val="0"/>
                <w:spacing w:val="-6"/>
                <w:kern w:val="21"/>
                <w:sz w:val="18"/>
                <w:szCs w:val="18"/>
              </w:rPr>
              <w:fldChar w:fldCharType="end"/>
            </w:r>
          </w:p>
        </w:tc>
        <w:tc>
          <w:tcPr>
            <w:tcW w:w="1701"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在建工程</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排放量（固体废物产生量）</w:t>
            </w:r>
            <w:r>
              <w:rPr>
                <w:rFonts w:ascii="Times New Roman" w:eastAsiaTheme="majorEastAsia"/>
                <w:snapToGrid w:val="0"/>
                <w:spacing w:val="-6"/>
                <w:kern w:val="21"/>
                <w:sz w:val="18"/>
                <w:szCs w:val="18"/>
              </w:rPr>
              <w:fldChar w:fldCharType="begin"/>
            </w:r>
            <w:r>
              <w:rPr>
                <w:rFonts w:ascii="Times New Roman" w:eastAsiaTheme="majorEastAsia"/>
                <w:snapToGrid w:val="0"/>
                <w:spacing w:val="-6"/>
                <w:kern w:val="21"/>
                <w:sz w:val="18"/>
                <w:szCs w:val="18"/>
              </w:rPr>
              <w:instrText xml:space="preserve"> = 3 \* GB3 \* MERGEFORMAT </w:instrText>
            </w:r>
            <w:r>
              <w:rPr>
                <w:rFonts w:ascii="Times New Roman" w:eastAsiaTheme="majorEastAsia"/>
                <w:snapToGrid w:val="0"/>
                <w:spacing w:val="-6"/>
                <w:kern w:val="21"/>
                <w:sz w:val="18"/>
                <w:szCs w:val="18"/>
              </w:rPr>
              <w:fldChar w:fldCharType="separate"/>
            </w:r>
            <w:r>
              <w:rPr>
                <w:rFonts w:hint="eastAsia" w:hAnsi="宋体" w:cs="宋体"/>
                <w:kern w:val="2"/>
                <w:sz w:val="18"/>
                <w:szCs w:val="18"/>
              </w:rPr>
              <w:t>③</w:t>
            </w:r>
            <w:r>
              <w:rPr>
                <w:rFonts w:ascii="Times New Roman" w:eastAsiaTheme="majorEastAsia"/>
                <w:snapToGrid w:val="0"/>
                <w:spacing w:val="-6"/>
                <w:kern w:val="21"/>
                <w:sz w:val="18"/>
                <w:szCs w:val="18"/>
              </w:rPr>
              <w:fldChar w:fldCharType="end"/>
            </w:r>
          </w:p>
        </w:tc>
        <w:tc>
          <w:tcPr>
            <w:tcW w:w="1559"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本项目</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排放量（固体废物产生量）</w:t>
            </w:r>
            <w:r>
              <w:rPr>
                <w:rFonts w:ascii="Times New Roman" w:eastAsiaTheme="majorEastAsia"/>
                <w:snapToGrid w:val="0"/>
                <w:spacing w:val="-6"/>
                <w:kern w:val="21"/>
                <w:sz w:val="18"/>
                <w:szCs w:val="18"/>
              </w:rPr>
              <w:fldChar w:fldCharType="begin"/>
            </w:r>
            <w:r>
              <w:rPr>
                <w:rFonts w:ascii="Times New Roman" w:eastAsiaTheme="majorEastAsia"/>
                <w:snapToGrid w:val="0"/>
                <w:spacing w:val="-6"/>
                <w:kern w:val="21"/>
                <w:sz w:val="18"/>
                <w:szCs w:val="18"/>
              </w:rPr>
              <w:instrText xml:space="preserve"> = 4 \* GB3 \* MERGEFORMAT </w:instrText>
            </w:r>
            <w:r>
              <w:rPr>
                <w:rFonts w:ascii="Times New Roman" w:eastAsiaTheme="majorEastAsia"/>
                <w:snapToGrid w:val="0"/>
                <w:spacing w:val="-6"/>
                <w:kern w:val="21"/>
                <w:sz w:val="18"/>
                <w:szCs w:val="18"/>
              </w:rPr>
              <w:fldChar w:fldCharType="separate"/>
            </w:r>
            <w:r>
              <w:rPr>
                <w:rFonts w:hint="eastAsia" w:hAnsi="宋体" w:cs="宋体"/>
                <w:kern w:val="2"/>
                <w:sz w:val="18"/>
                <w:szCs w:val="18"/>
              </w:rPr>
              <w:t>④</w:t>
            </w:r>
            <w:r>
              <w:rPr>
                <w:rFonts w:ascii="Times New Roman" w:eastAsiaTheme="majorEastAsia"/>
                <w:snapToGrid w:val="0"/>
                <w:spacing w:val="-6"/>
                <w:kern w:val="21"/>
                <w:sz w:val="18"/>
                <w:szCs w:val="18"/>
              </w:rPr>
              <w:fldChar w:fldCharType="end"/>
            </w:r>
          </w:p>
        </w:tc>
        <w:tc>
          <w:tcPr>
            <w:tcW w:w="1761" w:type="dxa"/>
            <w:tcMar>
              <w:left w:w="28" w:type="dxa"/>
              <w:right w:w="28" w:type="dxa"/>
            </w:tcMar>
            <w:vAlign w:val="center"/>
          </w:tcPr>
          <w:p>
            <w:pPr>
              <w:pStyle w:val="36"/>
              <w:spacing w:beforeLines="0" w:afterLines="0" w:line="240" w:lineRule="exact"/>
              <w:rPr>
                <w:rFonts w:ascii="Times New Roman" w:eastAsiaTheme="majorEastAsia"/>
                <w:snapToGrid w:val="0"/>
                <w:spacing w:val="-16"/>
                <w:kern w:val="21"/>
                <w:sz w:val="18"/>
                <w:szCs w:val="18"/>
              </w:rPr>
            </w:pPr>
            <w:r>
              <w:rPr>
                <w:rFonts w:ascii="Times New Roman" w:eastAsiaTheme="majorEastAsia"/>
                <w:snapToGrid w:val="0"/>
                <w:spacing w:val="-16"/>
                <w:kern w:val="21"/>
                <w:sz w:val="18"/>
                <w:szCs w:val="18"/>
              </w:rPr>
              <w:t>以新带老削减量</w:t>
            </w:r>
          </w:p>
          <w:p>
            <w:pPr>
              <w:pStyle w:val="36"/>
              <w:spacing w:beforeLines="0" w:afterLines="0" w:line="240" w:lineRule="exact"/>
              <w:rPr>
                <w:rFonts w:ascii="Times New Roman" w:eastAsiaTheme="majorEastAsia"/>
                <w:snapToGrid w:val="0"/>
                <w:spacing w:val="-16"/>
                <w:kern w:val="21"/>
                <w:sz w:val="18"/>
                <w:szCs w:val="18"/>
              </w:rPr>
            </w:pPr>
            <w:r>
              <w:rPr>
                <w:rFonts w:ascii="Times New Roman" w:eastAsiaTheme="majorEastAsia"/>
                <w:snapToGrid w:val="0"/>
                <w:spacing w:val="-16"/>
                <w:kern w:val="21"/>
                <w:sz w:val="18"/>
                <w:szCs w:val="18"/>
              </w:rPr>
              <w:t>（新建项目不填）</w:t>
            </w:r>
            <w:r>
              <w:rPr>
                <w:rFonts w:ascii="Times New Roman" w:eastAsiaTheme="majorEastAsia"/>
                <w:snapToGrid w:val="0"/>
                <w:spacing w:val="-16"/>
                <w:kern w:val="21"/>
                <w:sz w:val="18"/>
                <w:szCs w:val="18"/>
              </w:rPr>
              <w:fldChar w:fldCharType="begin"/>
            </w:r>
            <w:r>
              <w:rPr>
                <w:rFonts w:ascii="Times New Roman" w:eastAsiaTheme="majorEastAsia"/>
                <w:snapToGrid w:val="0"/>
                <w:spacing w:val="-16"/>
                <w:kern w:val="21"/>
                <w:sz w:val="18"/>
                <w:szCs w:val="18"/>
              </w:rPr>
              <w:instrText xml:space="preserve"> = 5 \* GB3 \* MERGEFORMAT </w:instrText>
            </w:r>
            <w:r>
              <w:rPr>
                <w:rFonts w:ascii="Times New Roman" w:eastAsiaTheme="majorEastAsia"/>
                <w:snapToGrid w:val="0"/>
                <w:spacing w:val="-16"/>
                <w:kern w:val="21"/>
                <w:sz w:val="18"/>
                <w:szCs w:val="18"/>
              </w:rPr>
              <w:fldChar w:fldCharType="separate"/>
            </w:r>
            <w:r>
              <w:rPr>
                <w:rFonts w:hint="eastAsia" w:hAnsi="宋体" w:cs="宋体"/>
                <w:kern w:val="2"/>
                <w:sz w:val="18"/>
                <w:szCs w:val="18"/>
              </w:rPr>
              <w:t>⑤</w:t>
            </w:r>
            <w:r>
              <w:rPr>
                <w:rFonts w:ascii="Times New Roman" w:eastAsiaTheme="majorEastAsia"/>
                <w:snapToGrid w:val="0"/>
                <w:spacing w:val="-16"/>
                <w:kern w:val="21"/>
                <w:sz w:val="18"/>
                <w:szCs w:val="18"/>
              </w:rPr>
              <w:fldChar w:fldCharType="end"/>
            </w:r>
          </w:p>
        </w:tc>
        <w:tc>
          <w:tcPr>
            <w:tcW w:w="1641" w:type="dxa"/>
            <w:tcMar>
              <w:left w:w="28" w:type="dxa"/>
              <w:right w:w="28" w:type="dxa"/>
            </w:tcMar>
            <w:vAlign w:val="center"/>
          </w:tcPr>
          <w:p>
            <w:pPr>
              <w:pStyle w:val="36"/>
              <w:spacing w:beforeLines="0" w:afterLines="0" w:line="240" w:lineRule="exact"/>
              <w:rPr>
                <w:rFonts w:ascii="Times New Roman" w:eastAsiaTheme="majorEastAsia"/>
                <w:snapToGrid w:val="0"/>
                <w:spacing w:val="-16"/>
                <w:kern w:val="21"/>
                <w:sz w:val="18"/>
                <w:szCs w:val="18"/>
              </w:rPr>
            </w:pPr>
            <w:r>
              <w:rPr>
                <w:rFonts w:ascii="Times New Roman" w:eastAsiaTheme="majorEastAsia"/>
                <w:snapToGrid w:val="0"/>
                <w:spacing w:val="-16"/>
                <w:kern w:val="21"/>
                <w:sz w:val="18"/>
                <w:szCs w:val="18"/>
              </w:rPr>
              <w:t>本项目建成后</w:t>
            </w:r>
          </w:p>
          <w:p>
            <w:pPr>
              <w:pStyle w:val="36"/>
              <w:spacing w:beforeLines="0" w:afterLines="0" w:line="240" w:lineRule="exact"/>
              <w:rPr>
                <w:rFonts w:ascii="Times New Roman" w:eastAsiaTheme="majorEastAsia"/>
                <w:snapToGrid w:val="0"/>
                <w:spacing w:val="-16"/>
                <w:kern w:val="21"/>
                <w:sz w:val="18"/>
                <w:szCs w:val="18"/>
              </w:rPr>
            </w:pPr>
            <w:r>
              <w:rPr>
                <w:rFonts w:ascii="Times New Roman" w:eastAsiaTheme="majorEastAsia"/>
                <w:snapToGrid w:val="0"/>
                <w:spacing w:val="-16"/>
                <w:kern w:val="21"/>
                <w:sz w:val="18"/>
                <w:szCs w:val="18"/>
              </w:rPr>
              <w:t>全厂排放量（固体废物产生量）</w:t>
            </w:r>
            <w:r>
              <w:rPr>
                <w:rFonts w:ascii="Times New Roman" w:eastAsiaTheme="majorEastAsia"/>
                <w:snapToGrid w:val="0"/>
                <w:spacing w:val="-16"/>
                <w:kern w:val="21"/>
                <w:sz w:val="18"/>
                <w:szCs w:val="18"/>
              </w:rPr>
              <w:fldChar w:fldCharType="begin"/>
            </w:r>
            <w:r>
              <w:rPr>
                <w:rFonts w:ascii="Times New Roman" w:eastAsiaTheme="majorEastAsia"/>
                <w:snapToGrid w:val="0"/>
                <w:spacing w:val="-16"/>
                <w:kern w:val="21"/>
                <w:sz w:val="18"/>
                <w:szCs w:val="18"/>
              </w:rPr>
              <w:instrText xml:space="preserve"> = 6 \* GB3 \* MERGEFORMAT </w:instrText>
            </w:r>
            <w:r>
              <w:rPr>
                <w:rFonts w:ascii="Times New Roman" w:eastAsiaTheme="majorEastAsia"/>
                <w:snapToGrid w:val="0"/>
                <w:spacing w:val="-16"/>
                <w:kern w:val="21"/>
                <w:sz w:val="18"/>
                <w:szCs w:val="18"/>
              </w:rPr>
              <w:fldChar w:fldCharType="separate"/>
            </w:r>
            <w:r>
              <w:rPr>
                <w:rFonts w:hint="eastAsia" w:hAnsi="宋体" w:cs="宋体"/>
                <w:kern w:val="2"/>
                <w:sz w:val="18"/>
                <w:szCs w:val="18"/>
              </w:rPr>
              <w:t>⑥</w:t>
            </w:r>
            <w:r>
              <w:rPr>
                <w:rFonts w:ascii="Times New Roman" w:eastAsiaTheme="majorEastAsia"/>
                <w:snapToGrid w:val="0"/>
                <w:spacing w:val="-16"/>
                <w:kern w:val="21"/>
                <w:sz w:val="18"/>
                <w:szCs w:val="18"/>
              </w:rPr>
              <w:fldChar w:fldCharType="end"/>
            </w:r>
          </w:p>
        </w:tc>
        <w:tc>
          <w:tcPr>
            <w:tcW w:w="1144" w:type="dxa"/>
            <w:tcMar>
              <w:left w:w="28" w:type="dxa"/>
              <w:right w:w="28" w:type="dxa"/>
            </w:tcMar>
            <w:vAlign w:val="center"/>
          </w:tcPr>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t>变化量</w:t>
            </w:r>
          </w:p>
          <w:p>
            <w:pPr>
              <w:pStyle w:val="36"/>
              <w:spacing w:beforeLines="0" w:afterLines="0" w:line="240" w:lineRule="exact"/>
              <w:rPr>
                <w:rFonts w:ascii="Times New Roman" w:eastAsiaTheme="majorEastAsia"/>
                <w:snapToGrid w:val="0"/>
                <w:spacing w:val="-6"/>
                <w:kern w:val="21"/>
                <w:sz w:val="18"/>
                <w:szCs w:val="18"/>
              </w:rPr>
            </w:pPr>
            <w:r>
              <w:rPr>
                <w:rFonts w:ascii="Times New Roman" w:eastAsiaTheme="majorEastAsia"/>
                <w:snapToGrid w:val="0"/>
                <w:spacing w:val="-6"/>
                <w:kern w:val="21"/>
                <w:sz w:val="18"/>
                <w:szCs w:val="18"/>
              </w:rPr>
              <w:fldChar w:fldCharType="begin"/>
            </w:r>
            <w:r>
              <w:rPr>
                <w:rFonts w:ascii="Times New Roman" w:eastAsiaTheme="majorEastAsia"/>
                <w:snapToGrid w:val="0"/>
                <w:spacing w:val="-6"/>
                <w:kern w:val="21"/>
                <w:sz w:val="18"/>
                <w:szCs w:val="18"/>
              </w:rPr>
              <w:instrText xml:space="preserve"> = 7 \* GB3 \* MERGEFORMAT </w:instrText>
            </w:r>
            <w:r>
              <w:rPr>
                <w:rFonts w:ascii="Times New Roman" w:eastAsiaTheme="majorEastAsia"/>
                <w:snapToGrid w:val="0"/>
                <w:spacing w:val="-6"/>
                <w:kern w:val="21"/>
                <w:sz w:val="18"/>
                <w:szCs w:val="18"/>
              </w:rPr>
              <w:fldChar w:fldCharType="separate"/>
            </w:r>
            <w:r>
              <w:rPr>
                <w:rFonts w:hint="eastAsia" w:hAnsi="宋体" w:cs="宋体"/>
                <w:kern w:val="2"/>
                <w:sz w:val="18"/>
                <w:szCs w:val="18"/>
              </w:rPr>
              <w:t>⑦</w:t>
            </w:r>
            <w:r>
              <w:rPr>
                <w:rFonts w:ascii="Times New Roman" w:eastAsiaTheme="majorEastAsia"/>
                <w:snapToGrid w:val="0"/>
                <w:spacing w:val="-6"/>
                <w:kern w:val="21"/>
                <w:sz w:val="18"/>
                <w:szCs w:val="18"/>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588" w:type="dxa"/>
            <w:vMerge w:val="restart"/>
            <w:vAlign w:val="center"/>
          </w:tcPr>
          <w:p>
            <w:pPr>
              <w:pStyle w:val="36"/>
              <w:spacing w:beforeLines="0" w:afterLines="0" w:line="240" w:lineRule="exact"/>
              <w:rPr>
                <w:rFonts w:ascii="Times New Roman" w:eastAsiaTheme="majorEastAsia"/>
                <w:snapToGrid w:val="0"/>
                <w:kern w:val="21"/>
                <w:sz w:val="18"/>
                <w:szCs w:val="18"/>
              </w:rPr>
            </w:pPr>
            <w:bookmarkStart w:id="8" w:name="_Hlk67589076"/>
            <w:r>
              <w:rPr>
                <w:rFonts w:ascii="Times New Roman" w:eastAsiaTheme="majorEastAsia"/>
                <w:snapToGrid w:val="0"/>
                <w:kern w:val="21"/>
                <w:sz w:val="18"/>
                <w:szCs w:val="18"/>
              </w:rPr>
              <w:t>废气</w:t>
            </w:r>
          </w:p>
        </w:tc>
        <w:tc>
          <w:tcPr>
            <w:tcW w:w="1559" w:type="dxa"/>
            <w:vAlign w:val="center"/>
          </w:tcPr>
          <w:p>
            <w:pPr>
              <w:pStyle w:val="47"/>
              <w:rPr>
                <w:rStyle w:val="91"/>
                <w:rFonts w:eastAsiaTheme="majorEastAsia"/>
                <w:sz w:val="18"/>
                <w:szCs w:val="18"/>
              </w:rPr>
            </w:pPr>
            <w:r>
              <w:t>颗粒物</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tcPr>
          <w:p>
            <w:pPr>
              <w:pStyle w:val="47"/>
              <w:rPr>
                <w:rStyle w:val="91"/>
                <w:rFonts w:eastAsiaTheme="majorEastAsia"/>
                <w:sz w:val="18"/>
                <w:szCs w:val="18"/>
              </w:rPr>
            </w:pPr>
            <w:r>
              <w:t>0.04</w:t>
            </w:r>
          </w:p>
        </w:tc>
        <w:tc>
          <w:tcPr>
            <w:tcW w:w="1761" w:type="dxa"/>
            <w:vAlign w:val="center"/>
          </w:tcPr>
          <w:p>
            <w:pPr>
              <w:pStyle w:val="47"/>
              <w:rPr>
                <w:rStyle w:val="91"/>
                <w:rFonts w:eastAsiaTheme="majorEastAsia"/>
                <w:sz w:val="18"/>
                <w:szCs w:val="18"/>
              </w:rPr>
            </w:pPr>
          </w:p>
        </w:tc>
        <w:tc>
          <w:tcPr>
            <w:tcW w:w="1641" w:type="dxa"/>
          </w:tcPr>
          <w:p>
            <w:pPr>
              <w:pStyle w:val="47"/>
              <w:rPr>
                <w:rStyle w:val="91"/>
                <w:rFonts w:eastAsiaTheme="majorEastAsia"/>
                <w:sz w:val="18"/>
                <w:szCs w:val="18"/>
              </w:rPr>
            </w:pPr>
            <w:r>
              <w:t>0.04</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bookmarkEnd w:id="8"/>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非甲烷总烃</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tcPr>
          <w:p>
            <w:pPr>
              <w:pStyle w:val="47"/>
              <w:rPr>
                <w:rStyle w:val="91"/>
                <w:rFonts w:eastAsiaTheme="majorEastAsia"/>
                <w:sz w:val="18"/>
                <w:szCs w:val="18"/>
              </w:rPr>
            </w:pPr>
            <w:r>
              <w:t>0.97</w:t>
            </w:r>
          </w:p>
        </w:tc>
        <w:tc>
          <w:tcPr>
            <w:tcW w:w="1761" w:type="dxa"/>
            <w:vAlign w:val="center"/>
          </w:tcPr>
          <w:p>
            <w:pPr>
              <w:pStyle w:val="47"/>
              <w:rPr>
                <w:rStyle w:val="91"/>
                <w:rFonts w:eastAsiaTheme="majorEastAsia"/>
                <w:sz w:val="18"/>
                <w:szCs w:val="18"/>
              </w:rPr>
            </w:pPr>
          </w:p>
        </w:tc>
        <w:tc>
          <w:tcPr>
            <w:tcW w:w="1641" w:type="dxa"/>
          </w:tcPr>
          <w:p>
            <w:pPr>
              <w:pStyle w:val="47"/>
              <w:rPr>
                <w:rStyle w:val="91"/>
                <w:rFonts w:eastAsiaTheme="majorEastAsia"/>
                <w:sz w:val="18"/>
                <w:szCs w:val="18"/>
              </w:rPr>
            </w:pPr>
            <w:r>
              <w:t>0.97</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rPr>
                <w:rStyle w:val="91"/>
                <w:rFonts w:eastAsiaTheme="majorEastAsia"/>
                <w:sz w:val="18"/>
                <w:szCs w:val="18"/>
              </w:rPr>
              <w:t>油烟</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tcPr>
          <w:p>
            <w:pPr>
              <w:pStyle w:val="47"/>
              <w:rPr>
                <w:rFonts w:eastAsiaTheme="majorEastAsia"/>
              </w:rPr>
            </w:pPr>
            <w:r>
              <w:t>0.003</w:t>
            </w:r>
          </w:p>
        </w:tc>
        <w:tc>
          <w:tcPr>
            <w:tcW w:w="1761" w:type="dxa"/>
            <w:vAlign w:val="center"/>
          </w:tcPr>
          <w:p>
            <w:pPr>
              <w:pStyle w:val="47"/>
              <w:rPr>
                <w:rStyle w:val="91"/>
                <w:rFonts w:eastAsiaTheme="majorEastAsia"/>
                <w:sz w:val="18"/>
                <w:szCs w:val="18"/>
              </w:rPr>
            </w:pPr>
          </w:p>
        </w:tc>
        <w:tc>
          <w:tcPr>
            <w:tcW w:w="1641" w:type="dxa"/>
          </w:tcPr>
          <w:p>
            <w:pPr>
              <w:pStyle w:val="47"/>
              <w:rPr>
                <w:rFonts w:eastAsiaTheme="majorEastAsia"/>
              </w:rPr>
            </w:pPr>
            <w:r>
              <w:t>0.003</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rPr>
                <w:rStyle w:val="91"/>
                <w:rFonts w:eastAsiaTheme="majorEastAsia"/>
                <w:sz w:val="18"/>
                <w:szCs w:val="18"/>
              </w:rPr>
              <w:t>氨</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vAlign w:val="center"/>
          </w:tcPr>
          <w:p>
            <w:pPr>
              <w:pStyle w:val="47"/>
              <w:rPr>
                <w:rStyle w:val="91"/>
                <w:rFonts w:eastAsiaTheme="majorEastAsia"/>
                <w:sz w:val="18"/>
                <w:szCs w:val="18"/>
              </w:rPr>
            </w:pPr>
            <w:r>
              <w:rPr>
                <w:rFonts w:eastAsiaTheme="majorEastAsia"/>
              </w:rPr>
              <w:t>少量</w:t>
            </w:r>
          </w:p>
        </w:tc>
        <w:tc>
          <w:tcPr>
            <w:tcW w:w="1761" w:type="dxa"/>
            <w:vAlign w:val="center"/>
          </w:tcPr>
          <w:p>
            <w:pPr>
              <w:pStyle w:val="47"/>
              <w:rPr>
                <w:rStyle w:val="91"/>
                <w:rFonts w:eastAsiaTheme="majorEastAsia"/>
                <w:sz w:val="18"/>
                <w:szCs w:val="18"/>
              </w:rPr>
            </w:pPr>
          </w:p>
        </w:tc>
        <w:tc>
          <w:tcPr>
            <w:tcW w:w="1641" w:type="dxa"/>
            <w:vAlign w:val="center"/>
          </w:tcPr>
          <w:p>
            <w:pPr>
              <w:pStyle w:val="47"/>
              <w:rPr>
                <w:rStyle w:val="91"/>
                <w:rFonts w:eastAsiaTheme="majorEastAsia"/>
                <w:sz w:val="18"/>
                <w:szCs w:val="18"/>
              </w:rPr>
            </w:pPr>
            <w:r>
              <w:rPr>
                <w:rFonts w:eastAsiaTheme="majorEastAsia"/>
              </w:rPr>
              <w:t>少量</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rPr>
                <w:rStyle w:val="91"/>
                <w:rFonts w:eastAsiaTheme="majorEastAsia"/>
                <w:sz w:val="18"/>
                <w:szCs w:val="18"/>
              </w:rPr>
              <w:t>硫化氢</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vAlign w:val="center"/>
          </w:tcPr>
          <w:p>
            <w:pPr>
              <w:pStyle w:val="36"/>
              <w:spacing w:beforeLines="0" w:afterLines="0" w:line="240" w:lineRule="exact"/>
              <w:rPr>
                <w:rFonts w:ascii="Times New Roman" w:eastAsiaTheme="majorEastAsia"/>
                <w:snapToGrid w:val="0"/>
                <w:kern w:val="21"/>
                <w:sz w:val="18"/>
                <w:szCs w:val="18"/>
              </w:rPr>
            </w:pPr>
            <w:r>
              <w:rPr>
                <w:rFonts w:ascii="Times New Roman" w:eastAsiaTheme="majorEastAsia"/>
                <w:sz w:val="18"/>
                <w:szCs w:val="18"/>
              </w:rPr>
              <w:t>少量</w:t>
            </w:r>
          </w:p>
        </w:tc>
        <w:tc>
          <w:tcPr>
            <w:tcW w:w="1761" w:type="dxa"/>
            <w:vAlign w:val="center"/>
          </w:tcPr>
          <w:p>
            <w:pPr>
              <w:pStyle w:val="36"/>
              <w:spacing w:beforeLines="0" w:afterLines="0" w:line="240" w:lineRule="exact"/>
              <w:rPr>
                <w:rFonts w:ascii="Times New Roman" w:eastAsiaTheme="majorEastAsia"/>
                <w:snapToGrid w:val="0"/>
                <w:kern w:val="21"/>
                <w:sz w:val="18"/>
                <w:szCs w:val="18"/>
              </w:rPr>
            </w:pPr>
          </w:p>
        </w:tc>
        <w:tc>
          <w:tcPr>
            <w:tcW w:w="1641" w:type="dxa"/>
            <w:vAlign w:val="center"/>
          </w:tcPr>
          <w:p>
            <w:pPr>
              <w:pStyle w:val="47"/>
              <w:rPr>
                <w:rStyle w:val="91"/>
                <w:rFonts w:eastAsiaTheme="majorEastAsia"/>
                <w:sz w:val="18"/>
                <w:szCs w:val="18"/>
              </w:rPr>
            </w:pPr>
            <w:r>
              <w:rPr>
                <w:rFonts w:eastAsiaTheme="majorEastAsia"/>
              </w:rPr>
              <w:t>少量</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rPr>
                <w:rStyle w:val="91"/>
                <w:rFonts w:eastAsiaTheme="majorEastAsia"/>
                <w:sz w:val="18"/>
                <w:szCs w:val="18"/>
              </w:rPr>
              <w:t>臭气浓度</w:t>
            </w:r>
          </w:p>
        </w:tc>
        <w:tc>
          <w:tcPr>
            <w:tcW w:w="1559" w:type="dxa"/>
            <w:vAlign w:val="center"/>
          </w:tcPr>
          <w:p>
            <w:pPr>
              <w:pStyle w:val="36"/>
              <w:spacing w:beforeLines="0" w:afterLines="0" w:line="240" w:lineRule="exact"/>
              <w:rPr>
                <w:rStyle w:val="91"/>
                <w:rFonts w:ascii="Times New Roman" w:eastAsiaTheme="majorEastAsia"/>
                <w:sz w:val="18"/>
                <w:szCs w:val="18"/>
              </w:rPr>
            </w:pPr>
          </w:p>
        </w:tc>
        <w:tc>
          <w:tcPr>
            <w:tcW w:w="1276" w:type="dxa"/>
            <w:vAlign w:val="center"/>
          </w:tcPr>
          <w:p>
            <w:pPr>
              <w:pStyle w:val="36"/>
              <w:spacing w:beforeLines="0" w:afterLines="0" w:line="240" w:lineRule="exact"/>
              <w:rPr>
                <w:rStyle w:val="91"/>
                <w:rFonts w:ascii="Times New Roman" w:eastAsiaTheme="majorEastAsia"/>
                <w:sz w:val="18"/>
                <w:szCs w:val="18"/>
              </w:rPr>
            </w:pPr>
          </w:p>
        </w:tc>
        <w:tc>
          <w:tcPr>
            <w:tcW w:w="1701" w:type="dxa"/>
            <w:vAlign w:val="center"/>
          </w:tcPr>
          <w:p>
            <w:pPr>
              <w:pStyle w:val="47"/>
              <w:rPr>
                <w:rStyle w:val="91"/>
                <w:rFonts w:eastAsiaTheme="majorEastAsia"/>
                <w:sz w:val="18"/>
                <w:szCs w:val="18"/>
              </w:rPr>
            </w:pPr>
          </w:p>
        </w:tc>
        <w:tc>
          <w:tcPr>
            <w:tcW w:w="1559" w:type="dxa"/>
            <w:tcBorders>
              <w:bottom w:val="single" w:color="auto" w:sz="4" w:space="0"/>
            </w:tcBorders>
            <w:vAlign w:val="center"/>
          </w:tcPr>
          <w:p>
            <w:pPr>
              <w:pStyle w:val="36"/>
              <w:spacing w:beforeLines="0" w:afterLines="0" w:line="240" w:lineRule="exact"/>
              <w:rPr>
                <w:rFonts w:ascii="Times New Roman" w:eastAsiaTheme="majorEastAsia"/>
                <w:snapToGrid w:val="0"/>
                <w:kern w:val="21"/>
                <w:sz w:val="18"/>
                <w:szCs w:val="18"/>
              </w:rPr>
            </w:pPr>
            <w:r>
              <w:rPr>
                <w:rFonts w:ascii="Times New Roman" w:eastAsiaTheme="majorEastAsia"/>
                <w:sz w:val="18"/>
                <w:szCs w:val="18"/>
              </w:rPr>
              <w:t>少量</w:t>
            </w:r>
          </w:p>
        </w:tc>
        <w:tc>
          <w:tcPr>
            <w:tcW w:w="1761" w:type="dxa"/>
            <w:vAlign w:val="center"/>
          </w:tcPr>
          <w:p>
            <w:pPr>
              <w:pStyle w:val="47"/>
              <w:rPr>
                <w:rStyle w:val="91"/>
                <w:rFonts w:eastAsiaTheme="majorEastAsia"/>
                <w:sz w:val="18"/>
                <w:szCs w:val="18"/>
              </w:rPr>
            </w:pPr>
          </w:p>
        </w:tc>
        <w:tc>
          <w:tcPr>
            <w:tcW w:w="1641" w:type="dxa"/>
            <w:vAlign w:val="center"/>
          </w:tcPr>
          <w:p>
            <w:pPr>
              <w:pStyle w:val="47"/>
              <w:rPr>
                <w:rStyle w:val="91"/>
                <w:rFonts w:eastAsiaTheme="majorEastAsia"/>
                <w:sz w:val="18"/>
                <w:szCs w:val="18"/>
              </w:rPr>
            </w:pPr>
            <w:r>
              <w:rPr>
                <w:rFonts w:eastAsiaTheme="majorEastAsia"/>
              </w:rPr>
              <w:t>少量</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restart"/>
            <w:vAlign w:val="center"/>
          </w:tcPr>
          <w:p>
            <w:pPr>
              <w:pStyle w:val="36"/>
              <w:spacing w:beforeLines="0" w:afterLines="0" w:line="240" w:lineRule="exact"/>
              <w:rPr>
                <w:rFonts w:ascii="Times New Roman" w:eastAsiaTheme="majorEastAsia"/>
                <w:snapToGrid w:val="0"/>
                <w:kern w:val="21"/>
                <w:sz w:val="18"/>
                <w:szCs w:val="18"/>
              </w:rPr>
            </w:pPr>
            <w:r>
              <w:rPr>
                <w:rFonts w:ascii="Times New Roman" w:eastAsiaTheme="majorEastAsia"/>
                <w:snapToGrid w:val="0"/>
                <w:kern w:val="21"/>
                <w:sz w:val="18"/>
                <w:szCs w:val="18"/>
              </w:rPr>
              <w:t>废水</w:t>
            </w:r>
          </w:p>
        </w:tc>
        <w:tc>
          <w:tcPr>
            <w:tcW w:w="1559" w:type="dxa"/>
            <w:vAlign w:val="center"/>
          </w:tcPr>
          <w:p>
            <w:pPr>
              <w:pStyle w:val="47"/>
              <w:rPr>
                <w:rStyle w:val="91"/>
                <w:rFonts w:eastAsiaTheme="majorEastAsia"/>
                <w:sz w:val="18"/>
                <w:szCs w:val="18"/>
              </w:rPr>
            </w:pPr>
            <w:r>
              <w:t>pH</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6~9（无量纲）</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6~9（无量纲）</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COD</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0.2/0.16</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0.2/0.16</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BOD</w:t>
            </w:r>
            <w:r>
              <w:rPr>
                <w:vertAlign w:val="subscript"/>
              </w:rPr>
              <w:t>5</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0.07/0.03</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0.07/0.03</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SS</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0.07/0.03</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0.07/0.03</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NH</w:t>
            </w:r>
            <w:r>
              <w:rPr>
                <w:vertAlign w:val="subscript"/>
              </w:rPr>
              <w:t>3</w:t>
            </w:r>
            <w:r>
              <w:t>-N</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0.03/0.02</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0.03/0.02</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动植物油</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0.01/0.003</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0.01/0.003</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总氮</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0.07/0.05</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0.07/0.05</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rPr>
                <w:rStyle w:val="91"/>
                <w:rFonts w:eastAsiaTheme="majorEastAsia"/>
                <w:sz w:val="18"/>
                <w:szCs w:val="18"/>
              </w:rPr>
            </w:pPr>
            <w:r>
              <w:t>总磷</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widowControl/>
              <w:jc w:val="center"/>
              <w:rPr>
                <w:kern w:val="0"/>
                <w:sz w:val="18"/>
                <w:szCs w:val="18"/>
              </w:rPr>
            </w:pPr>
          </w:p>
        </w:tc>
        <w:tc>
          <w:tcPr>
            <w:tcW w:w="1559" w:type="dxa"/>
            <w:tcBorders>
              <w:top w:val="single" w:color="auto" w:sz="4" w:space="0"/>
              <w:bottom w:val="single" w:color="auto" w:sz="4" w:space="0"/>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0.003/0.002</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0.003/0.002</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1588" w:type="dxa"/>
            <w:vMerge w:val="continue"/>
            <w:vAlign w:val="center"/>
          </w:tcPr>
          <w:p>
            <w:pPr>
              <w:pStyle w:val="36"/>
              <w:spacing w:beforeLines="0" w:afterLines="0" w:line="240" w:lineRule="exact"/>
              <w:rPr>
                <w:rFonts w:ascii="Times New Roman" w:eastAsiaTheme="majorEastAsia"/>
                <w:snapToGrid w:val="0"/>
                <w:kern w:val="21"/>
                <w:sz w:val="18"/>
                <w:szCs w:val="18"/>
              </w:rPr>
            </w:pPr>
          </w:p>
        </w:tc>
        <w:tc>
          <w:tcPr>
            <w:tcW w:w="1559" w:type="dxa"/>
            <w:vAlign w:val="center"/>
          </w:tcPr>
          <w:p>
            <w:pPr>
              <w:pStyle w:val="47"/>
            </w:pPr>
            <w:r>
              <w:t>石油类</w:t>
            </w:r>
          </w:p>
        </w:tc>
        <w:tc>
          <w:tcPr>
            <w:tcW w:w="1559" w:type="dxa"/>
            <w:vAlign w:val="center"/>
          </w:tcPr>
          <w:p>
            <w:pPr>
              <w:pStyle w:val="36"/>
              <w:spacing w:beforeLines="0" w:afterLines="0" w:line="240" w:lineRule="exact"/>
              <w:rPr>
                <w:rFonts w:ascii="Times New Roman" w:eastAsiaTheme="majorEastAsia"/>
                <w:sz w:val="18"/>
                <w:szCs w:val="18"/>
              </w:rPr>
            </w:pPr>
          </w:p>
        </w:tc>
        <w:tc>
          <w:tcPr>
            <w:tcW w:w="1276" w:type="dxa"/>
            <w:vAlign w:val="center"/>
          </w:tcPr>
          <w:p>
            <w:pPr>
              <w:pStyle w:val="36"/>
              <w:spacing w:beforeLines="0" w:afterLines="0" w:line="240" w:lineRule="exact"/>
              <w:rPr>
                <w:rFonts w:ascii="Times New Roman" w:eastAsiaTheme="majorEastAsia"/>
                <w:sz w:val="18"/>
                <w:szCs w:val="18"/>
              </w:rPr>
            </w:pPr>
          </w:p>
        </w:tc>
        <w:tc>
          <w:tcPr>
            <w:tcW w:w="1701" w:type="dxa"/>
            <w:vAlign w:val="center"/>
          </w:tcPr>
          <w:p>
            <w:pPr>
              <w:pStyle w:val="36"/>
              <w:spacing w:beforeLines="0" w:afterLines="0" w:line="240" w:lineRule="exact"/>
              <w:rPr>
                <w:rFonts w:ascii="Times New Roman" w:eastAsiaTheme="majorEastAsia"/>
                <w:sz w:val="18"/>
                <w:szCs w:val="18"/>
              </w:rPr>
            </w:pPr>
          </w:p>
        </w:tc>
        <w:tc>
          <w:tcPr>
            <w:tcW w:w="1559" w:type="dxa"/>
            <w:tcBorders>
              <w:top w:val="single" w:color="auto" w:sz="4" w:space="0"/>
              <w:bottom w:val="nil"/>
            </w:tcBorders>
            <w:vAlign w:val="center"/>
          </w:tcPr>
          <w:p>
            <w:pPr>
              <w:pStyle w:val="36"/>
              <w:spacing w:beforeLines="0" w:afterLines="0" w:line="240" w:lineRule="exact"/>
              <w:rPr>
                <w:rFonts w:ascii="Times New Roman" w:eastAsiaTheme="majorEastAsia"/>
                <w:sz w:val="18"/>
                <w:szCs w:val="18"/>
              </w:rPr>
            </w:pPr>
            <w:r>
              <w:rPr>
                <w:rFonts w:ascii="Times New Roman"/>
                <w:sz w:val="18"/>
                <w:szCs w:val="18"/>
              </w:rPr>
              <w:t>0.01/0.003</w:t>
            </w:r>
          </w:p>
        </w:tc>
        <w:tc>
          <w:tcPr>
            <w:tcW w:w="1761" w:type="dxa"/>
            <w:vAlign w:val="center"/>
          </w:tcPr>
          <w:p>
            <w:pPr>
              <w:pStyle w:val="47"/>
              <w:rPr>
                <w:rStyle w:val="91"/>
                <w:rFonts w:eastAsiaTheme="majorEastAsia"/>
                <w:sz w:val="18"/>
                <w:szCs w:val="18"/>
              </w:rPr>
            </w:pPr>
          </w:p>
        </w:tc>
        <w:tc>
          <w:tcPr>
            <w:tcW w:w="1641" w:type="dxa"/>
            <w:vAlign w:val="center"/>
          </w:tcPr>
          <w:p>
            <w:pPr>
              <w:pStyle w:val="36"/>
              <w:spacing w:beforeLines="0" w:afterLines="0" w:line="240" w:lineRule="exact"/>
              <w:rPr>
                <w:rFonts w:ascii="Times New Roman" w:eastAsiaTheme="majorEastAsia"/>
                <w:sz w:val="18"/>
                <w:szCs w:val="18"/>
              </w:rPr>
            </w:pPr>
            <w:r>
              <w:rPr>
                <w:rFonts w:ascii="Times New Roman"/>
                <w:sz w:val="18"/>
                <w:szCs w:val="18"/>
              </w:rPr>
              <w:t>0.01/0.003</w:t>
            </w:r>
          </w:p>
        </w:tc>
        <w:tc>
          <w:tcPr>
            <w:tcW w:w="1144" w:type="dxa"/>
            <w:vAlign w:val="center"/>
          </w:tcPr>
          <w:p>
            <w:pPr>
              <w:pStyle w:val="36"/>
              <w:spacing w:beforeLines="0" w:afterLines="0" w:line="240" w:lineRule="exact"/>
              <w:rPr>
                <w:rFonts w:ascii="Times New Roman" w:eastAsiaTheme="maj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147" w:type="dxa"/>
            <w:gridSpan w:val="2"/>
            <w:vAlign w:val="center"/>
          </w:tcPr>
          <w:p>
            <w:pPr>
              <w:pStyle w:val="36"/>
              <w:spacing w:beforeLines="0" w:afterLines="0" w:line="240" w:lineRule="exact"/>
              <w:rPr>
                <w:rFonts w:ascii="Times New Roman" w:eastAsiaTheme="majorEastAsia"/>
                <w:snapToGrid w:val="0"/>
                <w:kern w:val="21"/>
                <w:sz w:val="18"/>
                <w:szCs w:val="18"/>
              </w:rPr>
            </w:pPr>
            <w:r>
              <w:rPr>
                <w:rFonts w:ascii="Times New Roman" w:eastAsiaTheme="majorEastAsia"/>
                <w:snapToGrid w:val="0"/>
                <w:kern w:val="21"/>
                <w:sz w:val="18"/>
                <w:szCs w:val="18"/>
              </w:rPr>
              <w:t>一般工业固体废物</w:t>
            </w:r>
          </w:p>
        </w:tc>
        <w:tc>
          <w:tcPr>
            <w:tcW w:w="1559" w:type="dxa"/>
            <w:vAlign w:val="center"/>
          </w:tcPr>
          <w:p>
            <w:pPr>
              <w:jc w:val="center"/>
              <w:rPr>
                <w:rFonts w:eastAsiaTheme="majorEastAsia"/>
                <w:sz w:val="18"/>
                <w:szCs w:val="18"/>
              </w:rPr>
            </w:pPr>
            <w:r>
              <w:rPr>
                <w:sz w:val="18"/>
                <w:szCs w:val="18"/>
              </w:rPr>
              <w:t>石油类</w:t>
            </w:r>
          </w:p>
        </w:tc>
        <w:tc>
          <w:tcPr>
            <w:tcW w:w="1276" w:type="dxa"/>
            <w:vAlign w:val="center"/>
          </w:tcPr>
          <w:p>
            <w:pPr>
              <w:jc w:val="center"/>
              <w:rPr>
                <w:rFonts w:eastAsiaTheme="majorEastAsia"/>
                <w:sz w:val="18"/>
                <w:szCs w:val="18"/>
              </w:rPr>
            </w:pPr>
          </w:p>
        </w:tc>
        <w:tc>
          <w:tcPr>
            <w:tcW w:w="1701" w:type="dxa"/>
            <w:vAlign w:val="center"/>
          </w:tcPr>
          <w:p>
            <w:pPr>
              <w:pStyle w:val="36"/>
              <w:spacing w:beforeLines="0" w:afterLines="0" w:line="240" w:lineRule="exact"/>
              <w:rPr>
                <w:rFonts w:ascii="Times New Roman" w:eastAsiaTheme="majorEastAsia"/>
                <w:snapToGrid w:val="0"/>
                <w:kern w:val="21"/>
                <w:sz w:val="18"/>
                <w:szCs w:val="18"/>
              </w:rPr>
            </w:pPr>
          </w:p>
        </w:tc>
        <w:tc>
          <w:tcPr>
            <w:tcW w:w="1559" w:type="dxa"/>
            <w:tcBorders>
              <w:top w:val="nil"/>
            </w:tcBorders>
            <w:vAlign w:val="center"/>
          </w:tcPr>
          <w:p>
            <w:pPr>
              <w:pStyle w:val="47"/>
            </w:pPr>
            <w:r>
              <w:t>4791.03</w:t>
            </w:r>
          </w:p>
        </w:tc>
        <w:tc>
          <w:tcPr>
            <w:tcW w:w="1761" w:type="dxa"/>
            <w:vAlign w:val="center"/>
          </w:tcPr>
          <w:p>
            <w:pPr>
              <w:pStyle w:val="36"/>
              <w:spacing w:beforeLines="0" w:afterLines="0" w:line="240" w:lineRule="exact"/>
              <w:rPr>
                <w:rFonts w:ascii="Times New Roman" w:eastAsiaTheme="majorEastAsia"/>
                <w:snapToGrid w:val="0"/>
                <w:kern w:val="21"/>
                <w:sz w:val="18"/>
                <w:szCs w:val="18"/>
              </w:rPr>
            </w:pPr>
          </w:p>
        </w:tc>
        <w:tc>
          <w:tcPr>
            <w:tcW w:w="1641" w:type="dxa"/>
            <w:vAlign w:val="center"/>
          </w:tcPr>
          <w:p>
            <w:pPr>
              <w:pStyle w:val="36"/>
              <w:spacing w:beforeLines="0" w:afterLines="0" w:line="240" w:lineRule="exact"/>
              <w:rPr>
                <w:rFonts w:ascii="Times New Roman" w:eastAsiaTheme="majorEastAsia"/>
                <w:snapToGrid w:val="0"/>
                <w:kern w:val="21"/>
                <w:sz w:val="18"/>
                <w:szCs w:val="18"/>
              </w:rPr>
            </w:pPr>
            <w:r>
              <w:rPr>
                <w:rFonts w:ascii="Times New Roman"/>
                <w:sz w:val="18"/>
                <w:szCs w:val="18"/>
              </w:rPr>
              <w:t>4791.03</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3147" w:type="dxa"/>
            <w:gridSpan w:val="2"/>
            <w:vAlign w:val="center"/>
          </w:tcPr>
          <w:p>
            <w:pPr>
              <w:spacing w:line="240" w:lineRule="exact"/>
              <w:jc w:val="center"/>
              <w:rPr>
                <w:rFonts w:eastAsiaTheme="majorEastAsia"/>
                <w:sz w:val="18"/>
                <w:szCs w:val="18"/>
              </w:rPr>
            </w:pPr>
            <w:r>
              <w:rPr>
                <w:rFonts w:eastAsiaTheme="majorEastAsia"/>
                <w:snapToGrid w:val="0"/>
                <w:kern w:val="21"/>
                <w:sz w:val="18"/>
                <w:szCs w:val="18"/>
              </w:rPr>
              <w:t>危险废物</w:t>
            </w:r>
          </w:p>
        </w:tc>
        <w:tc>
          <w:tcPr>
            <w:tcW w:w="1559" w:type="dxa"/>
            <w:vAlign w:val="center"/>
          </w:tcPr>
          <w:p>
            <w:pPr>
              <w:pStyle w:val="47"/>
              <w:rPr>
                <w:rStyle w:val="91"/>
                <w:rFonts w:eastAsiaTheme="majorEastAsia"/>
                <w:sz w:val="18"/>
                <w:szCs w:val="18"/>
              </w:rPr>
            </w:pPr>
          </w:p>
        </w:tc>
        <w:tc>
          <w:tcPr>
            <w:tcW w:w="1276" w:type="dxa"/>
            <w:vAlign w:val="center"/>
          </w:tcPr>
          <w:p>
            <w:pPr>
              <w:pStyle w:val="47"/>
              <w:rPr>
                <w:rStyle w:val="91"/>
                <w:rFonts w:eastAsiaTheme="majorEastAsia"/>
                <w:sz w:val="18"/>
                <w:szCs w:val="18"/>
              </w:rPr>
            </w:pPr>
          </w:p>
        </w:tc>
        <w:tc>
          <w:tcPr>
            <w:tcW w:w="1701" w:type="dxa"/>
            <w:vAlign w:val="center"/>
          </w:tcPr>
          <w:p>
            <w:pPr>
              <w:spacing w:line="240" w:lineRule="exact"/>
              <w:jc w:val="center"/>
              <w:rPr>
                <w:rFonts w:eastAsiaTheme="majorEastAsia"/>
                <w:sz w:val="18"/>
                <w:szCs w:val="18"/>
              </w:rPr>
            </w:pPr>
          </w:p>
        </w:tc>
        <w:tc>
          <w:tcPr>
            <w:tcW w:w="1559" w:type="dxa"/>
            <w:vAlign w:val="center"/>
          </w:tcPr>
          <w:p>
            <w:pPr>
              <w:pStyle w:val="47"/>
            </w:pPr>
            <w:r>
              <w:t>3531.09</w:t>
            </w:r>
          </w:p>
        </w:tc>
        <w:tc>
          <w:tcPr>
            <w:tcW w:w="1761" w:type="dxa"/>
            <w:vAlign w:val="center"/>
          </w:tcPr>
          <w:p>
            <w:pPr>
              <w:pStyle w:val="36"/>
              <w:spacing w:beforeLines="0" w:afterLines="0" w:line="240" w:lineRule="exact"/>
              <w:rPr>
                <w:rFonts w:ascii="Times New Roman" w:eastAsiaTheme="majorEastAsia"/>
                <w:snapToGrid w:val="0"/>
                <w:kern w:val="21"/>
                <w:sz w:val="18"/>
                <w:szCs w:val="18"/>
              </w:rPr>
            </w:pPr>
          </w:p>
        </w:tc>
        <w:tc>
          <w:tcPr>
            <w:tcW w:w="1641" w:type="dxa"/>
            <w:vAlign w:val="center"/>
          </w:tcPr>
          <w:p>
            <w:pPr>
              <w:spacing w:line="240" w:lineRule="exact"/>
              <w:jc w:val="center"/>
              <w:rPr>
                <w:sz w:val="18"/>
                <w:szCs w:val="18"/>
              </w:rPr>
            </w:pPr>
            <w:r>
              <w:rPr>
                <w:sz w:val="18"/>
                <w:szCs w:val="18"/>
              </w:rPr>
              <w:t>3531.09</w:t>
            </w:r>
          </w:p>
        </w:tc>
        <w:tc>
          <w:tcPr>
            <w:tcW w:w="1144" w:type="dxa"/>
            <w:vAlign w:val="center"/>
          </w:tcPr>
          <w:p>
            <w:pPr>
              <w:pStyle w:val="36"/>
              <w:spacing w:beforeLines="0" w:afterLines="0" w:line="240" w:lineRule="exact"/>
              <w:rPr>
                <w:rFonts w:ascii="Times New Roman" w:eastAsiaTheme="majorEastAsia"/>
                <w:snapToGrid w:val="0"/>
                <w:kern w:val="21"/>
                <w:sz w:val="18"/>
                <w:szCs w:val="18"/>
              </w:rPr>
            </w:pPr>
          </w:p>
        </w:tc>
      </w:tr>
    </w:tbl>
    <w:p>
      <w:pPr>
        <w:pStyle w:val="36"/>
        <w:spacing w:before="192" w:beforeLines="80" w:after="24"/>
        <w:jc w:val="left"/>
        <w:rPr>
          <w:rFonts w:ascii="Times New Roman"/>
          <w:snapToGrid w:val="0"/>
          <w:spacing w:val="-6"/>
          <w:kern w:val="21"/>
          <w:szCs w:val="21"/>
        </w:rPr>
      </w:pPr>
      <w:r>
        <w:rPr>
          <w:rFonts w:ascii="Times New Roman"/>
          <w:snapToGrid w:val="0"/>
          <w:kern w:val="21"/>
          <w:szCs w:val="21"/>
        </w:rPr>
        <w:t>注：</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3 \* GB3 \* MERGEFORMAT </w:instrText>
      </w:r>
      <w:r>
        <w:rPr>
          <w:rFonts w:ascii="Times New Roman"/>
          <w:snapToGrid w:val="0"/>
          <w:spacing w:val="-6"/>
          <w:kern w:val="21"/>
          <w:szCs w:val="21"/>
        </w:rPr>
        <w:fldChar w:fldCharType="separate"/>
      </w:r>
      <w:r>
        <w:rPr>
          <w:rFonts w:hint="eastAsia" w:hAnsi="宋体" w:cs="宋体"/>
          <w:szCs w:val="21"/>
        </w:rPr>
        <w:t>③</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4 \* GB3 \* MERGEFORMAT </w:instrText>
      </w:r>
      <w:r>
        <w:rPr>
          <w:rFonts w:ascii="Times New Roman"/>
          <w:snapToGrid w:val="0"/>
          <w:spacing w:val="-6"/>
          <w:kern w:val="21"/>
          <w:szCs w:val="21"/>
        </w:rPr>
        <w:fldChar w:fldCharType="separate"/>
      </w:r>
      <w:r>
        <w:rPr>
          <w:rFonts w:hint="eastAsia" w:hAnsi="宋体" w:cs="宋体"/>
          <w:szCs w:val="21"/>
        </w:rPr>
        <w:t>④</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5 \* GB3 \* MERGEFORMAT </w:instrText>
      </w:r>
      <w:r>
        <w:rPr>
          <w:rFonts w:ascii="Times New Roman"/>
          <w:snapToGrid w:val="0"/>
          <w:spacing w:val="-16"/>
          <w:kern w:val="21"/>
          <w:szCs w:val="21"/>
        </w:rPr>
        <w:fldChar w:fldCharType="separate"/>
      </w:r>
      <w:r>
        <w:rPr>
          <w:rFonts w:hint="eastAsia" w:hAnsi="宋体" w:cs="宋体"/>
          <w:szCs w:val="21"/>
        </w:rPr>
        <w:t>⑤</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7 \* GB3 \* MERGEFORMAT </w:instrText>
      </w:r>
      <w:r>
        <w:rPr>
          <w:rFonts w:ascii="Times New Roman"/>
          <w:snapToGrid w:val="0"/>
          <w:spacing w:val="-6"/>
          <w:kern w:val="21"/>
          <w:szCs w:val="21"/>
        </w:rPr>
        <w:fldChar w:fldCharType="separate"/>
      </w:r>
      <w:r>
        <w:rPr>
          <w:rFonts w:hint="eastAsia" w:hAnsi="宋体" w:cs="宋体"/>
          <w:szCs w:val="21"/>
        </w:rPr>
        <w:t>⑦</w:t>
      </w:r>
      <w:r>
        <w:rPr>
          <w:rFonts w:ascii="Times New Roman"/>
          <w:snapToGrid w:val="0"/>
          <w:spacing w:val="-6"/>
          <w:kern w:val="21"/>
          <w:szCs w:val="21"/>
        </w:rPr>
        <w:fldChar w:fldCharType="end"/>
      </w:r>
      <w:r>
        <w:rPr>
          <w:rFonts w:ascii="Times New Roman"/>
          <w:snapToGrid w:val="0"/>
          <w:spacing w:val="-6"/>
          <w:kern w:val="21"/>
          <w:szCs w:val="21"/>
        </w:rPr>
        <w:t>=</w:t>
      </w:r>
      <w:r>
        <w:rPr>
          <w:rFonts w:ascii="Times New Roman"/>
          <w:snapToGrid w:val="0"/>
          <w:spacing w:val="-16"/>
          <w:kern w:val="21"/>
          <w:szCs w:val="21"/>
        </w:rPr>
        <w:fldChar w:fldCharType="begin"/>
      </w:r>
      <w:r>
        <w:rPr>
          <w:rFonts w:ascii="Times New Roman"/>
          <w:snapToGrid w:val="0"/>
          <w:spacing w:val="-16"/>
          <w:kern w:val="21"/>
          <w:szCs w:val="21"/>
        </w:rPr>
        <w:instrText xml:space="preserve"> = 6 \* GB3 \* MERGEFORMAT </w:instrText>
      </w:r>
      <w:r>
        <w:rPr>
          <w:rFonts w:ascii="Times New Roman"/>
          <w:snapToGrid w:val="0"/>
          <w:spacing w:val="-16"/>
          <w:kern w:val="21"/>
          <w:szCs w:val="21"/>
        </w:rPr>
        <w:fldChar w:fldCharType="separate"/>
      </w:r>
      <w:r>
        <w:rPr>
          <w:rFonts w:hint="eastAsia" w:hAnsi="宋体" w:cs="宋体"/>
          <w:szCs w:val="21"/>
        </w:rPr>
        <w:t>⑥</w:t>
      </w:r>
      <w:r>
        <w:rPr>
          <w:rFonts w:ascii="Times New Roman"/>
          <w:snapToGrid w:val="0"/>
          <w:spacing w:val="-16"/>
          <w:kern w:val="21"/>
          <w:szCs w:val="21"/>
        </w:rPr>
        <w:fldChar w:fldCharType="end"/>
      </w:r>
      <w:r>
        <w:rPr>
          <w:rFonts w:ascii="Times New Roman"/>
          <w:snapToGrid w:val="0"/>
          <w:spacing w:val="-16"/>
          <w:kern w:val="21"/>
          <w:szCs w:val="21"/>
        </w:rPr>
        <w:t>-</w:t>
      </w:r>
      <w:r>
        <w:rPr>
          <w:rFonts w:ascii="Times New Roman"/>
          <w:snapToGrid w:val="0"/>
          <w:spacing w:val="-6"/>
          <w:kern w:val="21"/>
          <w:szCs w:val="21"/>
        </w:rPr>
        <w:fldChar w:fldCharType="begin"/>
      </w:r>
      <w:r>
        <w:rPr>
          <w:rFonts w:ascii="Times New Roman"/>
          <w:snapToGrid w:val="0"/>
          <w:spacing w:val="-6"/>
          <w:kern w:val="21"/>
          <w:szCs w:val="21"/>
        </w:rPr>
        <w:instrText xml:space="preserve"> = 1 \* GB3 \* MERGEFORMAT </w:instrText>
      </w:r>
      <w:r>
        <w:rPr>
          <w:rFonts w:ascii="Times New Roman"/>
          <w:snapToGrid w:val="0"/>
          <w:spacing w:val="-6"/>
          <w:kern w:val="21"/>
          <w:szCs w:val="21"/>
        </w:rPr>
        <w:fldChar w:fldCharType="separate"/>
      </w:r>
      <w:r>
        <w:rPr>
          <w:rFonts w:hint="eastAsia" w:hAnsi="宋体" w:cs="宋体"/>
          <w:szCs w:val="21"/>
        </w:rPr>
        <w:t>①</w:t>
      </w:r>
      <w:r>
        <w:rPr>
          <w:rFonts w:ascii="Times New Roman"/>
          <w:snapToGrid w:val="0"/>
          <w:spacing w:val="-6"/>
          <w:kern w:val="21"/>
          <w:szCs w:val="21"/>
        </w:rPr>
        <w:fldChar w:fldCharType="end"/>
      </w:r>
    </w:p>
    <w:p>
      <w:pPr>
        <w:pStyle w:val="45"/>
        <w:spacing w:before="0" w:afterLines="0" w:line="360" w:lineRule="auto"/>
        <w:jc w:val="left"/>
        <w:rPr>
          <w:rFonts w:ascii="Times New Roman" w:hAnsi="Times New Roman"/>
          <w:sz w:val="18"/>
          <w:szCs w:val="18"/>
        </w:rPr>
      </w:pPr>
      <w:r>
        <w:rPr>
          <w:rFonts w:hint="eastAsia" w:ascii="Times New Roman" w:hAnsi="Times New Roman"/>
          <w:sz w:val="18"/>
          <w:szCs w:val="18"/>
        </w:rPr>
        <w:t>注：“/”前表示近期排入环境的总量，“/”后表示远期提标改造后排入环境的总量</w:t>
      </w:r>
    </w:p>
    <w:p/>
    <w:sectPr>
      <w:footerReference r:id="rId6" w:type="default"/>
      <w:pgSz w:w="16838" w:h="11906" w:orient="landscape"/>
      <w:pgMar w:top="1531" w:right="1701" w:bottom="1531"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imesNewRomanPSMT">
    <w:altName w:val="黑体"/>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3</w:t>
    </w:r>
    <w:r>
      <w:rPr>
        <w:rStyle w:val="24"/>
        <w:rFonts w:ascii="宋体" w:hAnsi="宋体"/>
        <w:sz w:val="26"/>
        <w:szCs w:val="26"/>
      </w:rPr>
      <w:fldChar w:fldCharType="end"/>
    </w:r>
    <w:r>
      <w:rPr>
        <w:rStyle w:val="24"/>
        <w:rFonts w:hint="eastAsia" w:ascii="宋体" w:hAnsi="宋体"/>
        <w:sz w:val="28"/>
        <w:szCs w:val="28"/>
      </w:rPr>
      <w:t>—</w:t>
    </w:r>
  </w:p>
  <w:p>
    <w:pPr>
      <w:pStyle w:val="1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74</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ascii="宋体" w:hAnsi="宋体"/>
        <w:sz w:val="26"/>
        <w:szCs w:val="26"/>
      </w:rPr>
      <w:fldChar w:fldCharType="begin"/>
    </w:r>
    <w:r>
      <w:rPr>
        <w:rStyle w:val="24"/>
        <w:rFonts w:ascii="宋体" w:hAnsi="宋体"/>
        <w:sz w:val="26"/>
        <w:szCs w:val="26"/>
      </w:rPr>
      <w:instrText xml:space="preserve">PAGE  </w:instrText>
    </w:r>
    <w:r>
      <w:rPr>
        <w:rStyle w:val="24"/>
        <w:rFonts w:ascii="宋体" w:hAnsi="宋体"/>
        <w:sz w:val="26"/>
        <w:szCs w:val="26"/>
      </w:rPr>
      <w:fldChar w:fldCharType="separate"/>
    </w:r>
    <w:r>
      <w:rPr>
        <w:rStyle w:val="24"/>
        <w:rFonts w:ascii="宋体" w:hAnsi="宋体"/>
        <w:sz w:val="26"/>
        <w:szCs w:val="26"/>
      </w:rPr>
      <w:t>31</w:t>
    </w:r>
    <w:r>
      <w:rPr>
        <w:rStyle w:val="24"/>
        <w:rFonts w:ascii="宋体" w:hAnsi="宋体"/>
        <w:sz w:val="26"/>
        <w:szCs w:val="26"/>
      </w:rPr>
      <w:fldChar w:fldCharType="end"/>
    </w:r>
    <w:r>
      <w:rPr>
        <w:rStyle w:val="24"/>
        <w:rFonts w:hint="eastAsia" w:ascii="宋体" w:hAnsi="宋体"/>
        <w:sz w:val="28"/>
        <w:szCs w:val="28"/>
      </w:rPr>
      <w:t>—</w:t>
    </w:r>
  </w:p>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4"/>
        <w:sz w:val="28"/>
        <w:szCs w:val="28"/>
      </w:rPr>
    </w:pPr>
    <w:r>
      <w:rPr>
        <w:rStyle w:val="24"/>
        <w:sz w:val="28"/>
        <w:szCs w:val="28"/>
      </w:rPr>
      <w:t>—</w:t>
    </w:r>
    <w:r>
      <w:rPr>
        <w:rStyle w:val="24"/>
        <w:sz w:val="20"/>
      </w:rPr>
      <w:t xml:space="preserve">  </w:t>
    </w:r>
    <w:r>
      <w:rPr>
        <w:rStyle w:val="24"/>
        <w:sz w:val="26"/>
        <w:szCs w:val="26"/>
      </w:rPr>
      <w:fldChar w:fldCharType="begin"/>
    </w:r>
    <w:r>
      <w:rPr>
        <w:rStyle w:val="24"/>
        <w:sz w:val="26"/>
        <w:szCs w:val="26"/>
      </w:rPr>
      <w:instrText xml:space="preserve">PAGE  </w:instrText>
    </w:r>
    <w:r>
      <w:rPr>
        <w:rStyle w:val="24"/>
        <w:sz w:val="26"/>
        <w:szCs w:val="26"/>
      </w:rPr>
      <w:fldChar w:fldCharType="separate"/>
    </w:r>
    <w:r>
      <w:rPr>
        <w:rStyle w:val="24"/>
        <w:sz w:val="26"/>
        <w:szCs w:val="26"/>
      </w:rPr>
      <w:t>111</w:t>
    </w:r>
    <w:r>
      <w:rPr>
        <w:rStyle w:val="24"/>
        <w:sz w:val="26"/>
        <w:szCs w:val="26"/>
      </w:rPr>
      <w:fldChar w:fldCharType="end"/>
    </w:r>
    <w:r>
      <w:rPr>
        <w:rStyle w:val="24"/>
        <w:sz w:val="20"/>
      </w:rPr>
      <w:t xml:space="preserve">  </w:t>
    </w:r>
    <w:r>
      <w:rPr>
        <w:rStyle w:val="24"/>
        <w:sz w:val="28"/>
        <w:szCs w:val="28"/>
      </w:rPr>
      <w:t>—</w:t>
    </w:r>
  </w:p>
  <w:p>
    <w:pPr>
      <w:pStyle w:val="16"/>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2675E"/>
    <w:multiLevelType w:val="multilevel"/>
    <w:tmpl w:val="2812675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1A4B909"/>
    <w:multiLevelType w:val="singleLevel"/>
    <w:tmpl w:val="41A4B909"/>
    <w:lvl w:ilvl="0" w:tentative="0">
      <w:start w:val="3"/>
      <w:numFmt w:val="decimal"/>
      <w:suff w:val="nothing"/>
      <w:lvlText w:val="（%1）"/>
      <w:lvlJc w:val="left"/>
      <w:pPr>
        <w:ind w:left="24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WQwYWZjY2RmMTRiNGE4NDY1NGZjYWVmN2M5MzYifQ=="/>
  </w:docVars>
  <w:rsids>
    <w:rsidRoot w:val="00A14947"/>
    <w:rsid w:val="00000B19"/>
    <w:rsid w:val="00000DFA"/>
    <w:rsid w:val="00001E2D"/>
    <w:rsid w:val="00002F9F"/>
    <w:rsid w:val="00004467"/>
    <w:rsid w:val="000059EC"/>
    <w:rsid w:val="000060B3"/>
    <w:rsid w:val="00006A44"/>
    <w:rsid w:val="00006C23"/>
    <w:rsid w:val="00007F63"/>
    <w:rsid w:val="00011175"/>
    <w:rsid w:val="0001154A"/>
    <w:rsid w:val="00011FA5"/>
    <w:rsid w:val="000121A4"/>
    <w:rsid w:val="0001246C"/>
    <w:rsid w:val="00012D78"/>
    <w:rsid w:val="00013DD8"/>
    <w:rsid w:val="00014370"/>
    <w:rsid w:val="000152B4"/>
    <w:rsid w:val="00015DC1"/>
    <w:rsid w:val="00016D53"/>
    <w:rsid w:val="0001752F"/>
    <w:rsid w:val="00017DD1"/>
    <w:rsid w:val="00017F18"/>
    <w:rsid w:val="000220B3"/>
    <w:rsid w:val="0002211D"/>
    <w:rsid w:val="000221E7"/>
    <w:rsid w:val="00022297"/>
    <w:rsid w:val="00022AF5"/>
    <w:rsid w:val="00022D0F"/>
    <w:rsid w:val="00023412"/>
    <w:rsid w:val="00023536"/>
    <w:rsid w:val="00024656"/>
    <w:rsid w:val="00025638"/>
    <w:rsid w:val="00026213"/>
    <w:rsid w:val="00026495"/>
    <w:rsid w:val="00026BF0"/>
    <w:rsid w:val="000270B2"/>
    <w:rsid w:val="00027E2F"/>
    <w:rsid w:val="0003017E"/>
    <w:rsid w:val="00030BBC"/>
    <w:rsid w:val="0003258A"/>
    <w:rsid w:val="00032B48"/>
    <w:rsid w:val="000346CB"/>
    <w:rsid w:val="00034710"/>
    <w:rsid w:val="00036AB9"/>
    <w:rsid w:val="00037266"/>
    <w:rsid w:val="0003743B"/>
    <w:rsid w:val="0003769B"/>
    <w:rsid w:val="000403A5"/>
    <w:rsid w:val="00042215"/>
    <w:rsid w:val="00042C29"/>
    <w:rsid w:val="0004364B"/>
    <w:rsid w:val="00045C87"/>
    <w:rsid w:val="00046055"/>
    <w:rsid w:val="000466E8"/>
    <w:rsid w:val="000468B6"/>
    <w:rsid w:val="000471AA"/>
    <w:rsid w:val="000472BE"/>
    <w:rsid w:val="00047351"/>
    <w:rsid w:val="000514FA"/>
    <w:rsid w:val="00052C87"/>
    <w:rsid w:val="000532DE"/>
    <w:rsid w:val="00053982"/>
    <w:rsid w:val="00053D03"/>
    <w:rsid w:val="00054162"/>
    <w:rsid w:val="0005459B"/>
    <w:rsid w:val="00054734"/>
    <w:rsid w:val="00054C9F"/>
    <w:rsid w:val="000551EE"/>
    <w:rsid w:val="0005568B"/>
    <w:rsid w:val="00057719"/>
    <w:rsid w:val="00060915"/>
    <w:rsid w:val="00060A91"/>
    <w:rsid w:val="00060E12"/>
    <w:rsid w:val="00061279"/>
    <w:rsid w:val="000615A3"/>
    <w:rsid w:val="000615AD"/>
    <w:rsid w:val="00061B1F"/>
    <w:rsid w:val="00062243"/>
    <w:rsid w:val="000626F4"/>
    <w:rsid w:val="00062C6B"/>
    <w:rsid w:val="00062C84"/>
    <w:rsid w:val="000634E1"/>
    <w:rsid w:val="00063650"/>
    <w:rsid w:val="0006404E"/>
    <w:rsid w:val="0006428D"/>
    <w:rsid w:val="00064A5A"/>
    <w:rsid w:val="00065C7D"/>
    <w:rsid w:val="0006702F"/>
    <w:rsid w:val="000679C6"/>
    <w:rsid w:val="00071076"/>
    <w:rsid w:val="0007122D"/>
    <w:rsid w:val="00071BC9"/>
    <w:rsid w:val="00072268"/>
    <w:rsid w:val="0007263B"/>
    <w:rsid w:val="00072F3C"/>
    <w:rsid w:val="000733C4"/>
    <w:rsid w:val="000739E8"/>
    <w:rsid w:val="00073AC7"/>
    <w:rsid w:val="00073E83"/>
    <w:rsid w:val="00074783"/>
    <w:rsid w:val="00075B52"/>
    <w:rsid w:val="00076B28"/>
    <w:rsid w:val="00076B4E"/>
    <w:rsid w:val="00077011"/>
    <w:rsid w:val="00077682"/>
    <w:rsid w:val="00077BA5"/>
    <w:rsid w:val="0008070B"/>
    <w:rsid w:val="00080A8C"/>
    <w:rsid w:val="000810AC"/>
    <w:rsid w:val="00081A02"/>
    <w:rsid w:val="00082231"/>
    <w:rsid w:val="0008285B"/>
    <w:rsid w:val="00083E24"/>
    <w:rsid w:val="00084AD7"/>
    <w:rsid w:val="00084BB7"/>
    <w:rsid w:val="00084DEB"/>
    <w:rsid w:val="00085CFF"/>
    <w:rsid w:val="00086A01"/>
    <w:rsid w:val="00086D8C"/>
    <w:rsid w:val="00086E02"/>
    <w:rsid w:val="0009058A"/>
    <w:rsid w:val="000905E8"/>
    <w:rsid w:val="00090963"/>
    <w:rsid w:val="00091715"/>
    <w:rsid w:val="0009184E"/>
    <w:rsid w:val="00091B8A"/>
    <w:rsid w:val="00091D03"/>
    <w:rsid w:val="000921AE"/>
    <w:rsid w:val="0009275B"/>
    <w:rsid w:val="00092D38"/>
    <w:rsid w:val="00092DFE"/>
    <w:rsid w:val="0009377B"/>
    <w:rsid w:val="000938FB"/>
    <w:rsid w:val="00094C02"/>
    <w:rsid w:val="00094D4D"/>
    <w:rsid w:val="00095977"/>
    <w:rsid w:val="00096CBC"/>
    <w:rsid w:val="00096D8B"/>
    <w:rsid w:val="000A0B43"/>
    <w:rsid w:val="000A0BC0"/>
    <w:rsid w:val="000A148B"/>
    <w:rsid w:val="000A1827"/>
    <w:rsid w:val="000A20C9"/>
    <w:rsid w:val="000A2276"/>
    <w:rsid w:val="000A2590"/>
    <w:rsid w:val="000A2EFC"/>
    <w:rsid w:val="000A3039"/>
    <w:rsid w:val="000A45A0"/>
    <w:rsid w:val="000A534E"/>
    <w:rsid w:val="000A5386"/>
    <w:rsid w:val="000A5939"/>
    <w:rsid w:val="000A5D42"/>
    <w:rsid w:val="000A6AA1"/>
    <w:rsid w:val="000A6DB8"/>
    <w:rsid w:val="000A76CA"/>
    <w:rsid w:val="000A782B"/>
    <w:rsid w:val="000A7915"/>
    <w:rsid w:val="000A7B42"/>
    <w:rsid w:val="000A7C2D"/>
    <w:rsid w:val="000B058F"/>
    <w:rsid w:val="000B0C5E"/>
    <w:rsid w:val="000B0E63"/>
    <w:rsid w:val="000B1193"/>
    <w:rsid w:val="000B2018"/>
    <w:rsid w:val="000B4467"/>
    <w:rsid w:val="000B4C5D"/>
    <w:rsid w:val="000B4DB9"/>
    <w:rsid w:val="000B5A07"/>
    <w:rsid w:val="000B61A3"/>
    <w:rsid w:val="000B767A"/>
    <w:rsid w:val="000B77A1"/>
    <w:rsid w:val="000B77A3"/>
    <w:rsid w:val="000B7982"/>
    <w:rsid w:val="000C03D6"/>
    <w:rsid w:val="000C09AC"/>
    <w:rsid w:val="000C0C9C"/>
    <w:rsid w:val="000C0DA3"/>
    <w:rsid w:val="000C2121"/>
    <w:rsid w:val="000C23DC"/>
    <w:rsid w:val="000C2916"/>
    <w:rsid w:val="000C292C"/>
    <w:rsid w:val="000C51E1"/>
    <w:rsid w:val="000C584E"/>
    <w:rsid w:val="000C5E48"/>
    <w:rsid w:val="000C6872"/>
    <w:rsid w:val="000C72C6"/>
    <w:rsid w:val="000C767F"/>
    <w:rsid w:val="000C7C48"/>
    <w:rsid w:val="000D12EF"/>
    <w:rsid w:val="000D228B"/>
    <w:rsid w:val="000D239E"/>
    <w:rsid w:val="000D3C4B"/>
    <w:rsid w:val="000D50F5"/>
    <w:rsid w:val="000D5969"/>
    <w:rsid w:val="000D5A44"/>
    <w:rsid w:val="000D5F6B"/>
    <w:rsid w:val="000D61BB"/>
    <w:rsid w:val="000D6A68"/>
    <w:rsid w:val="000D7337"/>
    <w:rsid w:val="000D7B05"/>
    <w:rsid w:val="000D7E52"/>
    <w:rsid w:val="000E0B6B"/>
    <w:rsid w:val="000E1A3C"/>
    <w:rsid w:val="000E20EA"/>
    <w:rsid w:val="000E2E5C"/>
    <w:rsid w:val="000E2EC7"/>
    <w:rsid w:val="000E3348"/>
    <w:rsid w:val="000E39AB"/>
    <w:rsid w:val="000E3ED2"/>
    <w:rsid w:val="000E474A"/>
    <w:rsid w:val="000E475E"/>
    <w:rsid w:val="000E4EA3"/>
    <w:rsid w:val="000E5498"/>
    <w:rsid w:val="000E54D1"/>
    <w:rsid w:val="000E5EBC"/>
    <w:rsid w:val="000E6140"/>
    <w:rsid w:val="000E6467"/>
    <w:rsid w:val="000E680A"/>
    <w:rsid w:val="000E7339"/>
    <w:rsid w:val="000E777C"/>
    <w:rsid w:val="000E7BB4"/>
    <w:rsid w:val="000F05AD"/>
    <w:rsid w:val="000F0735"/>
    <w:rsid w:val="000F1172"/>
    <w:rsid w:val="000F1616"/>
    <w:rsid w:val="000F1756"/>
    <w:rsid w:val="000F1890"/>
    <w:rsid w:val="000F2591"/>
    <w:rsid w:val="000F3406"/>
    <w:rsid w:val="000F3967"/>
    <w:rsid w:val="000F3F83"/>
    <w:rsid w:val="000F6651"/>
    <w:rsid w:val="000F6CB9"/>
    <w:rsid w:val="000F703B"/>
    <w:rsid w:val="000F71AB"/>
    <w:rsid w:val="000F753A"/>
    <w:rsid w:val="00100670"/>
    <w:rsid w:val="00101ED2"/>
    <w:rsid w:val="00102164"/>
    <w:rsid w:val="001021CF"/>
    <w:rsid w:val="0010263C"/>
    <w:rsid w:val="0010277E"/>
    <w:rsid w:val="001027AF"/>
    <w:rsid w:val="00102B3E"/>
    <w:rsid w:val="00102C85"/>
    <w:rsid w:val="001031E8"/>
    <w:rsid w:val="00104BDD"/>
    <w:rsid w:val="00105507"/>
    <w:rsid w:val="0010560C"/>
    <w:rsid w:val="001061AF"/>
    <w:rsid w:val="001077EC"/>
    <w:rsid w:val="0010785B"/>
    <w:rsid w:val="00112B70"/>
    <w:rsid w:val="00113B65"/>
    <w:rsid w:val="00114077"/>
    <w:rsid w:val="00114D85"/>
    <w:rsid w:val="0011530E"/>
    <w:rsid w:val="00116E71"/>
    <w:rsid w:val="0012034E"/>
    <w:rsid w:val="00120FE5"/>
    <w:rsid w:val="001224C6"/>
    <w:rsid w:val="00122575"/>
    <w:rsid w:val="001226BF"/>
    <w:rsid w:val="00122DE0"/>
    <w:rsid w:val="0012374F"/>
    <w:rsid w:val="00124592"/>
    <w:rsid w:val="0012614D"/>
    <w:rsid w:val="00126540"/>
    <w:rsid w:val="00126764"/>
    <w:rsid w:val="00126ED6"/>
    <w:rsid w:val="0012792C"/>
    <w:rsid w:val="0013001A"/>
    <w:rsid w:val="00130670"/>
    <w:rsid w:val="00130850"/>
    <w:rsid w:val="001308D2"/>
    <w:rsid w:val="00131166"/>
    <w:rsid w:val="00131F42"/>
    <w:rsid w:val="0013246E"/>
    <w:rsid w:val="0013259D"/>
    <w:rsid w:val="00132E95"/>
    <w:rsid w:val="001330E5"/>
    <w:rsid w:val="0013320D"/>
    <w:rsid w:val="0013471D"/>
    <w:rsid w:val="001357F1"/>
    <w:rsid w:val="00136983"/>
    <w:rsid w:val="00137E1F"/>
    <w:rsid w:val="0014016B"/>
    <w:rsid w:val="001403F9"/>
    <w:rsid w:val="00140704"/>
    <w:rsid w:val="00140A79"/>
    <w:rsid w:val="00140C30"/>
    <w:rsid w:val="00140FA8"/>
    <w:rsid w:val="00142FEB"/>
    <w:rsid w:val="001434D5"/>
    <w:rsid w:val="0014350F"/>
    <w:rsid w:val="00143A2D"/>
    <w:rsid w:val="00144228"/>
    <w:rsid w:val="00144E81"/>
    <w:rsid w:val="00144F63"/>
    <w:rsid w:val="00145014"/>
    <w:rsid w:val="001455AA"/>
    <w:rsid w:val="00145622"/>
    <w:rsid w:val="00145A41"/>
    <w:rsid w:val="00145B20"/>
    <w:rsid w:val="00146863"/>
    <w:rsid w:val="00147227"/>
    <w:rsid w:val="00147819"/>
    <w:rsid w:val="0015045A"/>
    <w:rsid w:val="00150B23"/>
    <w:rsid w:val="00150D8E"/>
    <w:rsid w:val="00151675"/>
    <w:rsid w:val="00151AE5"/>
    <w:rsid w:val="001534C3"/>
    <w:rsid w:val="001544B3"/>
    <w:rsid w:val="00154C2C"/>
    <w:rsid w:val="00154F59"/>
    <w:rsid w:val="00155576"/>
    <w:rsid w:val="00155F1F"/>
    <w:rsid w:val="00157435"/>
    <w:rsid w:val="0015753E"/>
    <w:rsid w:val="0015788D"/>
    <w:rsid w:val="00157C1A"/>
    <w:rsid w:val="00160175"/>
    <w:rsid w:val="001618AF"/>
    <w:rsid w:val="00162EA7"/>
    <w:rsid w:val="00163130"/>
    <w:rsid w:val="00163ADE"/>
    <w:rsid w:val="00164568"/>
    <w:rsid w:val="00164CBC"/>
    <w:rsid w:val="0016587A"/>
    <w:rsid w:val="00166C5B"/>
    <w:rsid w:val="00166F13"/>
    <w:rsid w:val="00167B99"/>
    <w:rsid w:val="00170B74"/>
    <w:rsid w:val="00171A26"/>
    <w:rsid w:val="00171F21"/>
    <w:rsid w:val="00172C4F"/>
    <w:rsid w:val="00173E61"/>
    <w:rsid w:val="00174011"/>
    <w:rsid w:val="001741B7"/>
    <w:rsid w:val="00174724"/>
    <w:rsid w:val="0017504D"/>
    <w:rsid w:val="00175865"/>
    <w:rsid w:val="0017671A"/>
    <w:rsid w:val="00177422"/>
    <w:rsid w:val="00177969"/>
    <w:rsid w:val="00177D5F"/>
    <w:rsid w:val="0018011A"/>
    <w:rsid w:val="00180135"/>
    <w:rsid w:val="0018060F"/>
    <w:rsid w:val="00181AA3"/>
    <w:rsid w:val="00182564"/>
    <w:rsid w:val="00182644"/>
    <w:rsid w:val="00182712"/>
    <w:rsid w:val="00182EE1"/>
    <w:rsid w:val="0018342D"/>
    <w:rsid w:val="00183C12"/>
    <w:rsid w:val="00184590"/>
    <w:rsid w:val="0018697F"/>
    <w:rsid w:val="001870D1"/>
    <w:rsid w:val="0018741C"/>
    <w:rsid w:val="001877F1"/>
    <w:rsid w:val="0018781E"/>
    <w:rsid w:val="00187A1E"/>
    <w:rsid w:val="001909D0"/>
    <w:rsid w:val="00190C90"/>
    <w:rsid w:val="001910DB"/>
    <w:rsid w:val="00191636"/>
    <w:rsid w:val="00191C81"/>
    <w:rsid w:val="00192436"/>
    <w:rsid w:val="0019262D"/>
    <w:rsid w:val="00192A7A"/>
    <w:rsid w:val="00194B1C"/>
    <w:rsid w:val="00195C04"/>
    <w:rsid w:val="00196386"/>
    <w:rsid w:val="00196401"/>
    <w:rsid w:val="00196BC0"/>
    <w:rsid w:val="001A04DE"/>
    <w:rsid w:val="001A0E7E"/>
    <w:rsid w:val="001A13FE"/>
    <w:rsid w:val="001A1B35"/>
    <w:rsid w:val="001A2DA0"/>
    <w:rsid w:val="001A35CC"/>
    <w:rsid w:val="001A3BD2"/>
    <w:rsid w:val="001A48A2"/>
    <w:rsid w:val="001A4CCA"/>
    <w:rsid w:val="001A500A"/>
    <w:rsid w:val="001A5AF6"/>
    <w:rsid w:val="001A6400"/>
    <w:rsid w:val="001A6649"/>
    <w:rsid w:val="001A6EBD"/>
    <w:rsid w:val="001A6F61"/>
    <w:rsid w:val="001A7399"/>
    <w:rsid w:val="001A75AE"/>
    <w:rsid w:val="001A7FF7"/>
    <w:rsid w:val="001B22C4"/>
    <w:rsid w:val="001B3031"/>
    <w:rsid w:val="001B3765"/>
    <w:rsid w:val="001B3CE1"/>
    <w:rsid w:val="001B3D57"/>
    <w:rsid w:val="001B58BB"/>
    <w:rsid w:val="001B5D80"/>
    <w:rsid w:val="001B72B8"/>
    <w:rsid w:val="001C0D70"/>
    <w:rsid w:val="001C152A"/>
    <w:rsid w:val="001C220E"/>
    <w:rsid w:val="001C27C9"/>
    <w:rsid w:val="001C2E18"/>
    <w:rsid w:val="001C2E71"/>
    <w:rsid w:val="001C2EF4"/>
    <w:rsid w:val="001C3EE6"/>
    <w:rsid w:val="001C4583"/>
    <w:rsid w:val="001C4F43"/>
    <w:rsid w:val="001C6625"/>
    <w:rsid w:val="001C69B3"/>
    <w:rsid w:val="001C736B"/>
    <w:rsid w:val="001C78FF"/>
    <w:rsid w:val="001C7B25"/>
    <w:rsid w:val="001D098D"/>
    <w:rsid w:val="001D0CBE"/>
    <w:rsid w:val="001D0E5F"/>
    <w:rsid w:val="001D10B0"/>
    <w:rsid w:val="001D16BB"/>
    <w:rsid w:val="001D2234"/>
    <w:rsid w:val="001D26F1"/>
    <w:rsid w:val="001D32FB"/>
    <w:rsid w:val="001D34DF"/>
    <w:rsid w:val="001D3A1B"/>
    <w:rsid w:val="001D42B1"/>
    <w:rsid w:val="001D4378"/>
    <w:rsid w:val="001D4733"/>
    <w:rsid w:val="001D5197"/>
    <w:rsid w:val="001D5198"/>
    <w:rsid w:val="001D5595"/>
    <w:rsid w:val="001D5A23"/>
    <w:rsid w:val="001D5EC8"/>
    <w:rsid w:val="001D7874"/>
    <w:rsid w:val="001D7F22"/>
    <w:rsid w:val="001D7F5D"/>
    <w:rsid w:val="001E052A"/>
    <w:rsid w:val="001E078B"/>
    <w:rsid w:val="001E07A1"/>
    <w:rsid w:val="001E1203"/>
    <w:rsid w:val="001E1A85"/>
    <w:rsid w:val="001E1BB2"/>
    <w:rsid w:val="001E1D2A"/>
    <w:rsid w:val="001E25BF"/>
    <w:rsid w:val="001E2696"/>
    <w:rsid w:val="001E2A51"/>
    <w:rsid w:val="001E2B47"/>
    <w:rsid w:val="001E2C81"/>
    <w:rsid w:val="001E31D8"/>
    <w:rsid w:val="001E57D9"/>
    <w:rsid w:val="001E5AA4"/>
    <w:rsid w:val="001E6AD0"/>
    <w:rsid w:val="001E6BBF"/>
    <w:rsid w:val="001E722B"/>
    <w:rsid w:val="001E7349"/>
    <w:rsid w:val="001E7BFF"/>
    <w:rsid w:val="001F0F17"/>
    <w:rsid w:val="001F2301"/>
    <w:rsid w:val="001F3347"/>
    <w:rsid w:val="001F4186"/>
    <w:rsid w:val="001F4BAA"/>
    <w:rsid w:val="001F5FB9"/>
    <w:rsid w:val="001F69E4"/>
    <w:rsid w:val="001F73CE"/>
    <w:rsid w:val="002001F2"/>
    <w:rsid w:val="002002D6"/>
    <w:rsid w:val="00200549"/>
    <w:rsid w:val="0020085B"/>
    <w:rsid w:val="00201579"/>
    <w:rsid w:val="00201700"/>
    <w:rsid w:val="00201F61"/>
    <w:rsid w:val="0020233E"/>
    <w:rsid w:val="002024BC"/>
    <w:rsid w:val="002025D5"/>
    <w:rsid w:val="00202DC3"/>
    <w:rsid w:val="002033E7"/>
    <w:rsid w:val="00203A99"/>
    <w:rsid w:val="0020511B"/>
    <w:rsid w:val="002051F2"/>
    <w:rsid w:val="00205D54"/>
    <w:rsid w:val="002060C8"/>
    <w:rsid w:val="00206CFE"/>
    <w:rsid w:val="0020716A"/>
    <w:rsid w:val="0021026A"/>
    <w:rsid w:val="00210280"/>
    <w:rsid w:val="002125B4"/>
    <w:rsid w:val="00212EC3"/>
    <w:rsid w:val="00213158"/>
    <w:rsid w:val="00213DA6"/>
    <w:rsid w:val="002140C9"/>
    <w:rsid w:val="002149ED"/>
    <w:rsid w:val="002155B8"/>
    <w:rsid w:val="0021564B"/>
    <w:rsid w:val="002158AB"/>
    <w:rsid w:val="00216A0F"/>
    <w:rsid w:val="00216D5A"/>
    <w:rsid w:val="0021724A"/>
    <w:rsid w:val="002177A5"/>
    <w:rsid w:val="00217F85"/>
    <w:rsid w:val="002219C3"/>
    <w:rsid w:val="00222442"/>
    <w:rsid w:val="00222514"/>
    <w:rsid w:val="00222D36"/>
    <w:rsid w:val="00223A19"/>
    <w:rsid w:val="002241A2"/>
    <w:rsid w:val="00224839"/>
    <w:rsid w:val="002249B2"/>
    <w:rsid w:val="00224F48"/>
    <w:rsid w:val="00225104"/>
    <w:rsid w:val="00226074"/>
    <w:rsid w:val="00226574"/>
    <w:rsid w:val="00226D5E"/>
    <w:rsid w:val="00226F04"/>
    <w:rsid w:val="0022759C"/>
    <w:rsid w:val="002278EC"/>
    <w:rsid w:val="002302FC"/>
    <w:rsid w:val="002305B6"/>
    <w:rsid w:val="0023101A"/>
    <w:rsid w:val="00231237"/>
    <w:rsid w:val="002312ED"/>
    <w:rsid w:val="0023173F"/>
    <w:rsid w:val="00231AD8"/>
    <w:rsid w:val="0023272F"/>
    <w:rsid w:val="0023280E"/>
    <w:rsid w:val="00232ABB"/>
    <w:rsid w:val="00232C1F"/>
    <w:rsid w:val="00233696"/>
    <w:rsid w:val="00233972"/>
    <w:rsid w:val="00233A07"/>
    <w:rsid w:val="002340DF"/>
    <w:rsid w:val="00235287"/>
    <w:rsid w:val="002355E2"/>
    <w:rsid w:val="00235CD1"/>
    <w:rsid w:val="00235D15"/>
    <w:rsid w:val="00235F50"/>
    <w:rsid w:val="002377D1"/>
    <w:rsid w:val="002402F2"/>
    <w:rsid w:val="002405E9"/>
    <w:rsid w:val="00240C78"/>
    <w:rsid w:val="002416CF"/>
    <w:rsid w:val="00241AB9"/>
    <w:rsid w:val="00241C69"/>
    <w:rsid w:val="002420BE"/>
    <w:rsid w:val="002426BB"/>
    <w:rsid w:val="00242D9D"/>
    <w:rsid w:val="002435B9"/>
    <w:rsid w:val="002438C3"/>
    <w:rsid w:val="002447E1"/>
    <w:rsid w:val="0024658B"/>
    <w:rsid w:val="0024669C"/>
    <w:rsid w:val="002467D2"/>
    <w:rsid w:val="002475BE"/>
    <w:rsid w:val="002506BC"/>
    <w:rsid w:val="00250746"/>
    <w:rsid w:val="0025089F"/>
    <w:rsid w:val="002508A9"/>
    <w:rsid w:val="002516FF"/>
    <w:rsid w:val="0025206A"/>
    <w:rsid w:val="002525A8"/>
    <w:rsid w:val="00254345"/>
    <w:rsid w:val="00254BEE"/>
    <w:rsid w:val="00255975"/>
    <w:rsid w:val="0025701E"/>
    <w:rsid w:val="00257AE6"/>
    <w:rsid w:val="002604B4"/>
    <w:rsid w:val="002605AB"/>
    <w:rsid w:val="0026072E"/>
    <w:rsid w:val="0026079B"/>
    <w:rsid w:val="0026238A"/>
    <w:rsid w:val="00262E60"/>
    <w:rsid w:val="00264557"/>
    <w:rsid w:val="002648E3"/>
    <w:rsid w:val="00264E34"/>
    <w:rsid w:val="00265205"/>
    <w:rsid w:val="00266042"/>
    <w:rsid w:val="00266F00"/>
    <w:rsid w:val="002676C5"/>
    <w:rsid w:val="00267AA8"/>
    <w:rsid w:val="00270968"/>
    <w:rsid w:val="00270DEE"/>
    <w:rsid w:val="00270EC0"/>
    <w:rsid w:val="002710B1"/>
    <w:rsid w:val="00271A67"/>
    <w:rsid w:val="00271D1A"/>
    <w:rsid w:val="0027214E"/>
    <w:rsid w:val="00272EB2"/>
    <w:rsid w:val="002735A4"/>
    <w:rsid w:val="0027449B"/>
    <w:rsid w:val="00274696"/>
    <w:rsid w:val="00275223"/>
    <w:rsid w:val="00276F92"/>
    <w:rsid w:val="002801AC"/>
    <w:rsid w:val="002805AB"/>
    <w:rsid w:val="00280EE2"/>
    <w:rsid w:val="00282759"/>
    <w:rsid w:val="00282A74"/>
    <w:rsid w:val="00282ED4"/>
    <w:rsid w:val="00284204"/>
    <w:rsid w:val="00284254"/>
    <w:rsid w:val="00284BAC"/>
    <w:rsid w:val="00285FA8"/>
    <w:rsid w:val="00285FBF"/>
    <w:rsid w:val="002865CE"/>
    <w:rsid w:val="002868DC"/>
    <w:rsid w:val="00286B20"/>
    <w:rsid w:val="00290C24"/>
    <w:rsid w:val="00291773"/>
    <w:rsid w:val="002920C4"/>
    <w:rsid w:val="00292B3B"/>
    <w:rsid w:val="0029304B"/>
    <w:rsid w:val="00293727"/>
    <w:rsid w:val="0029420E"/>
    <w:rsid w:val="002958F0"/>
    <w:rsid w:val="00297CC0"/>
    <w:rsid w:val="00297E78"/>
    <w:rsid w:val="002A0419"/>
    <w:rsid w:val="002A0519"/>
    <w:rsid w:val="002A0943"/>
    <w:rsid w:val="002A09CE"/>
    <w:rsid w:val="002A0B3C"/>
    <w:rsid w:val="002A168C"/>
    <w:rsid w:val="002A357C"/>
    <w:rsid w:val="002A3DC7"/>
    <w:rsid w:val="002A3DDE"/>
    <w:rsid w:val="002A4326"/>
    <w:rsid w:val="002A46E3"/>
    <w:rsid w:val="002A4F63"/>
    <w:rsid w:val="002A532E"/>
    <w:rsid w:val="002A5A0D"/>
    <w:rsid w:val="002A5D34"/>
    <w:rsid w:val="002A6374"/>
    <w:rsid w:val="002A6BE0"/>
    <w:rsid w:val="002A7574"/>
    <w:rsid w:val="002A75DF"/>
    <w:rsid w:val="002B0316"/>
    <w:rsid w:val="002B045F"/>
    <w:rsid w:val="002B0CCD"/>
    <w:rsid w:val="002B0E4C"/>
    <w:rsid w:val="002B1B1D"/>
    <w:rsid w:val="002B2A75"/>
    <w:rsid w:val="002B2DED"/>
    <w:rsid w:val="002B3736"/>
    <w:rsid w:val="002B399F"/>
    <w:rsid w:val="002B3E29"/>
    <w:rsid w:val="002B4348"/>
    <w:rsid w:val="002B43F7"/>
    <w:rsid w:val="002B4682"/>
    <w:rsid w:val="002B49E2"/>
    <w:rsid w:val="002B4F58"/>
    <w:rsid w:val="002B5EF8"/>
    <w:rsid w:val="002B6037"/>
    <w:rsid w:val="002B6214"/>
    <w:rsid w:val="002B6B8D"/>
    <w:rsid w:val="002B7338"/>
    <w:rsid w:val="002B75DA"/>
    <w:rsid w:val="002B7B00"/>
    <w:rsid w:val="002B7B1C"/>
    <w:rsid w:val="002B7C44"/>
    <w:rsid w:val="002B7D9B"/>
    <w:rsid w:val="002C0F70"/>
    <w:rsid w:val="002C11F8"/>
    <w:rsid w:val="002C2A17"/>
    <w:rsid w:val="002C2B17"/>
    <w:rsid w:val="002C364A"/>
    <w:rsid w:val="002C4722"/>
    <w:rsid w:val="002C6485"/>
    <w:rsid w:val="002C6EBA"/>
    <w:rsid w:val="002C7552"/>
    <w:rsid w:val="002C7967"/>
    <w:rsid w:val="002C7DA2"/>
    <w:rsid w:val="002D007A"/>
    <w:rsid w:val="002D1F5C"/>
    <w:rsid w:val="002D2D73"/>
    <w:rsid w:val="002D2F89"/>
    <w:rsid w:val="002D3219"/>
    <w:rsid w:val="002D3DD0"/>
    <w:rsid w:val="002D4428"/>
    <w:rsid w:val="002D532F"/>
    <w:rsid w:val="002D63EC"/>
    <w:rsid w:val="002D67AF"/>
    <w:rsid w:val="002E11B1"/>
    <w:rsid w:val="002E1392"/>
    <w:rsid w:val="002E13AA"/>
    <w:rsid w:val="002E1C8A"/>
    <w:rsid w:val="002E1F3A"/>
    <w:rsid w:val="002E205F"/>
    <w:rsid w:val="002E2272"/>
    <w:rsid w:val="002E298A"/>
    <w:rsid w:val="002E2FC5"/>
    <w:rsid w:val="002E3885"/>
    <w:rsid w:val="002E39B6"/>
    <w:rsid w:val="002E3CCC"/>
    <w:rsid w:val="002E617B"/>
    <w:rsid w:val="002E61B3"/>
    <w:rsid w:val="002E6867"/>
    <w:rsid w:val="002E6D04"/>
    <w:rsid w:val="002E719B"/>
    <w:rsid w:val="002E757A"/>
    <w:rsid w:val="002F004B"/>
    <w:rsid w:val="002F07EC"/>
    <w:rsid w:val="002F1B6B"/>
    <w:rsid w:val="002F2CAF"/>
    <w:rsid w:val="002F2E94"/>
    <w:rsid w:val="002F3C49"/>
    <w:rsid w:val="002F3CFA"/>
    <w:rsid w:val="002F41C0"/>
    <w:rsid w:val="002F4418"/>
    <w:rsid w:val="002F51A6"/>
    <w:rsid w:val="002F7BDD"/>
    <w:rsid w:val="002F7EC6"/>
    <w:rsid w:val="00301978"/>
    <w:rsid w:val="00302F14"/>
    <w:rsid w:val="0030332C"/>
    <w:rsid w:val="00303B31"/>
    <w:rsid w:val="00303D81"/>
    <w:rsid w:val="00303FD1"/>
    <w:rsid w:val="00304ABF"/>
    <w:rsid w:val="003051C2"/>
    <w:rsid w:val="003059D2"/>
    <w:rsid w:val="00305D23"/>
    <w:rsid w:val="00306228"/>
    <w:rsid w:val="0030657E"/>
    <w:rsid w:val="003066F2"/>
    <w:rsid w:val="00310D8F"/>
    <w:rsid w:val="003110FF"/>
    <w:rsid w:val="00311831"/>
    <w:rsid w:val="00312296"/>
    <w:rsid w:val="00312D85"/>
    <w:rsid w:val="00312F51"/>
    <w:rsid w:val="003148D3"/>
    <w:rsid w:val="00314C0D"/>
    <w:rsid w:val="00314F0E"/>
    <w:rsid w:val="003160AB"/>
    <w:rsid w:val="00317963"/>
    <w:rsid w:val="00317B17"/>
    <w:rsid w:val="003205AE"/>
    <w:rsid w:val="00321D8E"/>
    <w:rsid w:val="00321E40"/>
    <w:rsid w:val="003222E2"/>
    <w:rsid w:val="0032276C"/>
    <w:rsid w:val="00322ACF"/>
    <w:rsid w:val="00323A84"/>
    <w:rsid w:val="00325603"/>
    <w:rsid w:val="003258F0"/>
    <w:rsid w:val="00325928"/>
    <w:rsid w:val="0032613C"/>
    <w:rsid w:val="0032670A"/>
    <w:rsid w:val="00326D0C"/>
    <w:rsid w:val="00327744"/>
    <w:rsid w:val="00327E69"/>
    <w:rsid w:val="003304A1"/>
    <w:rsid w:val="003309B8"/>
    <w:rsid w:val="00330A93"/>
    <w:rsid w:val="00331171"/>
    <w:rsid w:val="003318F4"/>
    <w:rsid w:val="00331AF8"/>
    <w:rsid w:val="00332776"/>
    <w:rsid w:val="00332863"/>
    <w:rsid w:val="00332CE4"/>
    <w:rsid w:val="00332F6D"/>
    <w:rsid w:val="003347E3"/>
    <w:rsid w:val="0033485C"/>
    <w:rsid w:val="0033684D"/>
    <w:rsid w:val="00336D36"/>
    <w:rsid w:val="00336E2F"/>
    <w:rsid w:val="00337262"/>
    <w:rsid w:val="003373F1"/>
    <w:rsid w:val="00337B42"/>
    <w:rsid w:val="0034045D"/>
    <w:rsid w:val="00340987"/>
    <w:rsid w:val="00341B42"/>
    <w:rsid w:val="00341C64"/>
    <w:rsid w:val="00342394"/>
    <w:rsid w:val="003425E9"/>
    <w:rsid w:val="00342C7E"/>
    <w:rsid w:val="0034348F"/>
    <w:rsid w:val="0034352E"/>
    <w:rsid w:val="00344A33"/>
    <w:rsid w:val="00345A0D"/>
    <w:rsid w:val="00346488"/>
    <w:rsid w:val="0034648F"/>
    <w:rsid w:val="00350CC2"/>
    <w:rsid w:val="003524E5"/>
    <w:rsid w:val="003526A3"/>
    <w:rsid w:val="0035353D"/>
    <w:rsid w:val="00353782"/>
    <w:rsid w:val="0035390C"/>
    <w:rsid w:val="00354F1E"/>
    <w:rsid w:val="00355547"/>
    <w:rsid w:val="00355EC0"/>
    <w:rsid w:val="00356653"/>
    <w:rsid w:val="0035743F"/>
    <w:rsid w:val="00357BE2"/>
    <w:rsid w:val="0036019B"/>
    <w:rsid w:val="003609D9"/>
    <w:rsid w:val="003610AE"/>
    <w:rsid w:val="00361462"/>
    <w:rsid w:val="0036170C"/>
    <w:rsid w:val="003623CC"/>
    <w:rsid w:val="00363E44"/>
    <w:rsid w:val="00364580"/>
    <w:rsid w:val="00364C7D"/>
    <w:rsid w:val="00364DB5"/>
    <w:rsid w:val="00364E1E"/>
    <w:rsid w:val="00366E0F"/>
    <w:rsid w:val="0036756F"/>
    <w:rsid w:val="00367917"/>
    <w:rsid w:val="00367C12"/>
    <w:rsid w:val="00370900"/>
    <w:rsid w:val="00370AFB"/>
    <w:rsid w:val="00371C5C"/>
    <w:rsid w:val="00372823"/>
    <w:rsid w:val="0037299D"/>
    <w:rsid w:val="0037327B"/>
    <w:rsid w:val="003748C7"/>
    <w:rsid w:val="003752A3"/>
    <w:rsid w:val="00375784"/>
    <w:rsid w:val="003760A4"/>
    <w:rsid w:val="003765B3"/>
    <w:rsid w:val="00376DD5"/>
    <w:rsid w:val="00377DD2"/>
    <w:rsid w:val="0038169A"/>
    <w:rsid w:val="0038197D"/>
    <w:rsid w:val="00381A72"/>
    <w:rsid w:val="003820F0"/>
    <w:rsid w:val="003838B9"/>
    <w:rsid w:val="003839CA"/>
    <w:rsid w:val="00384676"/>
    <w:rsid w:val="00384CC6"/>
    <w:rsid w:val="00385C5E"/>
    <w:rsid w:val="0038660B"/>
    <w:rsid w:val="00387D2C"/>
    <w:rsid w:val="003906AF"/>
    <w:rsid w:val="00390857"/>
    <w:rsid w:val="00390FBE"/>
    <w:rsid w:val="0039191A"/>
    <w:rsid w:val="00391B6F"/>
    <w:rsid w:val="003930F5"/>
    <w:rsid w:val="00393780"/>
    <w:rsid w:val="00393954"/>
    <w:rsid w:val="00393B7E"/>
    <w:rsid w:val="00393CA4"/>
    <w:rsid w:val="0039439B"/>
    <w:rsid w:val="00396C96"/>
    <w:rsid w:val="00396EAD"/>
    <w:rsid w:val="003975E4"/>
    <w:rsid w:val="003A1B9E"/>
    <w:rsid w:val="003A1F59"/>
    <w:rsid w:val="003A2168"/>
    <w:rsid w:val="003A229A"/>
    <w:rsid w:val="003A22C4"/>
    <w:rsid w:val="003A3EA2"/>
    <w:rsid w:val="003A40F5"/>
    <w:rsid w:val="003A45E2"/>
    <w:rsid w:val="003A4BF3"/>
    <w:rsid w:val="003A53B7"/>
    <w:rsid w:val="003A556E"/>
    <w:rsid w:val="003A565E"/>
    <w:rsid w:val="003A624F"/>
    <w:rsid w:val="003A6C27"/>
    <w:rsid w:val="003B0DF7"/>
    <w:rsid w:val="003B12DA"/>
    <w:rsid w:val="003B15F3"/>
    <w:rsid w:val="003B18FB"/>
    <w:rsid w:val="003B27E6"/>
    <w:rsid w:val="003B2D3E"/>
    <w:rsid w:val="003B3BE2"/>
    <w:rsid w:val="003B420D"/>
    <w:rsid w:val="003B42EE"/>
    <w:rsid w:val="003B434A"/>
    <w:rsid w:val="003B5155"/>
    <w:rsid w:val="003B5251"/>
    <w:rsid w:val="003B5DE1"/>
    <w:rsid w:val="003B6252"/>
    <w:rsid w:val="003B6466"/>
    <w:rsid w:val="003B6D3C"/>
    <w:rsid w:val="003B7464"/>
    <w:rsid w:val="003C008A"/>
    <w:rsid w:val="003C0846"/>
    <w:rsid w:val="003C2538"/>
    <w:rsid w:val="003C2A04"/>
    <w:rsid w:val="003C2B51"/>
    <w:rsid w:val="003C37EB"/>
    <w:rsid w:val="003C3879"/>
    <w:rsid w:val="003C4B35"/>
    <w:rsid w:val="003C5460"/>
    <w:rsid w:val="003C5D27"/>
    <w:rsid w:val="003C6C16"/>
    <w:rsid w:val="003D1509"/>
    <w:rsid w:val="003D1792"/>
    <w:rsid w:val="003D1E8C"/>
    <w:rsid w:val="003D2771"/>
    <w:rsid w:val="003D2A89"/>
    <w:rsid w:val="003D3497"/>
    <w:rsid w:val="003D3945"/>
    <w:rsid w:val="003D5562"/>
    <w:rsid w:val="003D5ABB"/>
    <w:rsid w:val="003D6247"/>
    <w:rsid w:val="003D633A"/>
    <w:rsid w:val="003D659C"/>
    <w:rsid w:val="003D6C07"/>
    <w:rsid w:val="003D794D"/>
    <w:rsid w:val="003E0679"/>
    <w:rsid w:val="003E1F3A"/>
    <w:rsid w:val="003E241B"/>
    <w:rsid w:val="003E2619"/>
    <w:rsid w:val="003E26BA"/>
    <w:rsid w:val="003E2CC1"/>
    <w:rsid w:val="003E3058"/>
    <w:rsid w:val="003E4170"/>
    <w:rsid w:val="003E4AC6"/>
    <w:rsid w:val="003E543C"/>
    <w:rsid w:val="003E5F03"/>
    <w:rsid w:val="003E67A3"/>
    <w:rsid w:val="003E6BF7"/>
    <w:rsid w:val="003E7481"/>
    <w:rsid w:val="003E76A9"/>
    <w:rsid w:val="003E7B2C"/>
    <w:rsid w:val="003F0809"/>
    <w:rsid w:val="003F0EC9"/>
    <w:rsid w:val="003F192A"/>
    <w:rsid w:val="003F3A4E"/>
    <w:rsid w:val="003F3CCB"/>
    <w:rsid w:val="003F3DE9"/>
    <w:rsid w:val="003F4C9F"/>
    <w:rsid w:val="003F509E"/>
    <w:rsid w:val="003F6A8C"/>
    <w:rsid w:val="003F755C"/>
    <w:rsid w:val="004002EE"/>
    <w:rsid w:val="00401BAB"/>
    <w:rsid w:val="004032E8"/>
    <w:rsid w:val="004040F8"/>
    <w:rsid w:val="0040429F"/>
    <w:rsid w:val="004046B3"/>
    <w:rsid w:val="00404820"/>
    <w:rsid w:val="00404DAF"/>
    <w:rsid w:val="00405936"/>
    <w:rsid w:val="004062C8"/>
    <w:rsid w:val="00406B3A"/>
    <w:rsid w:val="00406F01"/>
    <w:rsid w:val="0041010F"/>
    <w:rsid w:val="00411E96"/>
    <w:rsid w:val="00412325"/>
    <w:rsid w:val="00412F02"/>
    <w:rsid w:val="00413915"/>
    <w:rsid w:val="00414970"/>
    <w:rsid w:val="00415557"/>
    <w:rsid w:val="00415BCC"/>
    <w:rsid w:val="00415BD5"/>
    <w:rsid w:val="00416D50"/>
    <w:rsid w:val="00416FD5"/>
    <w:rsid w:val="00417772"/>
    <w:rsid w:val="004203D8"/>
    <w:rsid w:val="00420453"/>
    <w:rsid w:val="004205C4"/>
    <w:rsid w:val="0042098F"/>
    <w:rsid w:val="00420E6A"/>
    <w:rsid w:val="00421B9A"/>
    <w:rsid w:val="00422085"/>
    <w:rsid w:val="004222EF"/>
    <w:rsid w:val="004233FE"/>
    <w:rsid w:val="00423499"/>
    <w:rsid w:val="00423C13"/>
    <w:rsid w:val="00424BBC"/>
    <w:rsid w:val="00425A9E"/>
    <w:rsid w:val="00425BBE"/>
    <w:rsid w:val="00426D6B"/>
    <w:rsid w:val="004278E1"/>
    <w:rsid w:val="00427B68"/>
    <w:rsid w:val="00430417"/>
    <w:rsid w:val="00430F7A"/>
    <w:rsid w:val="00431148"/>
    <w:rsid w:val="00431201"/>
    <w:rsid w:val="0043132D"/>
    <w:rsid w:val="00431E6C"/>
    <w:rsid w:val="00432B6B"/>
    <w:rsid w:val="00432CD1"/>
    <w:rsid w:val="00433CE7"/>
    <w:rsid w:val="00434A05"/>
    <w:rsid w:val="0043519B"/>
    <w:rsid w:val="00435232"/>
    <w:rsid w:val="00435252"/>
    <w:rsid w:val="00436557"/>
    <w:rsid w:val="004366FC"/>
    <w:rsid w:val="00436C63"/>
    <w:rsid w:val="00436CC6"/>
    <w:rsid w:val="00436EB5"/>
    <w:rsid w:val="004370B9"/>
    <w:rsid w:val="004372E2"/>
    <w:rsid w:val="00437800"/>
    <w:rsid w:val="00440097"/>
    <w:rsid w:val="00441043"/>
    <w:rsid w:val="00441B59"/>
    <w:rsid w:val="00441C2E"/>
    <w:rsid w:val="00441FF4"/>
    <w:rsid w:val="0044293D"/>
    <w:rsid w:val="00444215"/>
    <w:rsid w:val="004442BD"/>
    <w:rsid w:val="00444D8E"/>
    <w:rsid w:val="004457A6"/>
    <w:rsid w:val="00446EC7"/>
    <w:rsid w:val="00447191"/>
    <w:rsid w:val="00450CF0"/>
    <w:rsid w:val="00451AAB"/>
    <w:rsid w:val="00451CD3"/>
    <w:rsid w:val="00452738"/>
    <w:rsid w:val="00453124"/>
    <w:rsid w:val="004533EC"/>
    <w:rsid w:val="0045407E"/>
    <w:rsid w:val="004545E8"/>
    <w:rsid w:val="0045478D"/>
    <w:rsid w:val="00454BB2"/>
    <w:rsid w:val="00455297"/>
    <w:rsid w:val="004558B2"/>
    <w:rsid w:val="00456091"/>
    <w:rsid w:val="004605F5"/>
    <w:rsid w:val="0046072E"/>
    <w:rsid w:val="00460792"/>
    <w:rsid w:val="004607B6"/>
    <w:rsid w:val="00460E45"/>
    <w:rsid w:val="004625A2"/>
    <w:rsid w:val="004626D3"/>
    <w:rsid w:val="004627EC"/>
    <w:rsid w:val="00462A46"/>
    <w:rsid w:val="0046333C"/>
    <w:rsid w:val="00463AD8"/>
    <w:rsid w:val="0046477E"/>
    <w:rsid w:val="00464D73"/>
    <w:rsid w:val="0046513D"/>
    <w:rsid w:val="004652A6"/>
    <w:rsid w:val="004658E8"/>
    <w:rsid w:val="004659BA"/>
    <w:rsid w:val="00466321"/>
    <w:rsid w:val="00466DEE"/>
    <w:rsid w:val="00467872"/>
    <w:rsid w:val="00467DB3"/>
    <w:rsid w:val="00467F46"/>
    <w:rsid w:val="004705A1"/>
    <w:rsid w:val="0047176C"/>
    <w:rsid w:val="004717E3"/>
    <w:rsid w:val="00472B14"/>
    <w:rsid w:val="004739F7"/>
    <w:rsid w:val="004741C0"/>
    <w:rsid w:val="00474E1D"/>
    <w:rsid w:val="00474F57"/>
    <w:rsid w:val="004750E0"/>
    <w:rsid w:val="00475DF3"/>
    <w:rsid w:val="00476878"/>
    <w:rsid w:val="00476AF9"/>
    <w:rsid w:val="00476BB7"/>
    <w:rsid w:val="004770D6"/>
    <w:rsid w:val="00477BEB"/>
    <w:rsid w:val="004806BE"/>
    <w:rsid w:val="00480A42"/>
    <w:rsid w:val="00482243"/>
    <w:rsid w:val="00483292"/>
    <w:rsid w:val="00483F03"/>
    <w:rsid w:val="00484B9B"/>
    <w:rsid w:val="004853FC"/>
    <w:rsid w:val="004855F6"/>
    <w:rsid w:val="00485B55"/>
    <w:rsid w:val="00486275"/>
    <w:rsid w:val="00486394"/>
    <w:rsid w:val="00486483"/>
    <w:rsid w:val="0048661E"/>
    <w:rsid w:val="004873DD"/>
    <w:rsid w:val="004874AA"/>
    <w:rsid w:val="00490964"/>
    <w:rsid w:val="00491077"/>
    <w:rsid w:val="0049142E"/>
    <w:rsid w:val="004939D6"/>
    <w:rsid w:val="00494670"/>
    <w:rsid w:val="00495474"/>
    <w:rsid w:val="004957C3"/>
    <w:rsid w:val="00495889"/>
    <w:rsid w:val="00495945"/>
    <w:rsid w:val="00496246"/>
    <w:rsid w:val="004A0148"/>
    <w:rsid w:val="004A03C5"/>
    <w:rsid w:val="004A093E"/>
    <w:rsid w:val="004A110E"/>
    <w:rsid w:val="004A32AA"/>
    <w:rsid w:val="004A3823"/>
    <w:rsid w:val="004A40A4"/>
    <w:rsid w:val="004A451B"/>
    <w:rsid w:val="004A7B6F"/>
    <w:rsid w:val="004B021A"/>
    <w:rsid w:val="004B1FB4"/>
    <w:rsid w:val="004B232B"/>
    <w:rsid w:val="004B3AEA"/>
    <w:rsid w:val="004B3DA4"/>
    <w:rsid w:val="004B56C6"/>
    <w:rsid w:val="004B6504"/>
    <w:rsid w:val="004B6CA7"/>
    <w:rsid w:val="004B72F5"/>
    <w:rsid w:val="004B7319"/>
    <w:rsid w:val="004B7634"/>
    <w:rsid w:val="004C0224"/>
    <w:rsid w:val="004C05D0"/>
    <w:rsid w:val="004C0D22"/>
    <w:rsid w:val="004C11AC"/>
    <w:rsid w:val="004C16AD"/>
    <w:rsid w:val="004C19AB"/>
    <w:rsid w:val="004C212C"/>
    <w:rsid w:val="004C2E0D"/>
    <w:rsid w:val="004C4D76"/>
    <w:rsid w:val="004C5348"/>
    <w:rsid w:val="004C71FA"/>
    <w:rsid w:val="004C7801"/>
    <w:rsid w:val="004D2B53"/>
    <w:rsid w:val="004D310C"/>
    <w:rsid w:val="004D487B"/>
    <w:rsid w:val="004D556A"/>
    <w:rsid w:val="004D56A1"/>
    <w:rsid w:val="004D5C35"/>
    <w:rsid w:val="004E02A2"/>
    <w:rsid w:val="004E1037"/>
    <w:rsid w:val="004E1998"/>
    <w:rsid w:val="004E24A2"/>
    <w:rsid w:val="004E338C"/>
    <w:rsid w:val="004E6102"/>
    <w:rsid w:val="004E6271"/>
    <w:rsid w:val="004E6330"/>
    <w:rsid w:val="004E63D4"/>
    <w:rsid w:val="004E659B"/>
    <w:rsid w:val="004E6887"/>
    <w:rsid w:val="004E689B"/>
    <w:rsid w:val="004E6946"/>
    <w:rsid w:val="004E7029"/>
    <w:rsid w:val="004E7211"/>
    <w:rsid w:val="004E7CC1"/>
    <w:rsid w:val="004F1AD8"/>
    <w:rsid w:val="004F26EB"/>
    <w:rsid w:val="004F2D09"/>
    <w:rsid w:val="004F4D8B"/>
    <w:rsid w:val="004F582D"/>
    <w:rsid w:val="004F62DF"/>
    <w:rsid w:val="004F6B98"/>
    <w:rsid w:val="004F7628"/>
    <w:rsid w:val="00500A8E"/>
    <w:rsid w:val="00501806"/>
    <w:rsid w:val="00501A66"/>
    <w:rsid w:val="00501C6B"/>
    <w:rsid w:val="00501E94"/>
    <w:rsid w:val="00502524"/>
    <w:rsid w:val="005029E2"/>
    <w:rsid w:val="00502B66"/>
    <w:rsid w:val="005036C6"/>
    <w:rsid w:val="005039CB"/>
    <w:rsid w:val="00503BA4"/>
    <w:rsid w:val="00503D25"/>
    <w:rsid w:val="00504E0F"/>
    <w:rsid w:val="0050558F"/>
    <w:rsid w:val="00505EC3"/>
    <w:rsid w:val="00506286"/>
    <w:rsid w:val="00506756"/>
    <w:rsid w:val="00506A7A"/>
    <w:rsid w:val="00507E0A"/>
    <w:rsid w:val="00510813"/>
    <w:rsid w:val="00510A1D"/>
    <w:rsid w:val="00510F86"/>
    <w:rsid w:val="00511990"/>
    <w:rsid w:val="00511DE0"/>
    <w:rsid w:val="00512B1F"/>
    <w:rsid w:val="00512BEC"/>
    <w:rsid w:val="00513252"/>
    <w:rsid w:val="0051347B"/>
    <w:rsid w:val="005145AA"/>
    <w:rsid w:val="00514870"/>
    <w:rsid w:val="00514B9B"/>
    <w:rsid w:val="00514BAD"/>
    <w:rsid w:val="00516D5C"/>
    <w:rsid w:val="00517488"/>
    <w:rsid w:val="00517827"/>
    <w:rsid w:val="00517877"/>
    <w:rsid w:val="00517F02"/>
    <w:rsid w:val="0052019B"/>
    <w:rsid w:val="0052037F"/>
    <w:rsid w:val="00520C65"/>
    <w:rsid w:val="005217E2"/>
    <w:rsid w:val="00522A14"/>
    <w:rsid w:val="00523A1D"/>
    <w:rsid w:val="00523C38"/>
    <w:rsid w:val="00523F51"/>
    <w:rsid w:val="00524303"/>
    <w:rsid w:val="00524A05"/>
    <w:rsid w:val="00525313"/>
    <w:rsid w:val="005255F1"/>
    <w:rsid w:val="005258A2"/>
    <w:rsid w:val="0052754F"/>
    <w:rsid w:val="005276AB"/>
    <w:rsid w:val="00530AD7"/>
    <w:rsid w:val="00530FEF"/>
    <w:rsid w:val="005316AB"/>
    <w:rsid w:val="0053173C"/>
    <w:rsid w:val="005318CB"/>
    <w:rsid w:val="00531ACD"/>
    <w:rsid w:val="005320B8"/>
    <w:rsid w:val="005325D7"/>
    <w:rsid w:val="005336D3"/>
    <w:rsid w:val="00533C54"/>
    <w:rsid w:val="005342D1"/>
    <w:rsid w:val="00535B5F"/>
    <w:rsid w:val="00535C5E"/>
    <w:rsid w:val="00536DE8"/>
    <w:rsid w:val="00537382"/>
    <w:rsid w:val="005401AE"/>
    <w:rsid w:val="005412A8"/>
    <w:rsid w:val="00542A38"/>
    <w:rsid w:val="00542C5B"/>
    <w:rsid w:val="00542E07"/>
    <w:rsid w:val="00542F66"/>
    <w:rsid w:val="00543ED0"/>
    <w:rsid w:val="00544107"/>
    <w:rsid w:val="005441F2"/>
    <w:rsid w:val="00544869"/>
    <w:rsid w:val="0054509F"/>
    <w:rsid w:val="005453A2"/>
    <w:rsid w:val="00545424"/>
    <w:rsid w:val="0054627E"/>
    <w:rsid w:val="00546FC0"/>
    <w:rsid w:val="0054736F"/>
    <w:rsid w:val="00547998"/>
    <w:rsid w:val="0055141B"/>
    <w:rsid w:val="00551B2C"/>
    <w:rsid w:val="00552B38"/>
    <w:rsid w:val="00552D88"/>
    <w:rsid w:val="00552E22"/>
    <w:rsid w:val="005531AB"/>
    <w:rsid w:val="00553262"/>
    <w:rsid w:val="005541A1"/>
    <w:rsid w:val="0055445A"/>
    <w:rsid w:val="0055463B"/>
    <w:rsid w:val="00554A7B"/>
    <w:rsid w:val="0055572C"/>
    <w:rsid w:val="0055579E"/>
    <w:rsid w:val="00556EBA"/>
    <w:rsid w:val="00560791"/>
    <w:rsid w:val="00560AE1"/>
    <w:rsid w:val="0056106A"/>
    <w:rsid w:val="005615ED"/>
    <w:rsid w:val="00561BE4"/>
    <w:rsid w:val="00562061"/>
    <w:rsid w:val="00562684"/>
    <w:rsid w:val="00563301"/>
    <w:rsid w:val="00563523"/>
    <w:rsid w:val="005636C9"/>
    <w:rsid w:val="00564925"/>
    <w:rsid w:val="00564ACF"/>
    <w:rsid w:val="00564C13"/>
    <w:rsid w:val="005667B5"/>
    <w:rsid w:val="00566BAC"/>
    <w:rsid w:val="0057052A"/>
    <w:rsid w:val="005705AD"/>
    <w:rsid w:val="00570A56"/>
    <w:rsid w:val="00570EA1"/>
    <w:rsid w:val="00570FA5"/>
    <w:rsid w:val="005720AE"/>
    <w:rsid w:val="00572C61"/>
    <w:rsid w:val="005733B4"/>
    <w:rsid w:val="00574593"/>
    <w:rsid w:val="00575C50"/>
    <w:rsid w:val="005764B3"/>
    <w:rsid w:val="00576A2E"/>
    <w:rsid w:val="005773C5"/>
    <w:rsid w:val="005773D2"/>
    <w:rsid w:val="005774C5"/>
    <w:rsid w:val="0057777A"/>
    <w:rsid w:val="00577F54"/>
    <w:rsid w:val="0058149D"/>
    <w:rsid w:val="00581B91"/>
    <w:rsid w:val="005828D5"/>
    <w:rsid w:val="00583690"/>
    <w:rsid w:val="00583966"/>
    <w:rsid w:val="00583C96"/>
    <w:rsid w:val="00584728"/>
    <w:rsid w:val="00584BA1"/>
    <w:rsid w:val="00584C87"/>
    <w:rsid w:val="005853BB"/>
    <w:rsid w:val="0058548C"/>
    <w:rsid w:val="00585A74"/>
    <w:rsid w:val="0058765F"/>
    <w:rsid w:val="00587710"/>
    <w:rsid w:val="00587ECB"/>
    <w:rsid w:val="00587FE8"/>
    <w:rsid w:val="005907F2"/>
    <w:rsid w:val="00591046"/>
    <w:rsid w:val="0059154D"/>
    <w:rsid w:val="00591D08"/>
    <w:rsid w:val="00592F5F"/>
    <w:rsid w:val="00594A20"/>
    <w:rsid w:val="00594D77"/>
    <w:rsid w:val="0059583A"/>
    <w:rsid w:val="005958D3"/>
    <w:rsid w:val="0059600B"/>
    <w:rsid w:val="005969E4"/>
    <w:rsid w:val="00596F39"/>
    <w:rsid w:val="00597389"/>
    <w:rsid w:val="005978DC"/>
    <w:rsid w:val="005A06B7"/>
    <w:rsid w:val="005A0B16"/>
    <w:rsid w:val="005A1437"/>
    <w:rsid w:val="005A15FF"/>
    <w:rsid w:val="005A16DC"/>
    <w:rsid w:val="005A1759"/>
    <w:rsid w:val="005A2908"/>
    <w:rsid w:val="005A2C93"/>
    <w:rsid w:val="005A3001"/>
    <w:rsid w:val="005A426A"/>
    <w:rsid w:val="005A450B"/>
    <w:rsid w:val="005A4BD5"/>
    <w:rsid w:val="005A5398"/>
    <w:rsid w:val="005A5C14"/>
    <w:rsid w:val="005A68A7"/>
    <w:rsid w:val="005A74BD"/>
    <w:rsid w:val="005B0DD0"/>
    <w:rsid w:val="005B15F1"/>
    <w:rsid w:val="005B381D"/>
    <w:rsid w:val="005B46C7"/>
    <w:rsid w:val="005B4C1E"/>
    <w:rsid w:val="005B5254"/>
    <w:rsid w:val="005B59B8"/>
    <w:rsid w:val="005B5F7D"/>
    <w:rsid w:val="005B6FE8"/>
    <w:rsid w:val="005B7C0C"/>
    <w:rsid w:val="005C0308"/>
    <w:rsid w:val="005C162E"/>
    <w:rsid w:val="005C1900"/>
    <w:rsid w:val="005C1C83"/>
    <w:rsid w:val="005C2049"/>
    <w:rsid w:val="005C3BF8"/>
    <w:rsid w:val="005C4BA2"/>
    <w:rsid w:val="005C54F7"/>
    <w:rsid w:val="005C58F6"/>
    <w:rsid w:val="005C623B"/>
    <w:rsid w:val="005D2FCB"/>
    <w:rsid w:val="005D36AB"/>
    <w:rsid w:val="005D3FD0"/>
    <w:rsid w:val="005D41DC"/>
    <w:rsid w:val="005D4377"/>
    <w:rsid w:val="005D484B"/>
    <w:rsid w:val="005D4D5E"/>
    <w:rsid w:val="005D512F"/>
    <w:rsid w:val="005D5804"/>
    <w:rsid w:val="005D6237"/>
    <w:rsid w:val="005D6C6C"/>
    <w:rsid w:val="005D6F6B"/>
    <w:rsid w:val="005D75D4"/>
    <w:rsid w:val="005D7E00"/>
    <w:rsid w:val="005E0189"/>
    <w:rsid w:val="005E0610"/>
    <w:rsid w:val="005E1806"/>
    <w:rsid w:val="005E190B"/>
    <w:rsid w:val="005E197A"/>
    <w:rsid w:val="005E199D"/>
    <w:rsid w:val="005E23D8"/>
    <w:rsid w:val="005E2C2E"/>
    <w:rsid w:val="005E3CB3"/>
    <w:rsid w:val="005E3E37"/>
    <w:rsid w:val="005E47E5"/>
    <w:rsid w:val="005E493A"/>
    <w:rsid w:val="005E5755"/>
    <w:rsid w:val="005E6D1B"/>
    <w:rsid w:val="005F1201"/>
    <w:rsid w:val="005F1B36"/>
    <w:rsid w:val="005F1D4D"/>
    <w:rsid w:val="005F2031"/>
    <w:rsid w:val="005F3140"/>
    <w:rsid w:val="005F39AD"/>
    <w:rsid w:val="005F39CA"/>
    <w:rsid w:val="005F3DA0"/>
    <w:rsid w:val="005F4169"/>
    <w:rsid w:val="005F439B"/>
    <w:rsid w:val="005F7A23"/>
    <w:rsid w:val="006002B6"/>
    <w:rsid w:val="006017DE"/>
    <w:rsid w:val="006025E9"/>
    <w:rsid w:val="00602773"/>
    <w:rsid w:val="00602DCC"/>
    <w:rsid w:val="00603A18"/>
    <w:rsid w:val="00606C2A"/>
    <w:rsid w:val="006074D2"/>
    <w:rsid w:val="00610185"/>
    <w:rsid w:val="00610642"/>
    <w:rsid w:val="00610EEE"/>
    <w:rsid w:val="00611EDF"/>
    <w:rsid w:val="00611F5B"/>
    <w:rsid w:val="00612090"/>
    <w:rsid w:val="006125C4"/>
    <w:rsid w:val="00612BF7"/>
    <w:rsid w:val="006136A6"/>
    <w:rsid w:val="006143CD"/>
    <w:rsid w:val="00614863"/>
    <w:rsid w:val="006149D4"/>
    <w:rsid w:val="00614A93"/>
    <w:rsid w:val="00614F0C"/>
    <w:rsid w:val="0061503E"/>
    <w:rsid w:val="0061614A"/>
    <w:rsid w:val="00616DC1"/>
    <w:rsid w:val="00616E37"/>
    <w:rsid w:val="00617ABB"/>
    <w:rsid w:val="00617CC3"/>
    <w:rsid w:val="006202A3"/>
    <w:rsid w:val="006218FB"/>
    <w:rsid w:val="00621973"/>
    <w:rsid w:val="006226B6"/>
    <w:rsid w:val="00622BC7"/>
    <w:rsid w:val="00623470"/>
    <w:rsid w:val="00623D48"/>
    <w:rsid w:val="00623D5A"/>
    <w:rsid w:val="006240AA"/>
    <w:rsid w:val="00626331"/>
    <w:rsid w:val="006266D5"/>
    <w:rsid w:val="00626B6F"/>
    <w:rsid w:val="006270D4"/>
    <w:rsid w:val="00627493"/>
    <w:rsid w:val="00627F44"/>
    <w:rsid w:val="00630E38"/>
    <w:rsid w:val="006314C1"/>
    <w:rsid w:val="00631713"/>
    <w:rsid w:val="00631A4B"/>
    <w:rsid w:val="006326FD"/>
    <w:rsid w:val="00634AC2"/>
    <w:rsid w:val="00635940"/>
    <w:rsid w:val="00636491"/>
    <w:rsid w:val="006366B4"/>
    <w:rsid w:val="00636F2B"/>
    <w:rsid w:val="00636FDA"/>
    <w:rsid w:val="00637117"/>
    <w:rsid w:val="00637391"/>
    <w:rsid w:val="006377A6"/>
    <w:rsid w:val="00637A3D"/>
    <w:rsid w:val="00637CC7"/>
    <w:rsid w:val="00640CE1"/>
    <w:rsid w:val="006411EF"/>
    <w:rsid w:val="006415E3"/>
    <w:rsid w:val="00641883"/>
    <w:rsid w:val="006419C5"/>
    <w:rsid w:val="00641F4A"/>
    <w:rsid w:val="00643189"/>
    <w:rsid w:val="00647A1C"/>
    <w:rsid w:val="0065130F"/>
    <w:rsid w:val="0065158A"/>
    <w:rsid w:val="00652358"/>
    <w:rsid w:val="00652725"/>
    <w:rsid w:val="00652EEC"/>
    <w:rsid w:val="00654129"/>
    <w:rsid w:val="0065443E"/>
    <w:rsid w:val="00654986"/>
    <w:rsid w:val="00654CBA"/>
    <w:rsid w:val="00654FA1"/>
    <w:rsid w:val="00655425"/>
    <w:rsid w:val="006556B1"/>
    <w:rsid w:val="00655945"/>
    <w:rsid w:val="006559C6"/>
    <w:rsid w:val="00656DE1"/>
    <w:rsid w:val="0065771F"/>
    <w:rsid w:val="00660B0F"/>
    <w:rsid w:val="00660E91"/>
    <w:rsid w:val="006612B8"/>
    <w:rsid w:val="00661653"/>
    <w:rsid w:val="006616CC"/>
    <w:rsid w:val="0066191B"/>
    <w:rsid w:val="00661A44"/>
    <w:rsid w:val="00661B00"/>
    <w:rsid w:val="00661C61"/>
    <w:rsid w:val="006628F7"/>
    <w:rsid w:val="00663E27"/>
    <w:rsid w:val="00665B39"/>
    <w:rsid w:val="00667283"/>
    <w:rsid w:val="006672C1"/>
    <w:rsid w:val="00670271"/>
    <w:rsid w:val="00670CF1"/>
    <w:rsid w:val="00670F2A"/>
    <w:rsid w:val="0067135C"/>
    <w:rsid w:val="0067156E"/>
    <w:rsid w:val="00671766"/>
    <w:rsid w:val="0067182A"/>
    <w:rsid w:val="00672083"/>
    <w:rsid w:val="006722AC"/>
    <w:rsid w:val="00672613"/>
    <w:rsid w:val="006748B8"/>
    <w:rsid w:val="00674B50"/>
    <w:rsid w:val="00674F16"/>
    <w:rsid w:val="006774E0"/>
    <w:rsid w:val="006775C3"/>
    <w:rsid w:val="00680242"/>
    <w:rsid w:val="00680690"/>
    <w:rsid w:val="00681BCA"/>
    <w:rsid w:val="006820FC"/>
    <w:rsid w:val="00682188"/>
    <w:rsid w:val="006829E0"/>
    <w:rsid w:val="00682A28"/>
    <w:rsid w:val="00682B71"/>
    <w:rsid w:val="00682C94"/>
    <w:rsid w:val="006836B5"/>
    <w:rsid w:val="00683A0E"/>
    <w:rsid w:val="00683B0A"/>
    <w:rsid w:val="006858B1"/>
    <w:rsid w:val="00685EDA"/>
    <w:rsid w:val="00687625"/>
    <w:rsid w:val="006877BE"/>
    <w:rsid w:val="006904D8"/>
    <w:rsid w:val="0069112C"/>
    <w:rsid w:val="006914C6"/>
    <w:rsid w:val="0069181B"/>
    <w:rsid w:val="00691FEC"/>
    <w:rsid w:val="0069290A"/>
    <w:rsid w:val="006932BB"/>
    <w:rsid w:val="006933B9"/>
    <w:rsid w:val="00693433"/>
    <w:rsid w:val="0069453E"/>
    <w:rsid w:val="006947F4"/>
    <w:rsid w:val="0069518D"/>
    <w:rsid w:val="00695D9E"/>
    <w:rsid w:val="0069612C"/>
    <w:rsid w:val="00696B06"/>
    <w:rsid w:val="00696E8E"/>
    <w:rsid w:val="0069775A"/>
    <w:rsid w:val="00697774"/>
    <w:rsid w:val="00697813"/>
    <w:rsid w:val="006A0541"/>
    <w:rsid w:val="006A0F94"/>
    <w:rsid w:val="006A2200"/>
    <w:rsid w:val="006A3309"/>
    <w:rsid w:val="006A3EE8"/>
    <w:rsid w:val="006A4124"/>
    <w:rsid w:val="006A42D4"/>
    <w:rsid w:val="006A4BEC"/>
    <w:rsid w:val="006A4C81"/>
    <w:rsid w:val="006A51D2"/>
    <w:rsid w:val="006A5F35"/>
    <w:rsid w:val="006A6980"/>
    <w:rsid w:val="006A7077"/>
    <w:rsid w:val="006A72BF"/>
    <w:rsid w:val="006A7DED"/>
    <w:rsid w:val="006B03F2"/>
    <w:rsid w:val="006B0B29"/>
    <w:rsid w:val="006B0BBA"/>
    <w:rsid w:val="006B1417"/>
    <w:rsid w:val="006B2C0E"/>
    <w:rsid w:val="006B3604"/>
    <w:rsid w:val="006B37DC"/>
    <w:rsid w:val="006B3883"/>
    <w:rsid w:val="006B482B"/>
    <w:rsid w:val="006B4F68"/>
    <w:rsid w:val="006B5185"/>
    <w:rsid w:val="006B54CB"/>
    <w:rsid w:val="006B56C9"/>
    <w:rsid w:val="006B5BAE"/>
    <w:rsid w:val="006B5E33"/>
    <w:rsid w:val="006B6689"/>
    <w:rsid w:val="006B7472"/>
    <w:rsid w:val="006B7E7E"/>
    <w:rsid w:val="006C0592"/>
    <w:rsid w:val="006C0C9A"/>
    <w:rsid w:val="006C0D73"/>
    <w:rsid w:val="006C18A5"/>
    <w:rsid w:val="006C1D97"/>
    <w:rsid w:val="006C234D"/>
    <w:rsid w:val="006C267E"/>
    <w:rsid w:val="006C272E"/>
    <w:rsid w:val="006C2A6D"/>
    <w:rsid w:val="006C30DD"/>
    <w:rsid w:val="006C350C"/>
    <w:rsid w:val="006C3D57"/>
    <w:rsid w:val="006C49BA"/>
    <w:rsid w:val="006C5479"/>
    <w:rsid w:val="006C74C7"/>
    <w:rsid w:val="006C79CD"/>
    <w:rsid w:val="006C7A5D"/>
    <w:rsid w:val="006C7AFF"/>
    <w:rsid w:val="006C7DDE"/>
    <w:rsid w:val="006D09D3"/>
    <w:rsid w:val="006D13B5"/>
    <w:rsid w:val="006D14A0"/>
    <w:rsid w:val="006D1E07"/>
    <w:rsid w:val="006D1E99"/>
    <w:rsid w:val="006D213C"/>
    <w:rsid w:val="006D2D54"/>
    <w:rsid w:val="006D32FE"/>
    <w:rsid w:val="006D4225"/>
    <w:rsid w:val="006D5700"/>
    <w:rsid w:val="006D595C"/>
    <w:rsid w:val="006D5B2A"/>
    <w:rsid w:val="006D63E7"/>
    <w:rsid w:val="006D7572"/>
    <w:rsid w:val="006D79DD"/>
    <w:rsid w:val="006E12FF"/>
    <w:rsid w:val="006E2E63"/>
    <w:rsid w:val="006E34DE"/>
    <w:rsid w:val="006E3729"/>
    <w:rsid w:val="006E540F"/>
    <w:rsid w:val="006E54CC"/>
    <w:rsid w:val="006E57A2"/>
    <w:rsid w:val="006E585A"/>
    <w:rsid w:val="006E607E"/>
    <w:rsid w:val="006E76CE"/>
    <w:rsid w:val="006E79AC"/>
    <w:rsid w:val="006F046B"/>
    <w:rsid w:val="006F0528"/>
    <w:rsid w:val="006F0B5B"/>
    <w:rsid w:val="006F1AB2"/>
    <w:rsid w:val="006F1BAD"/>
    <w:rsid w:val="006F22E4"/>
    <w:rsid w:val="006F2792"/>
    <w:rsid w:val="006F3E05"/>
    <w:rsid w:val="006F3F62"/>
    <w:rsid w:val="006F4101"/>
    <w:rsid w:val="006F41ED"/>
    <w:rsid w:val="006F4453"/>
    <w:rsid w:val="006F44D0"/>
    <w:rsid w:val="006F4570"/>
    <w:rsid w:val="006F46F1"/>
    <w:rsid w:val="006F4B5C"/>
    <w:rsid w:val="006F6599"/>
    <w:rsid w:val="006F7B7B"/>
    <w:rsid w:val="006F7BD6"/>
    <w:rsid w:val="007003AE"/>
    <w:rsid w:val="00700A84"/>
    <w:rsid w:val="0070130D"/>
    <w:rsid w:val="00701A12"/>
    <w:rsid w:val="00701C4D"/>
    <w:rsid w:val="007026B3"/>
    <w:rsid w:val="00703A59"/>
    <w:rsid w:val="0070476D"/>
    <w:rsid w:val="0070630A"/>
    <w:rsid w:val="00706C5D"/>
    <w:rsid w:val="007071BA"/>
    <w:rsid w:val="0070751B"/>
    <w:rsid w:val="0071005A"/>
    <w:rsid w:val="007109F6"/>
    <w:rsid w:val="00711ACA"/>
    <w:rsid w:val="00711D6F"/>
    <w:rsid w:val="00713DEC"/>
    <w:rsid w:val="00714084"/>
    <w:rsid w:val="0071488F"/>
    <w:rsid w:val="00715CAB"/>
    <w:rsid w:val="0071664D"/>
    <w:rsid w:val="00716928"/>
    <w:rsid w:val="00716E6E"/>
    <w:rsid w:val="007175C9"/>
    <w:rsid w:val="007178E8"/>
    <w:rsid w:val="00717B1D"/>
    <w:rsid w:val="00717CA9"/>
    <w:rsid w:val="007205FE"/>
    <w:rsid w:val="007212DC"/>
    <w:rsid w:val="00721326"/>
    <w:rsid w:val="00721839"/>
    <w:rsid w:val="00723115"/>
    <w:rsid w:val="0072346C"/>
    <w:rsid w:val="00723A6D"/>
    <w:rsid w:val="00724490"/>
    <w:rsid w:val="00725130"/>
    <w:rsid w:val="007254DA"/>
    <w:rsid w:val="00725A93"/>
    <w:rsid w:val="007262DE"/>
    <w:rsid w:val="00730459"/>
    <w:rsid w:val="0073068E"/>
    <w:rsid w:val="00732922"/>
    <w:rsid w:val="00732CA4"/>
    <w:rsid w:val="00733A95"/>
    <w:rsid w:val="00735175"/>
    <w:rsid w:val="00735713"/>
    <w:rsid w:val="007360AF"/>
    <w:rsid w:val="00737C67"/>
    <w:rsid w:val="00740E5F"/>
    <w:rsid w:val="00741507"/>
    <w:rsid w:val="00742801"/>
    <w:rsid w:val="00744609"/>
    <w:rsid w:val="00744EEC"/>
    <w:rsid w:val="00745140"/>
    <w:rsid w:val="0074517B"/>
    <w:rsid w:val="007462E5"/>
    <w:rsid w:val="007463BB"/>
    <w:rsid w:val="0074669C"/>
    <w:rsid w:val="007508C7"/>
    <w:rsid w:val="0075110D"/>
    <w:rsid w:val="007512E5"/>
    <w:rsid w:val="0075162E"/>
    <w:rsid w:val="007516CE"/>
    <w:rsid w:val="007520AD"/>
    <w:rsid w:val="0075269A"/>
    <w:rsid w:val="007535F8"/>
    <w:rsid w:val="00753884"/>
    <w:rsid w:val="00753B2D"/>
    <w:rsid w:val="00753FB7"/>
    <w:rsid w:val="00754034"/>
    <w:rsid w:val="00754E20"/>
    <w:rsid w:val="00754FC7"/>
    <w:rsid w:val="00755676"/>
    <w:rsid w:val="00756556"/>
    <w:rsid w:val="00756864"/>
    <w:rsid w:val="00756894"/>
    <w:rsid w:val="0075710B"/>
    <w:rsid w:val="0076041F"/>
    <w:rsid w:val="00760872"/>
    <w:rsid w:val="00760AA6"/>
    <w:rsid w:val="00760C24"/>
    <w:rsid w:val="00760C5E"/>
    <w:rsid w:val="0076144A"/>
    <w:rsid w:val="007618C4"/>
    <w:rsid w:val="00761C9C"/>
    <w:rsid w:val="00761E4D"/>
    <w:rsid w:val="00763567"/>
    <w:rsid w:val="00763F2A"/>
    <w:rsid w:val="00764527"/>
    <w:rsid w:val="00765283"/>
    <w:rsid w:val="007662EC"/>
    <w:rsid w:val="007667C2"/>
    <w:rsid w:val="00766956"/>
    <w:rsid w:val="00766B46"/>
    <w:rsid w:val="00767980"/>
    <w:rsid w:val="00767C6D"/>
    <w:rsid w:val="00767F3B"/>
    <w:rsid w:val="00770573"/>
    <w:rsid w:val="00770B19"/>
    <w:rsid w:val="007710D0"/>
    <w:rsid w:val="007716A2"/>
    <w:rsid w:val="00771AEA"/>
    <w:rsid w:val="0077269B"/>
    <w:rsid w:val="007736A5"/>
    <w:rsid w:val="00773DF4"/>
    <w:rsid w:val="00773E28"/>
    <w:rsid w:val="00774020"/>
    <w:rsid w:val="0077415F"/>
    <w:rsid w:val="0077463F"/>
    <w:rsid w:val="0077495F"/>
    <w:rsid w:val="007762EB"/>
    <w:rsid w:val="007768EE"/>
    <w:rsid w:val="00776BD6"/>
    <w:rsid w:val="00777492"/>
    <w:rsid w:val="00777E55"/>
    <w:rsid w:val="007810FF"/>
    <w:rsid w:val="00782021"/>
    <w:rsid w:val="0078212D"/>
    <w:rsid w:val="00782309"/>
    <w:rsid w:val="00782639"/>
    <w:rsid w:val="007828F7"/>
    <w:rsid w:val="00782C7F"/>
    <w:rsid w:val="00782D3B"/>
    <w:rsid w:val="0078308F"/>
    <w:rsid w:val="007836EA"/>
    <w:rsid w:val="0078393D"/>
    <w:rsid w:val="00784B10"/>
    <w:rsid w:val="00784CDA"/>
    <w:rsid w:val="00786BCB"/>
    <w:rsid w:val="00786D53"/>
    <w:rsid w:val="00787192"/>
    <w:rsid w:val="00787F08"/>
    <w:rsid w:val="0079067C"/>
    <w:rsid w:val="007906C4"/>
    <w:rsid w:val="00790819"/>
    <w:rsid w:val="00790E50"/>
    <w:rsid w:val="007912FA"/>
    <w:rsid w:val="00791700"/>
    <w:rsid w:val="00791DD6"/>
    <w:rsid w:val="00791E53"/>
    <w:rsid w:val="00792294"/>
    <w:rsid w:val="007924BE"/>
    <w:rsid w:val="007940EA"/>
    <w:rsid w:val="00794940"/>
    <w:rsid w:val="007956AF"/>
    <w:rsid w:val="00795C35"/>
    <w:rsid w:val="00796625"/>
    <w:rsid w:val="0079676E"/>
    <w:rsid w:val="007967E8"/>
    <w:rsid w:val="00797B08"/>
    <w:rsid w:val="00797BA7"/>
    <w:rsid w:val="007A0220"/>
    <w:rsid w:val="007A0A41"/>
    <w:rsid w:val="007A2170"/>
    <w:rsid w:val="007A22BF"/>
    <w:rsid w:val="007A3323"/>
    <w:rsid w:val="007A4776"/>
    <w:rsid w:val="007A5A4B"/>
    <w:rsid w:val="007A5CCC"/>
    <w:rsid w:val="007A78A2"/>
    <w:rsid w:val="007B0864"/>
    <w:rsid w:val="007B0D41"/>
    <w:rsid w:val="007B355E"/>
    <w:rsid w:val="007B4086"/>
    <w:rsid w:val="007B420E"/>
    <w:rsid w:val="007B455E"/>
    <w:rsid w:val="007B4FEB"/>
    <w:rsid w:val="007B72B8"/>
    <w:rsid w:val="007B7A58"/>
    <w:rsid w:val="007B7D83"/>
    <w:rsid w:val="007C05AE"/>
    <w:rsid w:val="007C0EF4"/>
    <w:rsid w:val="007C1B62"/>
    <w:rsid w:val="007C1C56"/>
    <w:rsid w:val="007C21B5"/>
    <w:rsid w:val="007C3634"/>
    <w:rsid w:val="007C447F"/>
    <w:rsid w:val="007C4660"/>
    <w:rsid w:val="007C4892"/>
    <w:rsid w:val="007C4CDE"/>
    <w:rsid w:val="007C7185"/>
    <w:rsid w:val="007D05D0"/>
    <w:rsid w:val="007D07BD"/>
    <w:rsid w:val="007D0B06"/>
    <w:rsid w:val="007D10E1"/>
    <w:rsid w:val="007D1207"/>
    <w:rsid w:val="007D1984"/>
    <w:rsid w:val="007D1DCE"/>
    <w:rsid w:val="007D2927"/>
    <w:rsid w:val="007D2AA0"/>
    <w:rsid w:val="007D3528"/>
    <w:rsid w:val="007D35C8"/>
    <w:rsid w:val="007D43F7"/>
    <w:rsid w:val="007D4668"/>
    <w:rsid w:val="007D46B6"/>
    <w:rsid w:val="007D5950"/>
    <w:rsid w:val="007D62C4"/>
    <w:rsid w:val="007D6934"/>
    <w:rsid w:val="007D6BCB"/>
    <w:rsid w:val="007D7823"/>
    <w:rsid w:val="007D7CEE"/>
    <w:rsid w:val="007E0827"/>
    <w:rsid w:val="007E21C2"/>
    <w:rsid w:val="007E32B8"/>
    <w:rsid w:val="007E38BA"/>
    <w:rsid w:val="007E4555"/>
    <w:rsid w:val="007E4BD2"/>
    <w:rsid w:val="007E59C0"/>
    <w:rsid w:val="007E6FF7"/>
    <w:rsid w:val="007E777C"/>
    <w:rsid w:val="007F011F"/>
    <w:rsid w:val="007F0C5E"/>
    <w:rsid w:val="007F18FB"/>
    <w:rsid w:val="007F23CF"/>
    <w:rsid w:val="007F4029"/>
    <w:rsid w:val="007F4578"/>
    <w:rsid w:val="007F621E"/>
    <w:rsid w:val="007F635C"/>
    <w:rsid w:val="007F7393"/>
    <w:rsid w:val="007F7FDC"/>
    <w:rsid w:val="008008AD"/>
    <w:rsid w:val="0080090E"/>
    <w:rsid w:val="00800A2A"/>
    <w:rsid w:val="0080111D"/>
    <w:rsid w:val="00801393"/>
    <w:rsid w:val="00801E69"/>
    <w:rsid w:val="00801F3D"/>
    <w:rsid w:val="008029D0"/>
    <w:rsid w:val="00802F0D"/>
    <w:rsid w:val="00802F88"/>
    <w:rsid w:val="0080309D"/>
    <w:rsid w:val="00803323"/>
    <w:rsid w:val="008037F3"/>
    <w:rsid w:val="008044B6"/>
    <w:rsid w:val="00804DAB"/>
    <w:rsid w:val="008053CF"/>
    <w:rsid w:val="00805BF6"/>
    <w:rsid w:val="00806819"/>
    <w:rsid w:val="0080734E"/>
    <w:rsid w:val="00807606"/>
    <w:rsid w:val="008100A8"/>
    <w:rsid w:val="00810C45"/>
    <w:rsid w:val="00811751"/>
    <w:rsid w:val="00811A36"/>
    <w:rsid w:val="008123E4"/>
    <w:rsid w:val="0081293E"/>
    <w:rsid w:val="00812B8E"/>
    <w:rsid w:val="0081327C"/>
    <w:rsid w:val="008138FD"/>
    <w:rsid w:val="00815465"/>
    <w:rsid w:val="008166BD"/>
    <w:rsid w:val="00817D15"/>
    <w:rsid w:val="00817E9A"/>
    <w:rsid w:val="0082108E"/>
    <w:rsid w:val="00822694"/>
    <w:rsid w:val="00822C47"/>
    <w:rsid w:val="008231E3"/>
    <w:rsid w:val="008250A0"/>
    <w:rsid w:val="008254B5"/>
    <w:rsid w:val="0082614B"/>
    <w:rsid w:val="0082731E"/>
    <w:rsid w:val="008306BD"/>
    <w:rsid w:val="00830AFE"/>
    <w:rsid w:val="00831A80"/>
    <w:rsid w:val="0083238A"/>
    <w:rsid w:val="00833743"/>
    <w:rsid w:val="00833F1F"/>
    <w:rsid w:val="008340A4"/>
    <w:rsid w:val="00834168"/>
    <w:rsid w:val="00834462"/>
    <w:rsid w:val="00836673"/>
    <w:rsid w:val="00837809"/>
    <w:rsid w:val="0083792A"/>
    <w:rsid w:val="0084144D"/>
    <w:rsid w:val="00841DCF"/>
    <w:rsid w:val="008426AA"/>
    <w:rsid w:val="00843A08"/>
    <w:rsid w:val="00843BA1"/>
    <w:rsid w:val="00844017"/>
    <w:rsid w:val="0084458F"/>
    <w:rsid w:val="008458F8"/>
    <w:rsid w:val="0084658B"/>
    <w:rsid w:val="0084771E"/>
    <w:rsid w:val="00850490"/>
    <w:rsid w:val="00850E34"/>
    <w:rsid w:val="00851FFC"/>
    <w:rsid w:val="00852113"/>
    <w:rsid w:val="00852B6B"/>
    <w:rsid w:val="00853389"/>
    <w:rsid w:val="00853E4F"/>
    <w:rsid w:val="00854327"/>
    <w:rsid w:val="008544CA"/>
    <w:rsid w:val="00854C1C"/>
    <w:rsid w:val="00856252"/>
    <w:rsid w:val="00856B6B"/>
    <w:rsid w:val="00856C9F"/>
    <w:rsid w:val="00856FB5"/>
    <w:rsid w:val="008608EE"/>
    <w:rsid w:val="00860B54"/>
    <w:rsid w:val="00861897"/>
    <w:rsid w:val="008630C5"/>
    <w:rsid w:val="00863691"/>
    <w:rsid w:val="00864816"/>
    <w:rsid w:val="008651FF"/>
    <w:rsid w:val="008654D2"/>
    <w:rsid w:val="00865943"/>
    <w:rsid w:val="00865CDD"/>
    <w:rsid w:val="00866F22"/>
    <w:rsid w:val="00867114"/>
    <w:rsid w:val="008709D7"/>
    <w:rsid w:val="00870EE3"/>
    <w:rsid w:val="0087135F"/>
    <w:rsid w:val="0087148A"/>
    <w:rsid w:val="00871BED"/>
    <w:rsid w:val="00872470"/>
    <w:rsid w:val="00872D94"/>
    <w:rsid w:val="00875020"/>
    <w:rsid w:val="008752F9"/>
    <w:rsid w:val="00875B8D"/>
    <w:rsid w:val="0087609B"/>
    <w:rsid w:val="00876604"/>
    <w:rsid w:val="008768C0"/>
    <w:rsid w:val="0087702F"/>
    <w:rsid w:val="00877F64"/>
    <w:rsid w:val="00880364"/>
    <w:rsid w:val="008808F2"/>
    <w:rsid w:val="00881772"/>
    <w:rsid w:val="008835A3"/>
    <w:rsid w:val="00883ACF"/>
    <w:rsid w:val="00883C64"/>
    <w:rsid w:val="0088440E"/>
    <w:rsid w:val="00884DB7"/>
    <w:rsid w:val="008855AF"/>
    <w:rsid w:val="008861CE"/>
    <w:rsid w:val="0088651D"/>
    <w:rsid w:val="00886DA5"/>
    <w:rsid w:val="00887B43"/>
    <w:rsid w:val="0089029A"/>
    <w:rsid w:val="00890713"/>
    <w:rsid w:val="00891592"/>
    <w:rsid w:val="00891D19"/>
    <w:rsid w:val="00891E9E"/>
    <w:rsid w:val="00892300"/>
    <w:rsid w:val="008924B3"/>
    <w:rsid w:val="0089266F"/>
    <w:rsid w:val="008931C9"/>
    <w:rsid w:val="00893546"/>
    <w:rsid w:val="008940E8"/>
    <w:rsid w:val="00894CE0"/>
    <w:rsid w:val="0089536A"/>
    <w:rsid w:val="008960D3"/>
    <w:rsid w:val="008966D2"/>
    <w:rsid w:val="00896EDE"/>
    <w:rsid w:val="00897237"/>
    <w:rsid w:val="008974A2"/>
    <w:rsid w:val="00897D1F"/>
    <w:rsid w:val="008A00CD"/>
    <w:rsid w:val="008A0275"/>
    <w:rsid w:val="008A0781"/>
    <w:rsid w:val="008A0AF1"/>
    <w:rsid w:val="008A15E8"/>
    <w:rsid w:val="008A2EC7"/>
    <w:rsid w:val="008A2F68"/>
    <w:rsid w:val="008A4700"/>
    <w:rsid w:val="008A5C7B"/>
    <w:rsid w:val="008A6AE7"/>
    <w:rsid w:val="008A7199"/>
    <w:rsid w:val="008A7CBF"/>
    <w:rsid w:val="008B0CD7"/>
    <w:rsid w:val="008B136A"/>
    <w:rsid w:val="008B15C1"/>
    <w:rsid w:val="008B1697"/>
    <w:rsid w:val="008B1A18"/>
    <w:rsid w:val="008B1B47"/>
    <w:rsid w:val="008B2142"/>
    <w:rsid w:val="008B349C"/>
    <w:rsid w:val="008B3BF9"/>
    <w:rsid w:val="008B3D0C"/>
    <w:rsid w:val="008B3EA1"/>
    <w:rsid w:val="008B45B3"/>
    <w:rsid w:val="008B4817"/>
    <w:rsid w:val="008B4FA6"/>
    <w:rsid w:val="008B5082"/>
    <w:rsid w:val="008B5282"/>
    <w:rsid w:val="008B53FB"/>
    <w:rsid w:val="008B562F"/>
    <w:rsid w:val="008B5686"/>
    <w:rsid w:val="008B7405"/>
    <w:rsid w:val="008B7C17"/>
    <w:rsid w:val="008B7C33"/>
    <w:rsid w:val="008C01B3"/>
    <w:rsid w:val="008C03F3"/>
    <w:rsid w:val="008C047B"/>
    <w:rsid w:val="008C06C7"/>
    <w:rsid w:val="008C1187"/>
    <w:rsid w:val="008C2D01"/>
    <w:rsid w:val="008C40E6"/>
    <w:rsid w:val="008C483F"/>
    <w:rsid w:val="008C4D91"/>
    <w:rsid w:val="008C5318"/>
    <w:rsid w:val="008C6360"/>
    <w:rsid w:val="008C6609"/>
    <w:rsid w:val="008C6DD2"/>
    <w:rsid w:val="008C7F80"/>
    <w:rsid w:val="008D04B1"/>
    <w:rsid w:val="008D0AEE"/>
    <w:rsid w:val="008D0F7A"/>
    <w:rsid w:val="008D1203"/>
    <w:rsid w:val="008D2A61"/>
    <w:rsid w:val="008D2AF2"/>
    <w:rsid w:val="008D2C5C"/>
    <w:rsid w:val="008D337C"/>
    <w:rsid w:val="008D4FCD"/>
    <w:rsid w:val="008D5F51"/>
    <w:rsid w:val="008D68E4"/>
    <w:rsid w:val="008D6C13"/>
    <w:rsid w:val="008D73D7"/>
    <w:rsid w:val="008E0199"/>
    <w:rsid w:val="008E0506"/>
    <w:rsid w:val="008E0B63"/>
    <w:rsid w:val="008E0CFF"/>
    <w:rsid w:val="008E1DFA"/>
    <w:rsid w:val="008E210D"/>
    <w:rsid w:val="008E28B8"/>
    <w:rsid w:val="008E2A03"/>
    <w:rsid w:val="008E2AC9"/>
    <w:rsid w:val="008E2D43"/>
    <w:rsid w:val="008E3FF0"/>
    <w:rsid w:val="008E4DDF"/>
    <w:rsid w:val="008E58EB"/>
    <w:rsid w:val="008E5A06"/>
    <w:rsid w:val="008E5A0D"/>
    <w:rsid w:val="008E5D6B"/>
    <w:rsid w:val="008E5E67"/>
    <w:rsid w:val="008E663D"/>
    <w:rsid w:val="008E666A"/>
    <w:rsid w:val="008E68B1"/>
    <w:rsid w:val="008E6C59"/>
    <w:rsid w:val="008E75BD"/>
    <w:rsid w:val="008E76F0"/>
    <w:rsid w:val="008E7704"/>
    <w:rsid w:val="008F0117"/>
    <w:rsid w:val="008F0966"/>
    <w:rsid w:val="008F15FE"/>
    <w:rsid w:val="008F22B0"/>
    <w:rsid w:val="008F2B21"/>
    <w:rsid w:val="008F2BFE"/>
    <w:rsid w:val="008F2D29"/>
    <w:rsid w:val="008F2E90"/>
    <w:rsid w:val="008F3FFD"/>
    <w:rsid w:val="008F44F2"/>
    <w:rsid w:val="008F47D1"/>
    <w:rsid w:val="008F5187"/>
    <w:rsid w:val="008F59BC"/>
    <w:rsid w:val="008F60D8"/>
    <w:rsid w:val="008F61CF"/>
    <w:rsid w:val="008F6965"/>
    <w:rsid w:val="008F6D7F"/>
    <w:rsid w:val="008F6F88"/>
    <w:rsid w:val="008F70E0"/>
    <w:rsid w:val="008F7B07"/>
    <w:rsid w:val="009008C3"/>
    <w:rsid w:val="00900F19"/>
    <w:rsid w:val="009022D2"/>
    <w:rsid w:val="00902727"/>
    <w:rsid w:val="0090312B"/>
    <w:rsid w:val="00903ECB"/>
    <w:rsid w:val="009041A3"/>
    <w:rsid w:val="009043C6"/>
    <w:rsid w:val="009043C7"/>
    <w:rsid w:val="00904E5E"/>
    <w:rsid w:val="00906174"/>
    <w:rsid w:val="00906749"/>
    <w:rsid w:val="00907CA5"/>
    <w:rsid w:val="009109CF"/>
    <w:rsid w:val="009117EB"/>
    <w:rsid w:val="00911A2A"/>
    <w:rsid w:val="00911FBB"/>
    <w:rsid w:val="009120DA"/>
    <w:rsid w:val="00912494"/>
    <w:rsid w:val="0091364F"/>
    <w:rsid w:val="00913FB8"/>
    <w:rsid w:val="00914644"/>
    <w:rsid w:val="0091505E"/>
    <w:rsid w:val="00915266"/>
    <w:rsid w:val="009159FA"/>
    <w:rsid w:val="00916AFF"/>
    <w:rsid w:val="00916B3E"/>
    <w:rsid w:val="00916D44"/>
    <w:rsid w:val="0091736D"/>
    <w:rsid w:val="00921D9F"/>
    <w:rsid w:val="009225D3"/>
    <w:rsid w:val="00922A73"/>
    <w:rsid w:val="00922C90"/>
    <w:rsid w:val="009232C3"/>
    <w:rsid w:val="00923FAC"/>
    <w:rsid w:val="009242F8"/>
    <w:rsid w:val="00924666"/>
    <w:rsid w:val="009247B2"/>
    <w:rsid w:val="009248CA"/>
    <w:rsid w:val="00924C5D"/>
    <w:rsid w:val="00925399"/>
    <w:rsid w:val="00925EF3"/>
    <w:rsid w:val="00925FF1"/>
    <w:rsid w:val="0092608B"/>
    <w:rsid w:val="009270B2"/>
    <w:rsid w:val="00927678"/>
    <w:rsid w:val="00927718"/>
    <w:rsid w:val="00927D73"/>
    <w:rsid w:val="00930262"/>
    <w:rsid w:val="0093037A"/>
    <w:rsid w:val="00931EE1"/>
    <w:rsid w:val="00932272"/>
    <w:rsid w:val="00932D7D"/>
    <w:rsid w:val="00933889"/>
    <w:rsid w:val="0093540D"/>
    <w:rsid w:val="00935491"/>
    <w:rsid w:val="00935C15"/>
    <w:rsid w:val="00935C6E"/>
    <w:rsid w:val="00935DC8"/>
    <w:rsid w:val="00936B32"/>
    <w:rsid w:val="00936B8B"/>
    <w:rsid w:val="009374C8"/>
    <w:rsid w:val="00937E19"/>
    <w:rsid w:val="0094154D"/>
    <w:rsid w:val="00941772"/>
    <w:rsid w:val="00941DC4"/>
    <w:rsid w:val="009429E7"/>
    <w:rsid w:val="00942E76"/>
    <w:rsid w:val="00943476"/>
    <w:rsid w:val="00943A5C"/>
    <w:rsid w:val="00943BF8"/>
    <w:rsid w:val="00944875"/>
    <w:rsid w:val="0094673B"/>
    <w:rsid w:val="00947B8D"/>
    <w:rsid w:val="00947BFA"/>
    <w:rsid w:val="009505A4"/>
    <w:rsid w:val="009511A1"/>
    <w:rsid w:val="0095155F"/>
    <w:rsid w:val="00952953"/>
    <w:rsid w:val="00952FFB"/>
    <w:rsid w:val="00953D32"/>
    <w:rsid w:val="00954429"/>
    <w:rsid w:val="00955EDF"/>
    <w:rsid w:val="009563CE"/>
    <w:rsid w:val="0095670E"/>
    <w:rsid w:val="00956F05"/>
    <w:rsid w:val="00956FBB"/>
    <w:rsid w:val="00957C89"/>
    <w:rsid w:val="00957D4A"/>
    <w:rsid w:val="00957FB3"/>
    <w:rsid w:val="00960537"/>
    <w:rsid w:val="0096106D"/>
    <w:rsid w:val="0096202D"/>
    <w:rsid w:val="00962165"/>
    <w:rsid w:val="00962929"/>
    <w:rsid w:val="00963401"/>
    <w:rsid w:val="00967C1E"/>
    <w:rsid w:val="00970349"/>
    <w:rsid w:val="00970587"/>
    <w:rsid w:val="009713A6"/>
    <w:rsid w:val="00971E9C"/>
    <w:rsid w:val="00972130"/>
    <w:rsid w:val="0097257D"/>
    <w:rsid w:val="00972B20"/>
    <w:rsid w:val="00972E46"/>
    <w:rsid w:val="00973590"/>
    <w:rsid w:val="00973C35"/>
    <w:rsid w:val="00975F7B"/>
    <w:rsid w:val="00976328"/>
    <w:rsid w:val="0097680D"/>
    <w:rsid w:val="00976B22"/>
    <w:rsid w:val="00976C15"/>
    <w:rsid w:val="00980518"/>
    <w:rsid w:val="00981034"/>
    <w:rsid w:val="00982438"/>
    <w:rsid w:val="00983268"/>
    <w:rsid w:val="009836F5"/>
    <w:rsid w:val="00983910"/>
    <w:rsid w:val="0098404C"/>
    <w:rsid w:val="00984F12"/>
    <w:rsid w:val="00985283"/>
    <w:rsid w:val="009855A2"/>
    <w:rsid w:val="009862F1"/>
    <w:rsid w:val="009878F0"/>
    <w:rsid w:val="00987903"/>
    <w:rsid w:val="00990051"/>
    <w:rsid w:val="00991233"/>
    <w:rsid w:val="009915D3"/>
    <w:rsid w:val="00991809"/>
    <w:rsid w:val="009918AB"/>
    <w:rsid w:val="00991D6A"/>
    <w:rsid w:val="0099271E"/>
    <w:rsid w:val="00993F51"/>
    <w:rsid w:val="009946FB"/>
    <w:rsid w:val="00994915"/>
    <w:rsid w:val="009953C3"/>
    <w:rsid w:val="00995992"/>
    <w:rsid w:val="00995F20"/>
    <w:rsid w:val="009965E3"/>
    <w:rsid w:val="00996834"/>
    <w:rsid w:val="009A03E5"/>
    <w:rsid w:val="009A0F3B"/>
    <w:rsid w:val="009A10C9"/>
    <w:rsid w:val="009A1BB4"/>
    <w:rsid w:val="009A2071"/>
    <w:rsid w:val="009A2628"/>
    <w:rsid w:val="009A278C"/>
    <w:rsid w:val="009A3200"/>
    <w:rsid w:val="009A32F6"/>
    <w:rsid w:val="009A3509"/>
    <w:rsid w:val="009A3F9A"/>
    <w:rsid w:val="009A4A92"/>
    <w:rsid w:val="009A6402"/>
    <w:rsid w:val="009A6F2A"/>
    <w:rsid w:val="009A7A52"/>
    <w:rsid w:val="009A7F75"/>
    <w:rsid w:val="009A7FE4"/>
    <w:rsid w:val="009B0897"/>
    <w:rsid w:val="009B169C"/>
    <w:rsid w:val="009B17EB"/>
    <w:rsid w:val="009B26F3"/>
    <w:rsid w:val="009B2964"/>
    <w:rsid w:val="009B37E5"/>
    <w:rsid w:val="009B3BD5"/>
    <w:rsid w:val="009B4D12"/>
    <w:rsid w:val="009B6D24"/>
    <w:rsid w:val="009B7BD9"/>
    <w:rsid w:val="009C00F5"/>
    <w:rsid w:val="009C0383"/>
    <w:rsid w:val="009C0396"/>
    <w:rsid w:val="009C075C"/>
    <w:rsid w:val="009C10A5"/>
    <w:rsid w:val="009C1BCB"/>
    <w:rsid w:val="009C4A94"/>
    <w:rsid w:val="009C6991"/>
    <w:rsid w:val="009C6BAF"/>
    <w:rsid w:val="009C7DD5"/>
    <w:rsid w:val="009D0376"/>
    <w:rsid w:val="009D1A6B"/>
    <w:rsid w:val="009D238A"/>
    <w:rsid w:val="009D2794"/>
    <w:rsid w:val="009D2915"/>
    <w:rsid w:val="009D2963"/>
    <w:rsid w:val="009D3716"/>
    <w:rsid w:val="009D50A0"/>
    <w:rsid w:val="009D56AD"/>
    <w:rsid w:val="009D624E"/>
    <w:rsid w:val="009D635D"/>
    <w:rsid w:val="009D6549"/>
    <w:rsid w:val="009D6A94"/>
    <w:rsid w:val="009D779C"/>
    <w:rsid w:val="009E1EC4"/>
    <w:rsid w:val="009E227D"/>
    <w:rsid w:val="009E237B"/>
    <w:rsid w:val="009E2425"/>
    <w:rsid w:val="009E378B"/>
    <w:rsid w:val="009E3E32"/>
    <w:rsid w:val="009E4A33"/>
    <w:rsid w:val="009E5019"/>
    <w:rsid w:val="009E7E56"/>
    <w:rsid w:val="009F03C0"/>
    <w:rsid w:val="009F04B5"/>
    <w:rsid w:val="009F146B"/>
    <w:rsid w:val="009F155B"/>
    <w:rsid w:val="009F1648"/>
    <w:rsid w:val="009F1EC9"/>
    <w:rsid w:val="009F25E1"/>
    <w:rsid w:val="009F3581"/>
    <w:rsid w:val="009F3B1D"/>
    <w:rsid w:val="009F42CF"/>
    <w:rsid w:val="009F4376"/>
    <w:rsid w:val="009F4661"/>
    <w:rsid w:val="009F4EC2"/>
    <w:rsid w:val="009F63F9"/>
    <w:rsid w:val="009F65AF"/>
    <w:rsid w:val="009F69BB"/>
    <w:rsid w:val="009F70C6"/>
    <w:rsid w:val="009F764F"/>
    <w:rsid w:val="00A0162A"/>
    <w:rsid w:val="00A0176E"/>
    <w:rsid w:val="00A017AA"/>
    <w:rsid w:val="00A021B2"/>
    <w:rsid w:val="00A033D9"/>
    <w:rsid w:val="00A03571"/>
    <w:rsid w:val="00A03731"/>
    <w:rsid w:val="00A0412C"/>
    <w:rsid w:val="00A04651"/>
    <w:rsid w:val="00A048FD"/>
    <w:rsid w:val="00A04F1B"/>
    <w:rsid w:val="00A0501B"/>
    <w:rsid w:val="00A0599F"/>
    <w:rsid w:val="00A06A2A"/>
    <w:rsid w:val="00A07664"/>
    <w:rsid w:val="00A1077E"/>
    <w:rsid w:val="00A1107D"/>
    <w:rsid w:val="00A120AF"/>
    <w:rsid w:val="00A14947"/>
    <w:rsid w:val="00A165C5"/>
    <w:rsid w:val="00A17BAF"/>
    <w:rsid w:val="00A2074F"/>
    <w:rsid w:val="00A20DAB"/>
    <w:rsid w:val="00A2124B"/>
    <w:rsid w:val="00A21352"/>
    <w:rsid w:val="00A21A64"/>
    <w:rsid w:val="00A22149"/>
    <w:rsid w:val="00A22814"/>
    <w:rsid w:val="00A23120"/>
    <w:rsid w:val="00A23272"/>
    <w:rsid w:val="00A24543"/>
    <w:rsid w:val="00A259D1"/>
    <w:rsid w:val="00A275D8"/>
    <w:rsid w:val="00A27A57"/>
    <w:rsid w:val="00A30C99"/>
    <w:rsid w:val="00A3155C"/>
    <w:rsid w:val="00A31E72"/>
    <w:rsid w:val="00A3276E"/>
    <w:rsid w:val="00A329EF"/>
    <w:rsid w:val="00A32A83"/>
    <w:rsid w:val="00A342AF"/>
    <w:rsid w:val="00A35807"/>
    <w:rsid w:val="00A36498"/>
    <w:rsid w:val="00A368DB"/>
    <w:rsid w:val="00A36BA5"/>
    <w:rsid w:val="00A36C7D"/>
    <w:rsid w:val="00A36E8D"/>
    <w:rsid w:val="00A3721E"/>
    <w:rsid w:val="00A372BF"/>
    <w:rsid w:val="00A37351"/>
    <w:rsid w:val="00A40E39"/>
    <w:rsid w:val="00A41AAF"/>
    <w:rsid w:val="00A42082"/>
    <w:rsid w:val="00A423AA"/>
    <w:rsid w:val="00A4241D"/>
    <w:rsid w:val="00A42691"/>
    <w:rsid w:val="00A42824"/>
    <w:rsid w:val="00A4346B"/>
    <w:rsid w:val="00A437BD"/>
    <w:rsid w:val="00A43D34"/>
    <w:rsid w:val="00A44652"/>
    <w:rsid w:val="00A449AF"/>
    <w:rsid w:val="00A44A3D"/>
    <w:rsid w:val="00A44E8C"/>
    <w:rsid w:val="00A45617"/>
    <w:rsid w:val="00A45890"/>
    <w:rsid w:val="00A45AC0"/>
    <w:rsid w:val="00A469EF"/>
    <w:rsid w:val="00A46BD9"/>
    <w:rsid w:val="00A477A8"/>
    <w:rsid w:val="00A47AFB"/>
    <w:rsid w:val="00A506F5"/>
    <w:rsid w:val="00A51128"/>
    <w:rsid w:val="00A51928"/>
    <w:rsid w:val="00A53EC6"/>
    <w:rsid w:val="00A543EB"/>
    <w:rsid w:val="00A54475"/>
    <w:rsid w:val="00A546F1"/>
    <w:rsid w:val="00A55C0F"/>
    <w:rsid w:val="00A56DCE"/>
    <w:rsid w:val="00A56ECF"/>
    <w:rsid w:val="00A5718D"/>
    <w:rsid w:val="00A60A14"/>
    <w:rsid w:val="00A616E5"/>
    <w:rsid w:val="00A619FC"/>
    <w:rsid w:val="00A62BD4"/>
    <w:rsid w:val="00A62F46"/>
    <w:rsid w:val="00A6387F"/>
    <w:rsid w:val="00A64F70"/>
    <w:rsid w:val="00A65531"/>
    <w:rsid w:val="00A66279"/>
    <w:rsid w:val="00A67EC9"/>
    <w:rsid w:val="00A70009"/>
    <w:rsid w:val="00A70684"/>
    <w:rsid w:val="00A719BB"/>
    <w:rsid w:val="00A727C4"/>
    <w:rsid w:val="00A72B2A"/>
    <w:rsid w:val="00A72EE2"/>
    <w:rsid w:val="00A73243"/>
    <w:rsid w:val="00A7522B"/>
    <w:rsid w:val="00A7538F"/>
    <w:rsid w:val="00A757A7"/>
    <w:rsid w:val="00A75BA6"/>
    <w:rsid w:val="00A8010E"/>
    <w:rsid w:val="00A805C6"/>
    <w:rsid w:val="00A80B0B"/>
    <w:rsid w:val="00A80ECF"/>
    <w:rsid w:val="00A812AF"/>
    <w:rsid w:val="00A81B48"/>
    <w:rsid w:val="00A8247D"/>
    <w:rsid w:val="00A82494"/>
    <w:rsid w:val="00A82839"/>
    <w:rsid w:val="00A835AF"/>
    <w:rsid w:val="00A83D59"/>
    <w:rsid w:val="00A84094"/>
    <w:rsid w:val="00A8410D"/>
    <w:rsid w:val="00A845EF"/>
    <w:rsid w:val="00A8540E"/>
    <w:rsid w:val="00A858C6"/>
    <w:rsid w:val="00A85BEB"/>
    <w:rsid w:val="00A86041"/>
    <w:rsid w:val="00A8655A"/>
    <w:rsid w:val="00A8713F"/>
    <w:rsid w:val="00A876D1"/>
    <w:rsid w:val="00A878EC"/>
    <w:rsid w:val="00A87B7A"/>
    <w:rsid w:val="00A87BE3"/>
    <w:rsid w:val="00A90020"/>
    <w:rsid w:val="00A900EC"/>
    <w:rsid w:val="00A90BA1"/>
    <w:rsid w:val="00A9132A"/>
    <w:rsid w:val="00A91DDA"/>
    <w:rsid w:val="00A93455"/>
    <w:rsid w:val="00A936B3"/>
    <w:rsid w:val="00A93B94"/>
    <w:rsid w:val="00A9409F"/>
    <w:rsid w:val="00A95A53"/>
    <w:rsid w:val="00A95DE3"/>
    <w:rsid w:val="00A96665"/>
    <w:rsid w:val="00A96AB5"/>
    <w:rsid w:val="00A973EE"/>
    <w:rsid w:val="00A97967"/>
    <w:rsid w:val="00A97986"/>
    <w:rsid w:val="00A97A9A"/>
    <w:rsid w:val="00AA01C8"/>
    <w:rsid w:val="00AA0671"/>
    <w:rsid w:val="00AA088C"/>
    <w:rsid w:val="00AA1197"/>
    <w:rsid w:val="00AA133B"/>
    <w:rsid w:val="00AA1C93"/>
    <w:rsid w:val="00AA1DEB"/>
    <w:rsid w:val="00AA1E27"/>
    <w:rsid w:val="00AA2531"/>
    <w:rsid w:val="00AA2794"/>
    <w:rsid w:val="00AA31A1"/>
    <w:rsid w:val="00AA33E7"/>
    <w:rsid w:val="00AA3E6F"/>
    <w:rsid w:val="00AA4E33"/>
    <w:rsid w:val="00AA581A"/>
    <w:rsid w:val="00AA60F1"/>
    <w:rsid w:val="00AA63C9"/>
    <w:rsid w:val="00AA65D7"/>
    <w:rsid w:val="00AA6959"/>
    <w:rsid w:val="00AA6A1D"/>
    <w:rsid w:val="00AA6E57"/>
    <w:rsid w:val="00AB0406"/>
    <w:rsid w:val="00AB1B1E"/>
    <w:rsid w:val="00AB1E09"/>
    <w:rsid w:val="00AB2198"/>
    <w:rsid w:val="00AB225D"/>
    <w:rsid w:val="00AB2B00"/>
    <w:rsid w:val="00AB40F0"/>
    <w:rsid w:val="00AB4211"/>
    <w:rsid w:val="00AB444B"/>
    <w:rsid w:val="00AB4A50"/>
    <w:rsid w:val="00AB51DB"/>
    <w:rsid w:val="00AB5330"/>
    <w:rsid w:val="00AB7747"/>
    <w:rsid w:val="00AB7917"/>
    <w:rsid w:val="00AB7A0E"/>
    <w:rsid w:val="00AB7BC1"/>
    <w:rsid w:val="00AC01A4"/>
    <w:rsid w:val="00AC0DF1"/>
    <w:rsid w:val="00AC14CE"/>
    <w:rsid w:val="00AC19B2"/>
    <w:rsid w:val="00AC19DF"/>
    <w:rsid w:val="00AC1A0D"/>
    <w:rsid w:val="00AC2107"/>
    <w:rsid w:val="00AC2A56"/>
    <w:rsid w:val="00AC2EA0"/>
    <w:rsid w:val="00AC3064"/>
    <w:rsid w:val="00AC34AC"/>
    <w:rsid w:val="00AC52C5"/>
    <w:rsid w:val="00AC64B2"/>
    <w:rsid w:val="00AC73F5"/>
    <w:rsid w:val="00AC7B0A"/>
    <w:rsid w:val="00AD055E"/>
    <w:rsid w:val="00AD0A02"/>
    <w:rsid w:val="00AD1A63"/>
    <w:rsid w:val="00AD351C"/>
    <w:rsid w:val="00AD4391"/>
    <w:rsid w:val="00AD47A7"/>
    <w:rsid w:val="00AD552F"/>
    <w:rsid w:val="00AD63BF"/>
    <w:rsid w:val="00AD66CA"/>
    <w:rsid w:val="00AD7A2E"/>
    <w:rsid w:val="00AD7D66"/>
    <w:rsid w:val="00AD7DA5"/>
    <w:rsid w:val="00AE07BF"/>
    <w:rsid w:val="00AE0B80"/>
    <w:rsid w:val="00AE2181"/>
    <w:rsid w:val="00AE2E51"/>
    <w:rsid w:val="00AE33E7"/>
    <w:rsid w:val="00AE3870"/>
    <w:rsid w:val="00AE4FB7"/>
    <w:rsid w:val="00AE5C8D"/>
    <w:rsid w:val="00AE5E9E"/>
    <w:rsid w:val="00AE6473"/>
    <w:rsid w:val="00AE6EBE"/>
    <w:rsid w:val="00AE716F"/>
    <w:rsid w:val="00AE7954"/>
    <w:rsid w:val="00AE7DE7"/>
    <w:rsid w:val="00AF0058"/>
    <w:rsid w:val="00AF0CBF"/>
    <w:rsid w:val="00AF10CE"/>
    <w:rsid w:val="00AF1764"/>
    <w:rsid w:val="00AF257F"/>
    <w:rsid w:val="00AF2B85"/>
    <w:rsid w:val="00AF33CF"/>
    <w:rsid w:val="00AF3459"/>
    <w:rsid w:val="00AF3A7B"/>
    <w:rsid w:val="00AF3B8A"/>
    <w:rsid w:val="00AF4018"/>
    <w:rsid w:val="00AF431C"/>
    <w:rsid w:val="00AF49D9"/>
    <w:rsid w:val="00AF4C3E"/>
    <w:rsid w:val="00AF4D50"/>
    <w:rsid w:val="00AF4D7D"/>
    <w:rsid w:val="00AF512F"/>
    <w:rsid w:val="00AF6154"/>
    <w:rsid w:val="00AF6179"/>
    <w:rsid w:val="00AF68E7"/>
    <w:rsid w:val="00AF6C47"/>
    <w:rsid w:val="00AF7749"/>
    <w:rsid w:val="00AF77EE"/>
    <w:rsid w:val="00AF7AE8"/>
    <w:rsid w:val="00AF7C82"/>
    <w:rsid w:val="00B00A6C"/>
    <w:rsid w:val="00B0104B"/>
    <w:rsid w:val="00B01230"/>
    <w:rsid w:val="00B017AA"/>
    <w:rsid w:val="00B01C7E"/>
    <w:rsid w:val="00B03596"/>
    <w:rsid w:val="00B03B3F"/>
    <w:rsid w:val="00B04211"/>
    <w:rsid w:val="00B044D4"/>
    <w:rsid w:val="00B045A1"/>
    <w:rsid w:val="00B04DEE"/>
    <w:rsid w:val="00B05433"/>
    <w:rsid w:val="00B06916"/>
    <w:rsid w:val="00B06BEE"/>
    <w:rsid w:val="00B0739B"/>
    <w:rsid w:val="00B07FB7"/>
    <w:rsid w:val="00B10C1E"/>
    <w:rsid w:val="00B10D2B"/>
    <w:rsid w:val="00B110D6"/>
    <w:rsid w:val="00B1128A"/>
    <w:rsid w:val="00B1295A"/>
    <w:rsid w:val="00B1340C"/>
    <w:rsid w:val="00B13910"/>
    <w:rsid w:val="00B13DF5"/>
    <w:rsid w:val="00B146FA"/>
    <w:rsid w:val="00B1496A"/>
    <w:rsid w:val="00B14C33"/>
    <w:rsid w:val="00B15BC2"/>
    <w:rsid w:val="00B15E18"/>
    <w:rsid w:val="00B15ED0"/>
    <w:rsid w:val="00B16447"/>
    <w:rsid w:val="00B16A63"/>
    <w:rsid w:val="00B16E00"/>
    <w:rsid w:val="00B16E28"/>
    <w:rsid w:val="00B1732E"/>
    <w:rsid w:val="00B1799E"/>
    <w:rsid w:val="00B20A45"/>
    <w:rsid w:val="00B20A81"/>
    <w:rsid w:val="00B211A1"/>
    <w:rsid w:val="00B21589"/>
    <w:rsid w:val="00B21828"/>
    <w:rsid w:val="00B21D10"/>
    <w:rsid w:val="00B22C5C"/>
    <w:rsid w:val="00B22D0E"/>
    <w:rsid w:val="00B23466"/>
    <w:rsid w:val="00B240B4"/>
    <w:rsid w:val="00B2422C"/>
    <w:rsid w:val="00B24A40"/>
    <w:rsid w:val="00B24F30"/>
    <w:rsid w:val="00B2581D"/>
    <w:rsid w:val="00B26292"/>
    <w:rsid w:val="00B302E0"/>
    <w:rsid w:val="00B30BFE"/>
    <w:rsid w:val="00B31ABF"/>
    <w:rsid w:val="00B31C34"/>
    <w:rsid w:val="00B322CB"/>
    <w:rsid w:val="00B323E7"/>
    <w:rsid w:val="00B326BE"/>
    <w:rsid w:val="00B32B24"/>
    <w:rsid w:val="00B33117"/>
    <w:rsid w:val="00B33B3F"/>
    <w:rsid w:val="00B33BE3"/>
    <w:rsid w:val="00B33C11"/>
    <w:rsid w:val="00B33E96"/>
    <w:rsid w:val="00B344D7"/>
    <w:rsid w:val="00B34F20"/>
    <w:rsid w:val="00B35581"/>
    <w:rsid w:val="00B35640"/>
    <w:rsid w:val="00B35B01"/>
    <w:rsid w:val="00B36A29"/>
    <w:rsid w:val="00B371E8"/>
    <w:rsid w:val="00B3731C"/>
    <w:rsid w:val="00B3790D"/>
    <w:rsid w:val="00B40943"/>
    <w:rsid w:val="00B40AEC"/>
    <w:rsid w:val="00B41DB4"/>
    <w:rsid w:val="00B42F30"/>
    <w:rsid w:val="00B430F9"/>
    <w:rsid w:val="00B436DB"/>
    <w:rsid w:val="00B43C77"/>
    <w:rsid w:val="00B443E2"/>
    <w:rsid w:val="00B45486"/>
    <w:rsid w:val="00B46C53"/>
    <w:rsid w:val="00B47F55"/>
    <w:rsid w:val="00B51804"/>
    <w:rsid w:val="00B51DCC"/>
    <w:rsid w:val="00B52911"/>
    <w:rsid w:val="00B52F8E"/>
    <w:rsid w:val="00B53B5D"/>
    <w:rsid w:val="00B53B7F"/>
    <w:rsid w:val="00B53C03"/>
    <w:rsid w:val="00B53CB4"/>
    <w:rsid w:val="00B53F4B"/>
    <w:rsid w:val="00B56BD3"/>
    <w:rsid w:val="00B57259"/>
    <w:rsid w:val="00B57463"/>
    <w:rsid w:val="00B5787F"/>
    <w:rsid w:val="00B579CA"/>
    <w:rsid w:val="00B6055E"/>
    <w:rsid w:val="00B609D5"/>
    <w:rsid w:val="00B60B55"/>
    <w:rsid w:val="00B61567"/>
    <w:rsid w:val="00B62648"/>
    <w:rsid w:val="00B62B09"/>
    <w:rsid w:val="00B6317D"/>
    <w:rsid w:val="00B638AF"/>
    <w:rsid w:val="00B64F89"/>
    <w:rsid w:val="00B6574B"/>
    <w:rsid w:val="00B65B61"/>
    <w:rsid w:val="00B670C4"/>
    <w:rsid w:val="00B670F9"/>
    <w:rsid w:val="00B67860"/>
    <w:rsid w:val="00B70960"/>
    <w:rsid w:val="00B71F8F"/>
    <w:rsid w:val="00B72911"/>
    <w:rsid w:val="00B735A4"/>
    <w:rsid w:val="00B73A66"/>
    <w:rsid w:val="00B74352"/>
    <w:rsid w:val="00B746FC"/>
    <w:rsid w:val="00B757D9"/>
    <w:rsid w:val="00B75E78"/>
    <w:rsid w:val="00B76323"/>
    <w:rsid w:val="00B77234"/>
    <w:rsid w:val="00B7723F"/>
    <w:rsid w:val="00B7753F"/>
    <w:rsid w:val="00B80484"/>
    <w:rsid w:val="00B80534"/>
    <w:rsid w:val="00B80990"/>
    <w:rsid w:val="00B81524"/>
    <w:rsid w:val="00B82A43"/>
    <w:rsid w:val="00B83932"/>
    <w:rsid w:val="00B8433C"/>
    <w:rsid w:val="00B8444C"/>
    <w:rsid w:val="00B844B7"/>
    <w:rsid w:val="00B848F0"/>
    <w:rsid w:val="00B84DA1"/>
    <w:rsid w:val="00B8665B"/>
    <w:rsid w:val="00B86A67"/>
    <w:rsid w:val="00B86D06"/>
    <w:rsid w:val="00B86F2F"/>
    <w:rsid w:val="00B87491"/>
    <w:rsid w:val="00B87D8C"/>
    <w:rsid w:val="00B907DD"/>
    <w:rsid w:val="00B90B83"/>
    <w:rsid w:val="00B90D56"/>
    <w:rsid w:val="00B91829"/>
    <w:rsid w:val="00B91C78"/>
    <w:rsid w:val="00B923FB"/>
    <w:rsid w:val="00B92A92"/>
    <w:rsid w:val="00B9308D"/>
    <w:rsid w:val="00B93207"/>
    <w:rsid w:val="00B933FB"/>
    <w:rsid w:val="00B9453F"/>
    <w:rsid w:val="00B94A73"/>
    <w:rsid w:val="00B9594B"/>
    <w:rsid w:val="00BA0052"/>
    <w:rsid w:val="00BA1300"/>
    <w:rsid w:val="00BA17DC"/>
    <w:rsid w:val="00BA194F"/>
    <w:rsid w:val="00BA254F"/>
    <w:rsid w:val="00BA287F"/>
    <w:rsid w:val="00BA2954"/>
    <w:rsid w:val="00BA29E9"/>
    <w:rsid w:val="00BA2ED0"/>
    <w:rsid w:val="00BA44EF"/>
    <w:rsid w:val="00BA4926"/>
    <w:rsid w:val="00BA576A"/>
    <w:rsid w:val="00BA6937"/>
    <w:rsid w:val="00BA6BD2"/>
    <w:rsid w:val="00BA7142"/>
    <w:rsid w:val="00BB0DFD"/>
    <w:rsid w:val="00BB132C"/>
    <w:rsid w:val="00BB170A"/>
    <w:rsid w:val="00BB18F9"/>
    <w:rsid w:val="00BB237C"/>
    <w:rsid w:val="00BB245D"/>
    <w:rsid w:val="00BB2B69"/>
    <w:rsid w:val="00BB2BA0"/>
    <w:rsid w:val="00BB3673"/>
    <w:rsid w:val="00BB3DCA"/>
    <w:rsid w:val="00BB41A3"/>
    <w:rsid w:val="00BB4EB9"/>
    <w:rsid w:val="00BB5288"/>
    <w:rsid w:val="00BB5CD4"/>
    <w:rsid w:val="00BB5FAE"/>
    <w:rsid w:val="00BB622E"/>
    <w:rsid w:val="00BB7DAD"/>
    <w:rsid w:val="00BB7FE6"/>
    <w:rsid w:val="00BC0708"/>
    <w:rsid w:val="00BC127E"/>
    <w:rsid w:val="00BC199A"/>
    <w:rsid w:val="00BC1EDB"/>
    <w:rsid w:val="00BC25B1"/>
    <w:rsid w:val="00BC273F"/>
    <w:rsid w:val="00BC2D4A"/>
    <w:rsid w:val="00BC30C7"/>
    <w:rsid w:val="00BC32DC"/>
    <w:rsid w:val="00BC34BA"/>
    <w:rsid w:val="00BC35B6"/>
    <w:rsid w:val="00BC42B9"/>
    <w:rsid w:val="00BC499C"/>
    <w:rsid w:val="00BC60EB"/>
    <w:rsid w:val="00BC63BA"/>
    <w:rsid w:val="00BC7055"/>
    <w:rsid w:val="00BC7977"/>
    <w:rsid w:val="00BD0914"/>
    <w:rsid w:val="00BD1036"/>
    <w:rsid w:val="00BD1187"/>
    <w:rsid w:val="00BD1217"/>
    <w:rsid w:val="00BD179B"/>
    <w:rsid w:val="00BD17D8"/>
    <w:rsid w:val="00BD1B51"/>
    <w:rsid w:val="00BD2989"/>
    <w:rsid w:val="00BD2B73"/>
    <w:rsid w:val="00BD44F5"/>
    <w:rsid w:val="00BD4596"/>
    <w:rsid w:val="00BD7481"/>
    <w:rsid w:val="00BD74FB"/>
    <w:rsid w:val="00BD7DFF"/>
    <w:rsid w:val="00BE04F0"/>
    <w:rsid w:val="00BE0FED"/>
    <w:rsid w:val="00BE119A"/>
    <w:rsid w:val="00BE1405"/>
    <w:rsid w:val="00BE17EC"/>
    <w:rsid w:val="00BE1FE5"/>
    <w:rsid w:val="00BE25FF"/>
    <w:rsid w:val="00BE312D"/>
    <w:rsid w:val="00BE3ABC"/>
    <w:rsid w:val="00BE59C7"/>
    <w:rsid w:val="00BE619C"/>
    <w:rsid w:val="00BE758A"/>
    <w:rsid w:val="00BE7DDD"/>
    <w:rsid w:val="00BE7EB4"/>
    <w:rsid w:val="00BF0191"/>
    <w:rsid w:val="00BF05D8"/>
    <w:rsid w:val="00BF06CE"/>
    <w:rsid w:val="00BF0C1F"/>
    <w:rsid w:val="00BF1C20"/>
    <w:rsid w:val="00BF1D2C"/>
    <w:rsid w:val="00BF1D40"/>
    <w:rsid w:val="00BF1E64"/>
    <w:rsid w:val="00BF23C5"/>
    <w:rsid w:val="00BF337C"/>
    <w:rsid w:val="00BF4207"/>
    <w:rsid w:val="00BF5F25"/>
    <w:rsid w:val="00BF6427"/>
    <w:rsid w:val="00BF7DC5"/>
    <w:rsid w:val="00C01289"/>
    <w:rsid w:val="00C01442"/>
    <w:rsid w:val="00C01966"/>
    <w:rsid w:val="00C023B3"/>
    <w:rsid w:val="00C029C5"/>
    <w:rsid w:val="00C0392D"/>
    <w:rsid w:val="00C03B4E"/>
    <w:rsid w:val="00C040B9"/>
    <w:rsid w:val="00C04283"/>
    <w:rsid w:val="00C04502"/>
    <w:rsid w:val="00C04CA3"/>
    <w:rsid w:val="00C069A4"/>
    <w:rsid w:val="00C07C60"/>
    <w:rsid w:val="00C07E9D"/>
    <w:rsid w:val="00C10578"/>
    <w:rsid w:val="00C108CF"/>
    <w:rsid w:val="00C113A4"/>
    <w:rsid w:val="00C11A12"/>
    <w:rsid w:val="00C11A96"/>
    <w:rsid w:val="00C124B5"/>
    <w:rsid w:val="00C127AA"/>
    <w:rsid w:val="00C135BC"/>
    <w:rsid w:val="00C137D2"/>
    <w:rsid w:val="00C14543"/>
    <w:rsid w:val="00C147B3"/>
    <w:rsid w:val="00C147B4"/>
    <w:rsid w:val="00C14A0A"/>
    <w:rsid w:val="00C152CE"/>
    <w:rsid w:val="00C15359"/>
    <w:rsid w:val="00C1578E"/>
    <w:rsid w:val="00C15AD3"/>
    <w:rsid w:val="00C15C95"/>
    <w:rsid w:val="00C170C2"/>
    <w:rsid w:val="00C17514"/>
    <w:rsid w:val="00C176E7"/>
    <w:rsid w:val="00C17B60"/>
    <w:rsid w:val="00C200C0"/>
    <w:rsid w:val="00C208CF"/>
    <w:rsid w:val="00C20E44"/>
    <w:rsid w:val="00C2152B"/>
    <w:rsid w:val="00C223FE"/>
    <w:rsid w:val="00C22487"/>
    <w:rsid w:val="00C23FC6"/>
    <w:rsid w:val="00C24500"/>
    <w:rsid w:val="00C2590A"/>
    <w:rsid w:val="00C2596A"/>
    <w:rsid w:val="00C25F49"/>
    <w:rsid w:val="00C26FE7"/>
    <w:rsid w:val="00C27537"/>
    <w:rsid w:val="00C30772"/>
    <w:rsid w:val="00C31E26"/>
    <w:rsid w:val="00C3259B"/>
    <w:rsid w:val="00C328FE"/>
    <w:rsid w:val="00C33066"/>
    <w:rsid w:val="00C331A3"/>
    <w:rsid w:val="00C33507"/>
    <w:rsid w:val="00C33DDB"/>
    <w:rsid w:val="00C34598"/>
    <w:rsid w:val="00C358BF"/>
    <w:rsid w:val="00C358FC"/>
    <w:rsid w:val="00C37235"/>
    <w:rsid w:val="00C37633"/>
    <w:rsid w:val="00C4027C"/>
    <w:rsid w:val="00C409F6"/>
    <w:rsid w:val="00C41279"/>
    <w:rsid w:val="00C4136B"/>
    <w:rsid w:val="00C419DC"/>
    <w:rsid w:val="00C43969"/>
    <w:rsid w:val="00C4409D"/>
    <w:rsid w:val="00C440A3"/>
    <w:rsid w:val="00C44E72"/>
    <w:rsid w:val="00C4514F"/>
    <w:rsid w:val="00C451A0"/>
    <w:rsid w:val="00C45A06"/>
    <w:rsid w:val="00C45BDB"/>
    <w:rsid w:val="00C45D7D"/>
    <w:rsid w:val="00C4622E"/>
    <w:rsid w:val="00C46EE3"/>
    <w:rsid w:val="00C47584"/>
    <w:rsid w:val="00C47E5B"/>
    <w:rsid w:val="00C50861"/>
    <w:rsid w:val="00C50E9A"/>
    <w:rsid w:val="00C5104A"/>
    <w:rsid w:val="00C52687"/>
    <w:rsid w:val="00C5279A"/>
    <w:rsid w:val="00C53BCF"/>
    <w:rsid w:val="00C55966"/>
    <w:rsid w:val="00C55B97"/>
    <w:rsid w:val="00C561E7"/>
    <w:rsid w:val="00C56D9F"/>
    <w:rsid w:val="00C6009F"/>
    <w:rsid w:val="00C608AD"/>
    <w:rsid w:val="00C61E4B"/>
    <w:rsid w:val="00C61F3C"/>
    <w:rsid w:val="00C622F8"/>
    <w:rsid w:val="00C62335"/>
    <w:rsid w:val="00C6233C"/>
    <w:rsid w:val="00C62817"/>
    <w:rsid w:val="00C629D7"/>
    <w:rsid w:val="00C6333A"/>
    <w:rsid w:val="00C64BFF"/>
    <w:rsid w:val="00C64CDB"/>
    <w:rsid w:val="00C655B4"/>
    <w:rsid w:val="00C66C74"/>
    <w:rsid w:val="00C704E9"/>
    <w:rsid w:val="00C71861"/>
    <w:rsid w:val="00C72D41"/>
    <w:rsid w:val="00C744BD"/>
    <w:rsid w:val="00C74643"/>
    <w:rsid w:val="00C7464F"/>
    <w:rsid w:val="00C748BF"/>
    <w:rsid w:val="00C74F5A"/>
    <w:rsid w:val="00C750FE"/>
    <w:rsid w:val="00C75852"/>
    <w:rsid w:val="00C763C9"/>
    <w:rsid w:val="00C766A6"/>
    <w:rsid w:val="00C768AB"/>
    <w:rsid w:val="00C80057"/>
    <w:rsid w:val="00C801FF"/>
    <w:rsid w:val="00C80741"/>
    <w:rsid w:val="00C811E4"/>
    <w:rsid w:val="00C82232"/>
    <w:rsid w:val="00C82913"/>
    <w:rsid w:val="00C82A50"/>
    <w:rsid w:val="00C834CF"/>
    <w:rsid w:val="00C83D6C"/>
    <w:rsid w:val="00C84ADF"/>
    <w:rsid w:val="00C84CB1"/>
    <w:rsid w:val="00C854A9"/>
    <w:rsid w:val="00C8598B"/>
    <w:rsid w:val="00C861A1"/>
    <w:rsid w:val="00C8685A"/>
    <w:rsid w:val="00C900B9"/>
    <w:rsid w:val="00C9021F"/>
    <w:rsid w:val="00C9050A"/>
    <w:rsid w:val="00C905A5"/>
    <w:rsid w:val="00C91241"/>
    <w:rsid w:val="00C9155F"/>
    <w:rsid w:val="00C92095"/>
    <w:rsid w:val="00C93427"/>
    <w:rsid w:val="00C9395E"/>
    <w:rsid w:val="00C94318"/>
    <w:rsid w:val="00C94550"/>
    <w:rsid w:val="00C9525D"/>
    <w:rsid w:val="00C961C6"/>
    <w:rsid w:val="00C966E5"/>
    <w:rsid w:val="00C96DA5"/>
    <w:rsid w:val="00C972B1"/>
    <w:rsid w:val="00CA163A"/>
    <w:rsid w:val="00CA2818"/>
    <w:rsid w:val="00CA2CCE"/>
    <w:rsid w:val="00CA3410"/>
    <w:rsid w:val="00CA412F"/>
    <w:rsid w:val="00CA43FD"/>
    <w:rsid w:val="00CA45D7"/>
    <w:rsid w:val="00CA4A7A"/>
    <w:rsid w:val="00CA5327"/>
    <w:rsid w:val="00CA56D2"/>
    <w:rsid w:val="00CA70E8"/>
    <w:rsid w:val="00CA7EF8"/>
    <w:rsid w:val="00CB0085"/>
    <w:rsid w:val="00CB0608"/>
    <w:rsid w:val="00CB09A9"/>
    <w:rsid w:val="00CB1550"/>
    <w:rsid w:val="00CB19AD"/>
    <w:rsid w:val="00CB2004"/>
    <w:rsid w:val="00CB32F4"/>
    <w:rsid w:val="00CB4AE2"/>
    <w:rsid w:val="00CB4BC4"/>
    <w:rsid w:val="00CB56F4"/>
    <w:rsid w:val="00CB7892"/>
    <w:rsid w:val="00CC0890"/>
    <w:rsid w:val="00CC0EF0"/>
    <w:rsid w:val="00CC23F3"/>
    <w:rsid w:val="00CC31B4"/>
    <w:rsid w:val="00CC489B"/>
    <w:rsid w:val="00CC54B6"/>
    <w:rsid w:val="00CC5FCB"/>
    <w:rsid w:val="00CC5FFC"/>
    <w:rsid w:val="00CC68C0"/>
    <w:rsid w:val="00CD03DC"/>
    <w:rsid w:val="00CD0C44"/>
    <w:rsid w:val="00CD1352"/>
    <w:rsid w:val="00CD155B"/>
    <w:rsid w:val="00CD15E9"/>
    <w:rsid w:val="00CD1EF8"/>
    <w:rsid w:val="00CD2744"/>
    <w:rsid w:val="00CD2BCD"/>
    <w:rsid w:val="00CD2CA5"/>
    <w:rsid w:val="00CD37A2"/>
    <w:rsid w:val="00CD386B"/>
    <w:rsid w:val="00CD3A4C"/>
    <w:rsid w:val="00CD3B60"/>
    <w:rsid w:val="00CD4375"/>
    <w:rsid w:val="00CD45CA"/>
    <w:rsid w:val="00CD4987"/>
    <w:rsid w:val="00CD4CD6"/>
    <w:rsid w:val="00CD5DB9"/>
    <w:rsid w:val="00CD704F"/>
    <w:rsid w:val="00CD717F"/>
    <w:rsid w:val="00CD7572"/>
    <w:rsid w:val="00CD7B34"/>
    <w:rsid w:val="00CE07B0"/>
    <w:rsid w:val="00CE09E8"/>
    <w:rsid w:val="00CE0A63"/>
    <w:rsid w:val="00CE0D5A"/>
    <w:rsid w:val="00CE10E9"/>
    <w:rsid w:val="00CE139F"/>
    <w:rsid w:val="00CE1575"/>
    <w:rsid w:val="00CE15A4"/>
    <w:rsid w:val="00CE1D22"/>
    <w:rsid w:val="00CE24F4"/>
    <w:rsid w:val="00CE2910"/>
    <w:rsid w:val="00CE395F"/>
    <w:rsid w:val="00CE3E1D"/>
    <w:rsid w:val="00CE5359"/>
    <w:rsid w:val="00CE5393"/>
    <w:rsid w:val="00CE587E"/>
    <w:rsid w:val="00CE6465"/>
    <w:rsid w:val="00CE6802"/>
    <w:rsid w:val="00CE7154"/>
    <w:rsid w:val="00CF0008"/>
    <w:rsid w:val="00CF197A"/>
    <w:rsid w:val="00CF1DEC"/>
    <w:rsid w:val="00CF1E07"/>
    <w:rsid w:val="00CF32EF"/>
    <w:rsid w:val="00CF330D"/>
    <w:rsid w:val="00CF36BE"/>
    <w:rsid w:val="00CF497E"/>
    <w:rsid w:val="00CF5C64"/>
    <w:rsid w:val="00CF5D44"/>
    <w:rsid w:val="00CF6000"/>
    <w:rsid w:val="00CF629A"/>
    <w:rsid w:val="00CF69AF"/>
    <w:rsid w:val="00D003F3"/>
    <w:rsid w:val="00D015BD"/>
    <w:rsid w:val="00D01A55"/>
    <w:rsid w:val="00D01B10"/>
    <w:rsid w:val="00D0293D"/>
    <w:rsid w:val="00D02A3F"/>
    <w:rsid w:val="00D0364F"/>
    <w:rsid w:val="00D04589"/>
    <w:rsid w:val="00D0491F"/>
    <w:rsid w:val="00D04A39"/>
    <w:rsid w:val="00D0524F"/>
    <w:rsid w:val="00D0549E"/>
    <w:rsid w:val="00D06035"/>
    <w:rsid w:val="00D06328"/>
    <w:rsid w:val="00D06684"/>
    <w:rsid w:val="00D06834"/>
    <w:rsid w:val="00D06B85"/>
    <w:rsid w:val="00D1059E"/>
    <w:rsid w:val="00D110A0"/>
    <w:rsid w:val="00D11689"/>
    <w:rsid w:val="00D125B9"/>
    <w:rsid w:val="00D130CF"/>
    <w:rsid w:val="00D1321F"/>
    <w:rsid w:val="00D133DE"/>
    <w:rsid w:val="00D13509"/>
    <w:rsid w:val="00D1366F"/>
    <w:rsid w:val="00D147E2"/>
    <w:rsid w:val="00D16970"/>
    <w:rsid w:val="00D17152"/>
    <w:rsid w:val="00D1740A"/>
    <w:rsid w:val="00D17A9D"/>
    <w:rsid w:val="00D17DF5"/>
    <w:rsid w:val="00D20D47"/>
    <w:rsid w:val="00D21B53"/>
    <w:rsid w:val="00D22B0F"/>
    <w:rsid w:val="00D22DDA"/>
    <w:rsid w:val="00D22EE1"/>
    <w:rsid w:val="00D23978"/>
    <w:rsid w:val="00D24EE7"/>
    <w:rsid w:val="00D25C81"/>
    <w:rsid w:val="00D25E3D"/>
    <w:rsid w:val="00D265F4"/>
    <w:rsid w:val="00D26C9B"/>
    <w:rsid w:val="00D271CF"/>
    <w:rsid w:val="00D27C1B"/>
    <w:rsid w:val="00D30462"/>
    <w:rsid w:val="00D308ED"/>
    <w:rsid w:val="00D318D4"/>
    <w:rsid w:val="00D31F30"/>
    <w:rsid w:val="00D331D1"/>
    <w:rsid w:val="00D33C89"/>
    <w:rsid w:val="00D33D93"/>
    <w:rsid w:val="00D34069"/>
    <w:rsid w:val="00D34C45"/>
    <w:rsid w:val="00D34D44"/>
    <w:rsid w:val="00D352B5"/>
    <w:rsid w:val="00D35567"/>
    <w:rsid w:val="00D357A3"/>
    <w:rsid w:val="00D360DC"/>
    <w:rsid w:val="00D36D86"/>
    <w:rsid w:val="00D37555"/>
    <w:rsid w:val="00D37572"/>
    <w:rsid w:val="00D407BB"/>
    <w:rsid w:val="00D40C8B"/>
    <w:rsid w:val="00D40F5F"/>
    <w:rsid w:val="00D41066"/>
    <w:rsid w:val="00D424A9"/>
    <w:rsid w:val="00D428AA"/>
    <w:rsid w:val="00D43D0E"/>
    <w:rsid w:val="00D43F1E"/>
    <w:rsid w:val="00D4422A"/>
    <w:rsid w:val="00D44DA7"/>
    <w:rsid w:val="00D44F28"/>
    <w:rsid w:val="00D45327"/>
    <w:rsid w:val="00D453EB"/>
    <w:rsid w:val="00D45458"/>
    <w:rsid w:val="00D501BF"/>
    <w:rsid w:val="00D505B5"/>
    <w:rsid w:val="00D50A34"/>
    <w:rsid w:val="00D50D6B"/>
    <w:rsid w:val="00D50DDC"/>
    <w:rsid w:val="00D51399"/>
    <w:rsid w:val="00D51966"/>
    <w:rsid w:val="00D52B87"/>
    <w:rsid w:val="00D53547"/>
    <w:rsid w:val="00D536A5"/>
    <w:rsid w:val="00D53AEB"/>
    <w:rsid w:val="00D53EFA"/>
    <w:rsid w:val="00D544DB"/>
    <w:rsid w:val="00D57598"/>
    <w:rsid w:val="00D57A7E"/>
    <w:rsid w:val="00D57D89"/>
    <w:rsid w:val="00D6085B"/>
    <w:rsid w:val="00D6282F"/>
    <w:rsid w:val="00D62D96"/>
    <w:rsid w:val="00D63500"/>
    <w:rsid w:val="00D636E1"/>
    <w:rsid w:val="00D64001"/>
    <w:rsid w:val="00D64040"/>
    <w:rsid w:val="00D64248"/>
    <w:rsid w:val="00D64E72"/>
    <w:rsid w:val="00D65727"/>
    <w:rsid w:val="00D65C77"/>
    <w:rsid w:val="00D6772D"/>
    <w:rsid w:val="00D677F6"/>
    <w:rsid w:val="00D71640"/>
    <w:rsid w:val="00D71750"/>
    <w:rsid w:val="00D71B5C"/>
    <w:rsid w:val="00D71DE9"/>
    <w:rsid w:val="00D73212"/>
    <w:rsid w:val="00D73353"/>
    <w:rsid w:val="00D735A4"/>
    <w:rsid w:val="00D7386B"/>
    <w:rsid w:val="00D738D2"/>
    <w:rsid w:val="00D7448C"/>
    <w:rsid w:val="00D748FA"/>
    <w:rsid w:val="00D74E29"/>
    <w:rsid w:val="00D7575C"/>
    <w:rsid w:val="00D76C19"/>
    <w:rsid w:val="00D76DC0"/>
    <w:rsid w:val="00D76E7C"/>
    <w:rsid w:val="00D76EBE"/>
    <w:rsid w:val="00D803C8"/>
    <w:rsid w:val="00D807B4"/>
    <w:rsid w:val="00D80A02"/>
    <w:rsid w:val="00D80C02"/>
    <w:rsid w:val="00D81453"/>
    <w:rsid w:val="00D81F43"/>
    <w:rsid w:val="00D82643"/>
    <w:rsid w:val="00D830CB"/>
    <w:rsid w:val="00D83AED"/>
    <w:rsid w:val="00D83DB8"/>
    <w:rsid w:val="00D83F55"/>
    <w:rsid w:val="00D84662"/>
    <w:rsid w:val="00D849F0"/>
    <w:rsid w:val="00D8562E"/>
    <w:rsid w:val="00D86157"/>
    <w:rsid w:val="00D86509"/>
    <w:rsid w:val="00D86EEF"/>
    <w:rsid w:val="00D8734C"/>
    <w:rsid w:val="00D876CB"/>
    <w:rsid w:val="00D90067"/>
    <w:rsid w:val="00D9015D"/>
    <w:rsid w:val="00D90B0F"/>
    <w:rsid w:val="00D90F2D"/>
    <w:rsid w:val="00D92F3A"/>
    <w:rsid w:val="00D93AC2"/>
    <w:rsid w:val="00D942EE"/>
    <w:rsid w:val="00D94977"/>
    <w:rsid w:val="00D94A7C"/>
    <w:rsid w:val="00D95896"/>
    <w:rsid w:val="00D965D7"/>
    <w:rsid w:val="00D96BF5"/>
    <w:rsid w:val="00D9710E"/>
    <w:rsid w:val="00D979B3"/>
    <w:rsid w:val="00DA020D"/>
    <w:rsid w:val="00DA1ACC"/>
    <w:rsid w:val="00DA24D3"/>
    <w:rsid w:val="00DA2764"/>
    <w:rsid w:val="00DA2841"/>
    <w:rsid w:val="00DA2AA0"/>
    <w:rsid w:val="00DA344D"/>
    <w:rsid w:val="00DA3888"/>
    <w:rsid w:val="00DA3F09"/>
    <w:rsid w:val="00DA47D2"/>
    <w:rsid w:val="00DA5C4F"/>
    <w:rsid w:val="00DA5C60"/>
    <w:rsid w:val="00DA6A99"/>
    <w:rsid w:val="00DA6B6F"/>
    <w:rsid w:val="00DA6B7D"/>
    <w:rsid w:val="00DA70A5"/>
    <w:rsid w:val="00DB017B"/>
    <w:rsid w:val="00DB2366"/>
    <w:rsid w:val="00DB2717"/>
    <w:rsid w:val="00DB2983"/>
    <w:rsid w:val="00DB2B49"/>
    <w:rsid w:val="00DB2DBB"/>
    <w:rsid w:val="00DB4A20"/>
    <w:rsid w:val="00DB4C43"/>
    <w:rsid w:val="00DB558A"/>
    <w:rsid w:val="00DB593A"/>
    <w:rsid w:val="00DB5A4A"/>
    <w:rsid w:val="00DB5E5E"/>
    <w:rsid w:val="00DB6362"/>
    <w:rsid w:val="00DC07F0"/>
    <w:rsid w:val="00DC0863"/>
    <w:rsid w:val="00DC1257"/>
    <w:rsid w:val="00DC1BBD"/>
    <w:rsid w:val="00DC211A"/>
    <w:rsid w:val="00DC2540"/>
    <w:rsid w:val="00DC2681"/>
    <w:rsid w:val="00DC2DE3"/>
    <w:rsid w:val="00DC321F"/>
    <w:rsid w:val="00DC33F2"/>
    <w:rsid w:val="00DC3DC0"/>
    <w:rsid w:val="00DC3ED9"/>
    <w:rsid w:val="00DC43E8"/>
    <w:rsid w:val="00DC4AB8"/>
    <w:rsid w:val="00DC4C60"/>
    <w:rsid w:val="00DC51B6"/>
    <w:rsid w:val="00DC5237"/>
    <w:rsid w:val="00DC5912"/>
    <w:rsid w:val="00DC5B2B"/>
    <w:rsid w:val="00DC5D23"/>
    <w:rsid w:val="00DC62CE"/>
    <w:rsid w:val="00DC6B9C"/>
    <w:rsid w:val="00DC7121"/>
    <w:rsid w:val="00DC7F64"/>
    <w:rsid w:val="00DD0214"/>
    <w:rsid w:val="00DD08F6"/>
    <w:rsid w:val="00DD0966"/>
    <w:rsid w:val="00DD1338"/>
    <w:rsid w:val="00DD17A3"/>
    <w:rsid w:val="00DD1D7C"/>
    <w:rsid w:val="00DD209B"/>
    <w:rsid w:val="00DD28A4"/>
    <w:rsid w:val="00DD28FC"/>
    <w:rsid w:val="00DD29DC"/>
    <w:rsid w:val="00DD318D"/>
    <w:rsid w:val="00DD3223"/>
    <w:rsid w:val="00DD39CE"/>
    <w:rsid w:val="00DD4009"/>
    <w:rsid w:val="00DD403F"/>
    <w:rsid w:val="00DD4046"/>
    <w:rsid w:val="00DD4864"/>
    <w:rsid w:val="00DD4FE6"/>
    <w:rsid w:val="00DD71A8"/>
    <w:rsid w:val="00DD7423"/>
    <w:rsid w:val="00DE037B"/>
    <w:rsid w:val="00DE0937"/>
    <w:rsid w:val="00DE1862"/>
    <w:rsid w:val="00DE3BEE"/>
    <w:rsid w:val="00DE424C"/>
    <w:rsid w:val="00DE4C93"/>
    <w:rsid w:val="00DE585D"/>
    <w:rsid w:val="00DE6999"/>
    <w:rsid w:val="00DE6B0E"/>
    <w:rsid w:val="00DE7900"/>
    <w:rsid w:val="00DF0579"/>
    <w:rsid w:val="00DF097D"/>
    <w:rsid w:val="00DF1246"/>
    <w:rsid w:val="00DF1966"/>
    <w:rsid w:val="00DF1FD3"/>
    <w:rsid w:val="00DF2E12"/>
    <w:rsid w:val="00DF45D8"/>
    <w:rsid w:val="00DF46CD"/>
    <w:rsid w:val="00DF4A9B"/>
    <w:rsid w:val="00DF514A"/>
    <w:rsid w:val="00DF5CEF"/>
    <w:rsid w:val="00DF5F4F"/>
    <w:rsid w:val="00DF6183"/>
    <w:rsid w:val="00DF6690"/>
    <w:rsid w:val="00DF6804"/>
    <w:rsid w:val="00DF68E4"/>
    <w:rsid w:val="00DF6B33"/>
    <w:rsid w:val="00DF6BF0"/>
    <w:rsid w:val="00DF741F"/>
    <w:rsid w:val="00DF74EC"/>
    <w:rsid w:val="00DF768D"/>
    <w:rsid w:val="00DF7CCB"/>
    <w:rsid w:val="00DF7D94"/>
    <w:rsid w:val="00E00551"/>
    <w:rsid w:val="00E01038"/>
    <w:rsid w:val="00E01663"/>
    <w:rsid w:val="00E01B56"/>
    <w:rsid w:val="00E02399"/>
    <w:rsid w:val="00E02524"/>
    <w:rsid w:val="00E02EE7"/>
    <w:rsid w:val="00E02F12"/>
    <w:rsid w:val="00E0358D"/>
    <w:rsid w:val="00E04323"/>
    <w:rsid w:val="00E04E70"/>
    <w:rsid w:val="00E051E0"/>
    <w:rsid w:val="00E05535"/>
    <w:rsid w:val="00E056AC"/>
    <w:rsid w:val="00E05D96"/>
    <w:rsid w:val="00E060FA"/>
    <w:rsid w:val="00E070A2"/>
    <w:rsid w:val="00E07712"/>
    <w:rsid w:val="00E07DD7"/>
    <w:rsid w:val="00E118AF"/>
    <w:rsid w:val="00E12278"/>
    <w:rsid w:val="00E127D7"/>
    <w:rsid w:val="00E12DD1"/>
    <w:rsid w:val="00E1337D"/>
    <w:rsid w:val="00E13BF9"/>
    <w:rsid w:val="00E14256"/>
    <w:rsid w:val="00E145A7"/>
    <w:rsid w:val="00E14ABA"/>
    <w:rsid w:val="00E16E8F"/>
    <w:rsid w:val="00E16F33"/>
    <w:rsid w:val="00E17064"/>
    <w:rsid w:val="00E17539"/>
    <w:rsid w:val="00E17D0B"/>
    <w:rsid w:val="00E17DD4"/>
    <w:rsid w:val="00E2070D"/>
    <w:rsid w:val="00E20B41"/>
    <w:rsid w:val="00E212BE"/>
    <w:rsid w:val="00E24A95"/>
    <w:rsid w:val="00E25F63"/>
    <w:rsid w:val="00E2638E"/>
    <w:rsid w:val="00E2656A"/>
    <w:rsid w:val="00E26FD2"/>
    <w:rsid w:val="00E2730E"/>
    <w:rsid w:val="00E27D16"/>
    <w:rsid w:val="00E30919"/>
    <w:rsid w:val="00E30939"/>
    <w:rsid w:val="00E30AC8"/>
    <w:rsid w:val="00E31673"/>
    <w:rsid w:val="00E31983"/>
    <w:rsid w:val="00E31C36"/>
    <w:rsid w:val="00E3257C"/>
    <w:rsid w:val="00E3261F"/>
    <w:rsid w:val="00E330C5"/>
    <w:rsid w:val="00E33D14"/>
    <w:rsid w:val="00E33DF6"/>
    <w:rsid w:val="00E33E34"/>
    <w:rsid w:val="00E352BB"/>
    <w:rsid w:val="00E35AE8"/>
    <w:rsid w:val="00E35F33"/>
    <w:rsid w:val="00E4099D"/>
    <w:rsid w:val="00E409FF"/>
    <w:rsid w:val="00E412D0"/>
    <w:rsid w:val="00E418F5"/>
    <w:rsid w:val="00E422C7"/>
    <w:rsid w:val="00E43016"/>
    <w:rsid w:val="00E43E33"/>
    <w:rsid w:val="00E444B5"/>
    <w:rsid w:val="00E44F23"/>
    <w:rsid w:val="00E454FB"/>
    <w:rsid w:val="00E4673F"/>
    <w:rsid w:val="00E4679E"/>
    <w:rsid w:val="00E4698E"/>
    <w:rsid w:val="00E46A88"/>
    <w:rsid w:val="00E46A89"/>
    <w:rsid w:val="00E46C90"/>
    <w:rsid w:val="00E473E5"/>
    <w:rsid w:val="00E47FF4"/>
    <w:rsid w:val="00E50040"/>
    <w:rsid w:val="00E523F1"/>
    <w:rsid w:val="00E52E8F"/>
    <w:rsid w:val="00E534F7"/>
    <w:rsid w:val="00E5364E"/>
    <w:rsid w:val="00E5397D"/>
    <w:rsid w:val="00E54B76"/>
    <w:rsid w:val="00E55549"/>
    <w:rsid w:val="00E561CC"/>
    <w:rsid w:val="00E56322"/>
    <w:rsid w:val="00E56635"/>
    <w:rsid w:val="00E57125"/>
    <w:rsid w:val="00E57F81"/>
    <w:rsid w:val="00E60569"/>
    <w:rsid w:val="00E60982"/>
    <w:rsid w:val="00E61A63"/>
    <w:rsid w:val="00E6209A"/>
    <w:rsid w:val="00E6245B"/>
    <w:rsid w:val="00E62837"/>
    <w:rsid w:val="00E629FD"/>
    <w:rsid w:val="00E62C62"/>
    <w:rsid w:val="00E63339"/>
    <w:rsid w:val="00E63D4A"/>
    <w:rsid w:val="00E63F62"/>
    <w:rsid w:val="00E646B3"/>
    <w:rsid w:val="00E65152"/>
    <w:rsid w:val="00E654C1"/>
    <w:rsid w:val="00E65B01"/>
    <w:rsid w:val="00E65D97"/>
    <w:rsid w:val="00E65E71"/>
    <w:rsid w:val="00E66290"/>
    <w:rsid w:val="00E663BE"/>
    <w:rsid w:val="00E66C66"/>
    <w:rsid w:val="00E67F99"/>
    <w:rsid w:val="00E67F9C"/>
    <w:rsid w:val="00E703F3"/>
    <w:rsid w:val="00E70D2B"/>
    <w:rsid w:val="00E71353"/>
    <w:rsid w:val="00E71A5B"/>
    <w:rsid w:val="00E72A5A"/>
    <w:rsid w:val="00E73354"/>
    <w:rsid w:val="00E738CD"/>
    <w:rsid w:val="00E73A89"/>
    <w:rsid w:val="00E73F71"/>
    <w:rsid w:val="00E74356"/>
    <w:rsid w:val="00E74FE1"/>
    <w:rsid w:val="00E761DE"/>
    <w:rsid w:val="00E77286"/>
    <w:rsid w:val="00E77CAC"/>
    <w:rsid w:val="00E77EB9"/>
    <w:rsid w:val="00E8021B"/>
    <w:rsid w:val="00E80524"/>
    <w:rsid w:val="00E80629"/>
    <w:rsid w:val="00E80A63"/>
    <w:rsid w:val="00E80FCB"/>
    <w:rsid w:val="00E81469"/>
    <w:rsid w:val="00E8168A"/>
    <w:rsid w:val="00E81774"/>
    <w:rsid w:val="00E828D4"/>
    <w:rsid w:val="00E839A7"/>
    <w:rsid w:val="00E83B41"/>
    <w:rsid w:val="00E83C6B"/>
    <w:rsid w:val="00E84AE2"/>
    <w:rsid w:val="00E84FA4"/>
    <w:rsid w:val="00E85995"/>
    <w:rsid w:val="00E85A4B"/>
    <w:rsid w:val="00E85B47"/>
    <w:rsid w:val="00E86B4D"/>
    <w:rsid w:val="00E86BF9"/>
    <w:rsid w:val="00E87E9A"/>
    <w:rsid w:val="00E905E2"/>
    <w:rsid w:val="00E90CBA"/>
    <w:rsid w:val="00E9242D"/>
    <w:rsid w:val="00E926A1"/>
    <w:rsid w:val="00E92E83"/>
    <w:rsid w:val="00E92EBB"/>
    <w:rsid w:val="00E930A8"/>
    <w:rsid w:val="00E94912"/>
    <w:rsid w:val="00E955A9"/>
    <w:rsid w:val="00E95690"/>
    <w:rsid w:val="00E96116"/>
    <w:rsid w:val="00E9628B"/>
    <w:rsid w:val="00E963FC"/>
    <w:rsid w:val="00E964F8"/>
    <w:rsid w:val="00EA0679"/>
    <w:rsid w:val="00EA0690"/>
    <w:rsid w:val="00EA0894"/>
    <w:rsid w:val="00EA09CB"/>
    <w:rsid w:val="00EA0C70"/>
    <w:rsid w:val="00EA18C4"/>
    <w:rsid w:val="00EA1F43"/>
    <w:rsid w:val="00EA1FAB"/>
    <w:rsid w:val="00EA218E"/>
    <w:rsid w:val="00EA24F5"/>
    <w:rsid w:val="00EA2922"/>
    <w:rsid w:val="00EA3C0E"/>
    <w:rsid w:val="00EA44E7"/>
    <w:rsid w:val="00EA59C8"/>
    <w:rsid w:val="00EA5B09"/>
    <w:rsid w:val="00EA5B9E"/>
    <w:rsid w:val="00EA5C65"/>
    <w:rsid w:val="00EA6F12"/>
    <w:rsid w:val="00EB029D"/>
    <w:rsid w:val="00EB0461"/>
    <w:rsid w:val="00EB10F5"/>
    <w:rsid w:val="00EB5255"/>
    <w:rsid w:val="00EB59CA"/>
    <w:rsid w:val="00EB5C47"/>
    <w:rsid w:val="00EB6DCF"/>
    <w:rsid w:val="00EB6F76"/>
    <w:rsid w:val="00EB76D4"/>
    <w:rsid w:val="00EB7995"/>
    <w:rsid w:val="00EB7E3A"/>
    <w:rsid w:val="00EC1221"/>
    <w:rsid w:val="00EC1761"/>
    <w:rsid w:val="00EC1B32"/>
    <w:rsid w:val="00EC200C"/>
    <w:rsid w:val="00EC2165"/>
    <w:rsid w:val="00EC2186"/>
    <w:rsid w:val="00EC23FD"/>
    <w:rsid w:val="00EC284D"/>
    <w:rsid w:val="00EC4773"/>
    <w:rsid w:val="00EC51E1"/>
    <w:rsid w:val="00EC5681"/>
    <w:rsid w:val="00EC6901"/>
    <w:rsid w:val="00ED0639"/>
    <w:rsid w:val="00ED10CE"/>
    <w:rsid w:val="00ED1E12"/>
    <w:rsid w:val="00ED21CF"/>
    <w:rsid w:val="00ED354F"/>
    <w:rsid w:val="00ED3739"/>
    <w:rsid w:val="00ED50D4"/>
    <w:rsid w:val="00ED5A82"/>
    <w:rsid w:val="00ED5F1B"/>
    <w:rsid w:val="00ED7256"/>
    <w:rsid w:val="00ED7395"/>
    <w:rsid w:val="00ED7FA4"/>
    <w:rsid w:val="00EE008C"/>
    <w:rsid w:val="00EE0125"/>
    <w:rsid w:val="00EE0658"/>
    <w:rsid w:val="00EE182A"/>
    <w:rsid w:val="00EE26CA"/>
    <w:rsid w:val="00EE2FDA"/>
    <w:rsid w:val="00EE4790"/>
    <w:rsid w:val="00EE5054"/>
    <w:rsid w:val="00EE557D"/>
    <w:rsid w:val="00EF3E08"/>
    <w:rsid w:val="00EF3E57"/>
    <w:rsid w:val="00EF4755"/>
    <w:rsid w:val="00EF50D0"/>
    <w:rsid w:val="00EF5E7F"/>
    <w:rsid w:val="00EF6C9B"/>
    <w:rsid w:val="00EF7135"/>
    <w:rsid w:val="00EF7AB4"/>
    <w:rsid w:val="00F006FA"/>
    <w:rsid w:val="00F00876"/>
    <w:rsid w:val="00F013AF"/>
    <w:rsid w:val="00F015CB"/>
    <w:rsid w:val="00F027DB"/>
    <w:rsid w:val="00F050B0"/>
    <w:rsid w:val="00F05967"/>
    <w:rsid w:val="00F06218"/>
    <w:rsid w:val="00F06F09"/>
    <w:rsid w:val="00F070E8"/>
    <w:rsid w:val="00F07190"/>
    <w:rsid w:val="00F076BF"/>
    <w:rsid w:val="00F10838"/>
    <w:rsid w:val="00F112A4"/>
    <w:rsid w:val="00F11AE9"/>
    <w:rsid w:val="00F1209E"/>
    <w:rsid w:val="00F123D9"/>
    <w:rsid w:val="00F141D9"/>
    <w:rsid w:val="00F14A7A"/>
    <w:rsid w:val="00F156ED"/>
    <w:rsid w:val="00F15CEE"/>
    <w:rsid w:val="00F15FF1"/>
    <w:rsid w:val="00F16FC5"/>
    <w:rsid w:val="00F20195"/>
    <w:rsid w:val="00F20809"/>
    <w:rsid w:val="00F21040"/>
    <w:rsid w:val="00F21D74"/>
    <w:rsid w:val="00F22985"/>
    <w:rsid w:val="00F22F85"/>
    <w:rsid w:val="00F234CA"/>
    <w:rsid w:val="00F25416"/>
    <w:rsid w:val="00F2557E"/>
    <w:rsid w:val="00F25C64"/>
    <w:rsid w:val="00F269E9"/>
    <w:rsid w:val="00F26D02"/>
    <w:rsid w:val="00F26E77"/>
    <w:rsid w:val="00F3059F"/>
    <w:rsid w:val="00F308D8"/>
    <w:rsid w:val="00F30A01"/>
    <w:rsid w:val="00F30A46"/>
    <w:rsid w:val="00F32836"/>
    <w:rsid w:val="00F333D5"/>
    <w:rsid w:val="00F3383E"/>
    <w:rsid w:val="00F33FCB"/>
    <w:rsid w:val="00F342D1"/>
    <w:rsid w:val="00F342F3"/>
    <w:rsid w:val="00F34598"/>
    <w:rsid w:val="00F34BA6"/>
    <w:rsid w:val="00F34EED"/>
    <w:rsid w:val="00F35583"/>
    <w:rsid w:val="00F3601D"/>
    <w:rsid w:val="00F3746F"/>
    <w:rsid w:val="00F37CA5"/>
    <w:rsid w:val="00F4082F"/>
    <w:rsid w:val="00F41332"/>
    <w:rsid w:val="00F417AC"/>
    <w:rsid w:val="00F41B54"/>
    <w:rsid w:val="00F41B8B"/>
    <w:rsid w:val="00F4225F"/>
    <w:rsid w:val="00F423CF"/>
    <w:rsid w:val="00F42549"/>
    <w:rsid w:val="00F42D13"/>
    <w:rsid w:val="00F43CF8"/>
    <w:rsid w:val="00F4411A"/>
    <w:rsid w:val="00F44A6A"/>
    <w:rsid w:val="00F44A76"/>
    <w:rsid w:val="00F44F87"/>
    <w:rsid w:val="00F44FC0"/>
    <w:rsid w:val="00F45A47"/>
    <w:rsid w:val="00F46024"/>
    <w:rsid w:val="00F465A7"/>
    <w:rsid w:val="00F46757"/>
    <w:rsid w:val="00F46866"/>
    <w:rsid w:val="00F46C35"/>
    <w:rsid w:val="00F46DFC"/>
    <w:rsid w:val="00F474E0"/>
    <w:rsid w:val="00F4774E"/>
    <w:rsid w:val="00F50596"/>
    <w:rsid w:val="00F50B7C"/>
    <w:rsid w:val="00F51180"/>
    <w:rsid w:val="00F514D3"/>
    <w:rsid w:val="00F519E0"/>
    <w:rsid w:val="00F52621"/>
    <w:rsid w:val="00F52909"/>
    <w:rsid w:val="00F53613"/>
    <w:rsid w:val="00F53A81"/>
    <w:rsid w:val="00F54984"/>
    <w:rsid w:val="00F54ACC"/>
    <w:rsid w:val="00F54D5C"/>
    <w:rsid w:val="00F54D80"/>
    <w:rsid w:val="00F54F8D"/>
    <w:rsid w:val="00F550E6"/>
    <w:rsid w:val="00F56396"/>
    <w:rsid w:val="00F56687"/>
    <w:rsid w:val="00F56AAC"/>
    <w:rsid w:val="00F60922"/>
    <w:rsid w:val="00F6098D"/>
    <w:rsid w:val="00F61471"/>
    <w:rsid w:val="00F614F6"/>
    <w:rsid w:val="00F62327"/>
    <w:rsid w:val="00F64ECE"/>
    <w:rsid w:val="00F6509F"/>
    <w:rsid w:val="00F663A2"/>
    <w:rsid w:val="00F66853"/>
    <w:rsid w:val="00F67990"/>
    <w:rsid w:val="00F7094D"/>
    <w:rsid w:val="00F71D45"/>
    <w:rsid w:val="00F71D53"/>
    <w:rsid w:val="00F734D1"/>
    <w:rsid w:val="00F73F94"/>
    <w:rsid w:val="00F74345"/>
    <w:rsid w:val="00F745E1"/>
    <w:rsid w:val="00F74F53"/>
    <w:rsid w:val="00F74FDC"/>
    <w:rsid w:val="00F758DA"/>
    <w:rsid w:val="00F75965"/>
    <w:rsid w:val="00F76AF1"/>
    <w:rsid w:val="00F77BC6"/>
    <w:rsid w:val="00F8004C"/>
    <w:rsid w:val="00F80362"/>
    <w:rsid w:val="00F80A0A"/>
    <w:rsid w:val="00F81365"/>
    <w:rsid w:val="00F81B23"/>
    <w:rsid w:val="00F82B19"/>
    <w:rsid w:val="00F833A2"/>
    <w:rsid w:val="00F835F9"/>
    <w:rsid w:val="00F83EA5"/>
    <w:rsid w:val="00F8454B"/>
    <w:rsid w:val="00F8461F"/>
    <w:rsid w:val="00F85206"/>
    <w:rsid w:val="00F854D7"/>
    <w:rsid w:val="00F868D4"/>
    <w:rsid w:val="00F8710F"/>
    <w:rsid w:val="00F905AC"/>
    <w:rsid w:val="00F914BC"/>
    <w:rsid w:val="00F91838"/>
    <w:rsid w:val="00F91AB1"/>
    <w:rsid w:val="00F91C0E"/>
    <w:rsid w:val="00F9212D"/>
    <w:rsid w:val="00F929FB"/>
    <w:rsid w:val="00F92E43"/>
    <w:rsid w:val="00F938A7"/>
    <w:rsid w:val="00F93CE8"/>
    <w:rsid w:val="00F942BF"/>
    <w:rsid w:val="00F94404"/>
    <w:rsid w:val="00F9516D"/>
    <w:rsid w:val="00F9546D"/>
    <w:rsid w:val="00F954CA"/>
    <w:rsid w:val="00F958D7"/>
    <w:rsid w:val="00F95AC5"/>
    <w:rsid w:val="00F96083"/>
    <w:rsid w:val="00F965DA"/>
    <w:rsid w:val="00F9742C"/>
    <w:rsid w:val="00F97B32"/>
    <w:rsid w:val="00FA406A"/>
    <w:rsid w:val="00FA40EE"/>
    <w:rsid w:val="00FA438F"/>
    <w:rsid w:val="00FA498E"/>
    <w:rsid w:val="00FA50D5"/>
    <w:rsid w:val="00FA5F51"/>
    <w:rsid w:val="00FA6416"/>
    <w:rsid w:val="00FA727C"/>
    <w:rsid w:val="00FB0D52"/>
    <w:rsid w:val="00FB2233"/>
    <w:rsid w:val="00FB28C1"/>
    <w:rsid w:val="00FB294F"/>
    <w:rsid w:val="00FB4392"/>
    <w:rsid w:val="00FB4AF2"/>
    <w:rsid w:val="00FB4CAF"/>
    <w:rsid w:val="00FB503A"/>
    <w:rsid w:val="00FB516C"/>
    <w:rsid w:val="00FB5CF4"/>
    <w:rsid w:val="00FB66EE"/>
    <w:rsid w:val="00FB7FC5"/>
    <w:rsid w:val="00FC116C"/>
    <w:rsid w:val="00FC13DF"/>
    <w:rsid w:val="00FC16A3"/>
    <w:rsid w:val="00FC17B9"/>
    <w:rsid w:val="00FC1D3B"/>
    <w:rsid w:val="00FC2422"/>
    <w:rsid w:val="00FC2452"/>
    <w:rsid w:val="00FC2C01"/>
    <w:rsid w:val="00FC2D55"/>
    <w:rsid w:val="00FC34D6"/>
    <w:rsid w:val="00FC39C4"/>
    <w:rsid w:val="00FC39DD"/>
    <w:rsid w:val="00FC3D5B"/>
    <w:rsid w:val="00FC4FCA"/>
    <w:rsid w:val="00FC580D"/>
    <w:rsid w:val="00FC6ABA"/>
    <w:rsid w:val="00FC6F75"/>
    <w:rsid w:val="00FC772E"/>
    <w:rsid w:val="00FD0236"/>
    <w:rsid w:val="00FD0A0A"/>
    <w:rsid w:val="00FD0A4D"/>
    <w:rsid w:val="00FD0E3A"/>
    <w:rsid w:val="00FD18F4"/>
    <w:rsid w:val="00FD21F7"/>
    <w:rsid w:val="00FD3EE6"/>
    <w:rsid w:val="00FD46DA"/>
    <w:rsid w:val="00FD4826"/>
    <w:rsid w:val="00FD48BA"/>
    <w:rsid w:val="00FD4A2D"/>
    <w:rsid w:val="00FD4C77"/>
    <w:rsid w:val="00FD54DB"/>
    <w:rsid w:val="00FD619F"/>
    <w:rsid w:val="00FD63D1"/>
    <w:rsid w:val="00FD6946"/>
    <w:rsid w:val="00FD694F"/>
    <w:rsid w:val="00FD6BB2"/>
    <w:rsid w:val="00FD74AB"/>
    <w:rsid w:val="00FD7DF9"/>
    <w:rsid w:val="00FE003C"/>
    <w:rsid w:val="00FE0195"/>
    <w:rsid w:val="00FE0CF9"/>
    <w:rsid w:val="00FE1E75"/>
    <w:rsid w:val="00FE259D"/>
    <w:rsid w:val="00FE31FF"/>
    <w:rsid w:val="00FE3F19"/>
    <w:rsid w:val="00FE4B74"/>
    <w:rsid w:val="00FE4BA0"/>
    <w:rsid w:val="00FE4D1F"/>
    <w:rsid w:val="00FE56E9"/>
    <w:rsid w:val="00FE5EAD"/>
    <w:rsid w:val="00FE6632"/>
    <w:rsid w:val="00FE69FF"/>
    <w:rsid w:val="00FE6CF3"/>
    <w:rsid w:val="00FE73A2"/>
    <w:rsid w:val="00FE7544"/>
    <w:rsid w:val="00FE78D9"/>
    <w:rsid w:val="00FE7F03"/>
    <w:rsid w:val="00FF22B0"/>
    <w:rsid w:val="00FF2CA0"/>
    <w:rsid w:val="00FF3037"/>
    <w:rsid w:val="00FF3811"/>
    <w:rsid w:val="00FF3845"/>
    <w:rsid w:val="00FF42A6"/>
    <w:rsid w:val="00FF45D7"/>
    <w:rsid w:val="00FF4D31"/>
    <w:rsid w:val="00FF57C1"/>
    <w:rsid w:val="00FF61EE"/>
    <w:rsid w:val="00FF6ED6"/>
    <w:rsid w:val="00FF79B4"/>
    <w:rsid w:val="00FF7CBC"/>
    <w:rsid w:val="01290F7E"/>
    <w:rsid w:val="015D1E09"/>
    <w:rsid w:val="02697903"/>
    <w:rsid w:val="02F96569"/>
    <w:rsid w:val="03EA7B21"/>
    <w:rsid w:val="05F83EAE"/>
    <w:rsid w:val="063E7D85"/>
    <w:rsid w:val="07293586"/>
    <w:rsid w:val="07295285"/>
    <w:rsid w:val="07636392"/>
    <w:rsid w:val="07770C56"/>
    <w:rsid w:val="092217DD"/>
    <w:rsid w:val="093A7294"/>
    <w:rsid w:val="0A263993"/>
    <w:rsid w:val="0A2D3AC2"/>
    <w:rsid w:val="0AA755DF"/>
    <w:rsid w:val="0B120D44"/>
    <w:rsid w:val="0BD27BF6"/>
    <w:rsid w:val="0C3B3C7D"/>
    <w:rsid w:val="0CAB2EAE"/>
    <w:rsid w:val="0D621C7D"/>
    <w:rsid w:val="0E73034D"/>
    <w:rsid w:val="0F13775A"/>
    <w:rsid w:val="0F5F45FE"/>
    <w:rsid w:val="0F9A112B"/>
    <w:rsid w:val="106D2F64"/>
    <w:rsid w:val="10B63710"/>
    <w:rsid w:val="10F10820"/>
    <w:rsid w:val="111C2F7A"/>
    <w:rsid w:val="11665CA1"/>
    <w:rsid w:val="13951726"/>
    <w:rsid w:val="14396509"/>
    <w:rsid w:val="14DD2C3C"/>
    <w:rsid w:val="16087E1D"/>
    <w:rsid w:val="17701D14"/>
    <w:rsid w:val="17735226"/>
    <w:rsid w:val="189F624C"/>
    <w:rsid w:val="1A1C66C0"/>
    <w:rsid w:val="1A42393B"/>
    <w:rsid w:val="1AAD45DE"/>
    <w:rsid w:val="1B046F80"/>
    <w:rsid w:val="1B3267B5"/>
    <w:rsid w:val="1B40161D"/>
    <w:rsid w:val="1B441859"/>
    <w:rsid w:val="1B6606B1"/>
    <w:rsid w:val="1C5E7925"/>
    <w:rsid w:val="1CFD070F"/>
    <w:rsid w:val="1D5F6196"/>
    <w:rsid w:val="1D6132A5"/>
    <w:rsid w:val="1D8E56D5"/>
    <w:rsid w:val="1E7A43DA"/>
    <w:rsid w:val="1FE7539E"/>
    <w:rsid w:val="20671BE0"/>
    <w:rsid w:val="20963CB8"/>
    <w:rsid w:val="20A81A1B"/>
    <w:rsid w:val="20B07FB6"/>
    <w:rsid w:val="20B646FB"/>
    <w:rsid w:val="213B74B1"/>
    <w:rsid w:val="215A2310"/>
    <w:rsid w:val="21DE318A"/>
    <w:rsid w:val="21EF5B80"/>
    <w:rsid w:val="22576990"/>
    <w:rsid w:val="22F47480"/>
    <w:rsid w:val="233138BE"/>
    <w:rsid w:val="23DE1C48"/>
    <w:rsid w:val="240210CD"/>
    <w:rsid w:val="24BF09F7"/>
    <w:rsid w:val="252D53FE"/>
    <w:rsid w:val="25EC2D81"/>
    <w:rsid w:val="277057A2"/>
    <w:rsid w:val="29206EB8"/>
    <w:rsid w:val="29595666"/>
    <w:rsid w:val="29874881"/>
    <w:rsid w:val="29E325E0"/>
    <w:rsid w:val="2A452503"/>
    <w:rsid w:val="2BA936A8"/>
    <w:rsid w:val="2C315A5A"/>
    <w:rsid w:val="2C4B1C25"/>
    <w:rsid w:val="2D9E56F5"/>
    <w:rsid w:val="2E667F96"/>
    <w:rsid w:val="2E8226AB"/>
    <w:rsid w:val="2FD065E6"/>
    <w:rsid w:val="2FD96870"/>
    <w:rsid w:val="30580BC9"/>
    <w:rsid w:val="311E2ED7"/>
    <w:rsid w:val="315619EE"/>
    <w:rsid w:val="315C449C"/>
    <w:rsid w:val="31B82709"/>
    <w:rsid w:val="31D05482"/>
    <w:rsid w:val="32400B34"/>
    <w:rsid w:val="329E6876"/>
    <w:rsid w:val="333015F2"/>
    <w:rsid w:val="334B6320"/>
    <w:rsid w:val="33D934D4"/>
    <w:rsid w:val="33FE2F6A"/>
    <w:rsid w:val="340E07E5"/>
    <w:rsid w:val="34235BF7"/>
    <w:rsid w:val="358C5FA8"/>
    <w:rsid w:val="35C15DF1"/>
    <w:rsid w:val="36074A7F"/>
    <w:rsid w:val="36923549"/>
    <w:rsid w:val="36B75FBF"/>
    <w:rsid w:val="36BD0C45"/>
    <w:rsid w:val="37E00298"/>
    <w:rsid w:val="38B302F9"/>
    <w:rsid w:val="38F12CD3"/>
    <w:rsid w:val="38F94775"/>
    <w:rsid w:val="392971ED"/>
    <w:rsid w:val="39325651"/>
    <w:rsid w:val="3A872856"/>
    <w:rsid w:val="3B3763D1"/>
    <w:rsid w:val="3C2F6E1E"/>
    <w:rsid w:val="3C4F64BA"/>
    <w:rsid w:val="3CDA245A"/>
    <w:rsid w:val="3D1E06B7"/>
    <w:rsid w:val="3EDA0523"/>
    <w:rsid w:val="407A6407"/>
    <w:rsid w:val="4200449D"/>
    <w:rsid w:val="423A3BCC"/>
    <w:rsid w:val="424E57D2"/>
    <w:rsid w:val="42B26C49"/>
    <w:rsid w:val="433A6FE6"/>
    <w:rsid w:val="43480868"/>
    <w:rsid w:val="4350713C"/>
    <w:rsid w:val="436653E0"/>
    <w:rsid w:val="43C4431A"/>
    <w:rsid w:val="44B951CC"/>
    <w:rsid w:val="44CD14E0"/>
    <w:rsid w:val="44F20B0B"/>
    <w:rsid w:val="452E5F4C"/>
    <w:rsid w:val="45612018"/>
    <w:rsid w:val="458946E9"/>
    <w:rsid w:val="45A47C0E"/>
    <w:rsid w:val="46577FD6"/>
    <w:rsid w:val="46D955A7"/>
    <w:rsid w:val="47133957"/>
    <w:rsid w:val="47A07E0C"/>
    <w:rsid w:val="4870272E"/>
    <w:rsid w:val="49DC7715"/>
    <w:rsid w:val="4A023139"/>
    <w:rsid w:val="4A7B576F"/>
    <w:rsid w:val="4AF561A9"/>
    <w:rsid w:val="4C4A0649"/>
    <w:rsid w:val="4C7E5ECA"/>
    <w:rsid w:val="4C876AA5"/>
    <w:rsid w:val="4D0E00FB"/>
    <w:rsid w:val="4D176606"/>
    <w:rsid w:val="4DEC4FB0"/>
    <w:rsid w:val="4E075D8A"/>
    <w:rsid w:val="4EC00FAD"/>
    <w:rsid w:val="4F9843DC"/>
    <w:rsid w:val="4FC62A8C"/>
    <w:rsid w:val="4FE20F0D"/>
    <w:rsid w:val="4FE51552"/>
    <w:rsid w:val="50504C4B"/>
    <w:rsid w:val="509C6E7C"/>
    <w:rsid w:val="5162104E"/>
    <w:rsid w:val="53A039CC"/>
    <w:rsid w:val="53A1505A"/>
    <w:rsid w:val="54063E08"/>
    <w:rsid w:val="543437E8"/>
    <w:rsid w:val="54F73313"/>
    <w:rsid w:val="54F80955"/>
    <w:rsid w:val="555170A7"/>
    <w:rsid w:val="5587536D"/>
    <w:rsid w:val="559B174B"/>
    <w:rsid w:val="55CE0CF4"/>
    <w:rsid w:val="56B22A9C"/>
    <w:rsid w:val="57B72A76"/>
    <w:rsid w:val="57C3426C"/>
    <w:rsid w:val="57CE1F93"/>
    <w:rsid w:val="588743D1"/>
    <w:rsid w:val="5887701A"/>
    <w:rsid w:val="59C0439F"/>
    <w:rsid w:val="5ABE2233"/>
    <w:rsid w:val="5BDF5D95"/>
    <w:rsid w:val="5BFE7528"/>
    <w:rsid w:val="5E2467F1"/>
    <w:rsid w:val="5F1A2B43"/>
    <w:rsid w:val="5FB837BB"/>
    <w:rsid w:val="60CC405A"/>
    <w:rsid w:val="61E215D8"/>
    <w:rsid w:val="621B3775"/>
    <w:rsid w:val="62364782"/>
    <w:rsid w:val="6394356A"/>
    <w:rsid w:val="63C61B2C"/>
    <w:rsid w:val="63D40BE9"/>
    <w:rsid w:val="64102431"/>
    <w:rsid w:val="64A5243A"/>
    <w:rsid w:val="64F531DE"/>
    <w:rsid w:val="65373578"/>
    <w:rsid w:val="671F124A"/>
    <w:rsid w:val="677A33C6"/>
    <w:rsid w:val="681F6961"/>
    <w:rsid w:val="68610A2F"/>
    <w:rsid w:val="68805514"/>
    <w:rsid w:val="69316E2F"/>
    <w:rsid w:val="694E2071"/>
    <w:rsid w:val="69766163"/>
    <w:rsid w:val="697A3B33"/>
    <w:rsid w:val="69D44760"/>
    <w:rsid w:val="6A520EC7"/>
    <w:rsid w:val="6AF87E20"/>
    <w:rsid w:val="6B322639"/>
    <w:rsid w:val="6C636C38"/>
    <w:rsid w:val="6DB34098"/>
    <w:rsid w:val="6DB545B6"/>
    <w:rsid w:val="6DE02FB4"/>
    <w:rsid w:val="6E514CED"/>
    <w:rsid w:val="6EB563D5"/>
    <w:rsid w:val="6ED92677"/>
    <w:rsid w:val="6F225983"/>
    <w:rsid w:val="6FFC5590"/>
    <w:rsid w:val="706D1DD0"/>
    <w:rsid w:val="70856B87"/>
    <w:rsid w:val="70D527EE"/>
    <w:rsid w:val="7128238B"/>
    <w:rsid w:val="715B5300"/>
    <w:rsid w:val="71D27F8A"/>
    <w:rsid w:val="72553024"/>
    <w:rsid w:val="73122968"/>
    <w:rsid w:val="731F5D5E"/>
    <w:rsid w:val="73C51AD5"/>
    <w:rsid w:val="741E793C"/>
    <w:rsid w:val="745E3944"/>
    <w:rsid w:val="7635099D"/>
    <w:rsid w:val="77762421"/>
    <w:rsid w:val="77B56B1F"/>
    <w:rsid w:val="780F09F4"/>
    <w:rsid w:val="78A90480"/>
    <w:rsid w:val="7A364017"/>
    <w:rsid w:val="7A8265E1"/>
    <w:rsid w:val="7B686D42"/>
    <w:rsid w:val="7B841746"/>
    <w:rsid w:val="7C6C5AC7"/>
    <w:rsid w:val="7CC6544B"/>
    <w:rsid w:val="7D0239FF"/>
    <w:rsid w:val="7D5E40CD"/>
    <w:rsid w:val="7DCD56F2"/>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nhideWhenUsed="0" w:uiPriority="0" w:semiHidden="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unhideWhenUsed="0" w:uiPriority="0"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uiPriority="1" w:name="Default Paragraph Font"/>
    <w:lsdException w:qFormat="1" w:unhideWhenUsed="0" w:uiPriority="0" w:semiHidden="0" w:name="Body Text"/>
    <w:lsdException w:unhideWhenUsed="0" w:uiPriority="99"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qFormat="1" w:uiPriority="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ocked="1"/>
    <w:lsdException w:qFormat="1" w:unhideWhenUsed="0" w:uiPriority="0" w:semiHidden="0" w:name="Emphasis" w:locked="1"/>
    <w:lsdException w:qFormat="1" w:unhideWhenUsed="0" w:uiPriority="0" w:semiHidden="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3"/>
    <w:qFormat/>
    <w:locked/>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link w:val="108"/>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locked/>
    <w:uiPriority w:val="0"/>
    <w:pPr>
      <w:keepNext/>
      <w:keepLines/>
      <w:spacing w:before="260" w:after="260" w:line="416" w:lineRule="auto"/>
      <w:outlineLvl w:val="2"/>
    </w:pPr>
    <w:rPr>
      <w:b/>
      <w:bCs/>
      <w:sz w:val="32"/>
      <w:szCs w:val="32"/>
    </w:rPr>
  </w:style>
  <w:style w:type="paragraph" w:styleId="5">
    <w:name w:val="heading 4"/>
    <w:basedOn w:val="1"/>
    <w:next w:val="1"/>
    <w:link w:val="27"/>
    <w:qFormat/>
    <w:locked/>
    <w:uiPriority w:val="0"/>
    <w:pPr>
      <w:keepNext/>
      <w:keepLines/>
      <w:spacing w:before="280" w:after="290" w:line="376" w:lineRule="auto"/>
      <w:outlineLvl w:val="3"/>
    </w:pPr>
    <w:rPr>
      <w:rFonts w:ascii="Cambria" w:hAnsi="Cambria"/>
      <w:b/>
      <w:bCs/>
      <w:sz w:val="28"/>
      <w:szCs w:val="28"/>
    </w:rPr>
  </w:style>
  <w:style w:type="paragraph" w:styleId="6">
    <w:name w:val="heading 8"/>
    <w:basedOn w:val="1"/>
    <w:next w:val="1"/>
    <w:link w:val="135"/>
    <w:qFormat/>
    <w:locked/>
    <w:uiPriority w:val="0"/>
    <w:pPr>
      <w:keepNext/>
      <w:keepLines/>
      <w:spacing w:before="240" w:after="64" w:line="320" w:lineRule="auto"/>
      <w:outlineLvl w:val="7"/>
    </w:pPr>
    <w:rPr>
      <w:rFonts w:ascii="Arial" w:hAnsi="Arial" w:eastAsia="黑体"/>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4"/>
    <w:qFormat/>
    <w:locked/>
    <w:uiPriority w:val="0"/>
    <w:pPr>
      <w:spacing w:line="500" w:lineRule="exact"/>
      <w:ind w:firstLine="200" w:firstLineChars="200"/>
    </w:pPr>
    <w:rPr>
      <w:bCs/>
      <w:sz w:val="28"/>
      <w:szCs w:val="30"/>
    </w:rPr>
  </w:style>
  <w:style w:type="paragraph" w:styleId="8">
    <w:name w:val="Document Map"/>
    <w:basedOn w:val="1"/>
    <w:link w:val="83"/>
    <w:qFormat/>
    <w:locked/>
    <w:uiPriority w:val="0"/>
    <w:rPr>
      <w:rFonts w:ascii="宋体"/>
      <w:sz w:val="18"/>
      <w:szCs w:val="18"/>
    </w:rPr>
  </w:style>
  <w:style w:type="paragraph" w:styleId="9">
    <w:name w:val="annotation text"/>
    <w:basedOn w:val="1"/>
    <w:link w:val="34"/>
    <w:qFormat/>
    <w:uiPriority w:val="0"/>
    <w:pPr>
      <w:jc w:val="left"/>
    </w:pPr>
    <w:rPr>
      <w:kern w:val="0"/>
      <w:sz w:val="24"/>
      <w:szCs w:val="20"/>
    </w:rPr>
  </w:style>
  <w:style w:type="paragraph" w:styleId="10">
    <w:name w:val="Body Text"/>
    <w:basedOn w:val="1"/>
    <w:link w:val="33"/>
    <w:qFormat/>
    <w:uiPriority w:val="0"/>
    <w:pPr>
      <w:widowControl/>
      <w:snapToGrid w:val="0"/>
      <w:spacing w:before="60" w:after="160" w:line="259" w:lineRule="auto"/>
      <w:ind w:right="113"/>
    </w:pPr>
    <w:rPr>
      <w:kern w:val="0"/>
      <w:sz w:val="18"/>
      <w:szCs w:val="20"/>
    </w:rPr>
  </w:style>
  <w:style w:type="paragraph" w:styleId="11">
    <w:name w:val="Body Text Indent"/>
    <w:basedOn w:val="1"/>
    <w:link w:val="42"/>
    <w:uiPriority w:val="99"/>
    <w:pPr>
      <w:spacing w:after="120"/>
      <w:ind w:left="420" w:leftChars="200"/>
    </w:pPr>
    <w:rPr>
      <w:kern w:val="0"/>
      <w:sz w:val="24"/>
      <w:szCs w:val="20"/>
    </w:rPr>
  </w:style>
  <w:style w:type="paragraph" w:styleId="12">
    <w:name w:val="Plain Text"/>
    <w:basedOn w:val="1"/>
    <w:link w:val="58"/>
    <w:qFormat/>
    <w:locked/>
    <w:uiPriority w:val="0"/>
    <w:rPr>
      <w:rFonts w:ascii="宋体" w:hAnsi="Courier New"/>
      <w:szCs w:val="20"/>
    </w:rPr>
  </w:style>
  <w:style w:type="paragraph" w:styleId="13">
    <w:name w:val="Date"/>
    <w:basedOn w:val="1"/>
    <w:next w:val="1"/>
    <w:link w:val="29"/>
    <w:qFormat/>
    <w:uiPriority w:val="0"/>
    <w:pPr>
      <w:ind w:left="100" w:leftChars="2500"/>
    </w:pPr>
    <w:rPr>
      <w:kern w:val="0"/>
      <w:sz w:val="24"/>
      <w:szCs w:val="20"/>
    </w:rPr>
  </w:style>
  <w:style w:type="paragraph" w:styleId="14">
    <w:name w:val="Body Text Indent 2"/>
    <w:basedOn w:val="1"/>
    <w:link w:val="89"/>
    <w:qFormat/>
    <w:locked/>
    <w:uiPriority w:val="0"/>
    <w:pPr>
      <w:spacing w:after="120" w:line="480" w:lineRule="auto"/>
      <w:ind w:left="420" w:leftChars="200"/>
    </w:pPr>
  </w:style>
  <w:style w:type="paragraph" w:styleId="15">
    <w:name w:val="Balloon Text"/>
    <w:basedOn w:val="1"/>
    <w:link w:val="38"/>
    <w:semiHidden/>
    <w:qFormat/>
    <w:uiPriority w:val="0"/>
    <w:rPr>
      <w:kern w:val="0"/>
      <w:sz w:val="18"/>
      <w:szCs w:val="20"/>
    </w:rPr>
  </w:style>
  <w:style w:type="paragraph" w:styleId="16">
    <w:name w:val="footer"/>
    <w:basedOn w:val="1"/>
    <w:link w:val="28"/>
    <w:qFormat/>
    <w:uiPriority w:val="99"/>
    <w:pPr>
      <w:tabs>
        <w:tab w:val="center" w:pos="4153"/>
        <w:tab w:val="right" w:pos="8306"/>
      </w:tabs>
      <w:snapToGrid w:val="0"/>
      <w:jc w:val="left"/>
    </w:pPr>
    <w:rPr>
      <w:kern w:val="0"/>
      <w:sz w:val="18"/>
      <w:szCs w:val="20"/>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Normal (Web)"/>
    <w:basedOn w:val="1"/>
    <w:link w:val="31"/>
    <w:qFormat/>
    <w:uiPriority w:val="0"/>
    <w:pPr>
      <w:widowControl/>
      <w:spacing w:before="100" w:beforeAutospacing="1" w:after="100" w:afterAutospacing="1"/>
      <w:jc w:val="left"/>
    </w:pPr>
    <w:rPr>
      <w:rFonts w:ascii="宋体" w:hAnsi="宋体"/>
      <w:kern w:val="0"/>
      <w:sz w:val="24"/>
      <w:szCs w:val="20"/>
    </w:rPr>
  </w:style>
  <w:style w:type="paragraph" w:styleId="19">
    <w:name w:val="annotation subject"/>
    <w:basedOn w:val="9"/>
    <w:next w:val="9"/>
    <w:link w:val="39"/>
    <w:semiHidden/>
    <w:qFormat/>
    <w:uiPriority w:val="0"/>
    <w:rPr>
      <w:b/>
    </w:rPr>
  </w:style>
  <w:style w:type="paragraph" w:styleId="20">
    <w:name w:val="Body Text First Indent 2"/>
    <w:basedOn w:val="11"/>
    <w:link w:val="136"/>
    <w:semiHidden/>
    <w:unhideWhenUsed/>
    <w:qFormat/>
    <w:locked/>
    <w:uiPriority w:val="0"/>
    <w:pPr>
      <w:ind w:firstLine="420" w:firstLineChars="200"/>
    </w:pPr>
    <w:rPr>
      <w:kern w:val="2"/>
      <w:sz w:val="21"/>
      <w:szCs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locked/>
    <w:uiPriority w:val="0"/>
  </w:style>
  <w:style w:type="character" w:styleId="25">
    <w:name w:val="annotation reference"/>
    <w:qFormat/>
    <w:uiPriority w:val="0"/>
    <w:rPr>
      <w:sz w:val="21"/>
    </w:rPr>
  </w:style>
  <w:style w:type="character" w:customStyle="1" w:styleId="26">
    <w:name w:val="标题 3 Char"/>
    <w:link w:val="4"/>
    <w:qFormat/>
    <w:uiPriority w:val="0"/>
    <w:rPr>
      <w:b/>
      <w:bCs/>
      <w:kern w:val="2"/>
      <w:sz w:val="32"/>
      <w:szCs w:val="32"/>
    </w:rPr>
  </w:style>
  <w:style w:type="character" w:customStyle="1" w:styleId="27">
    <w:name w:val="标题 4 Char"/>
    <w:basedOn w:val="23"/>
    <w:link w:val="5"/>
    <w:qFormat/>
    <w:uiPriority w:val="0"/>
    <w:rPr>
      <w:rFonts w:ascii="Cambria" w:hAnsi="Cambria"/>
      <w:b/>
      <w:bCs/>
      <w:kern w:val="2"/>
      <w:sz w:val="28"/>
      <w:szCs w:val="28"/>
    </w:rPr>
  </w:style>
  <w:style w:type="character" w:customStyle="1" w:styleId="28">
    <w:name w:val="页脚 Char"/>
    <w:link w:val="16"/>
    <w:qFormat/>
    <w:locked/>
    <w:uiPriority w:val="99"/>
    <w:rPr>
      <w:sz w:val="18"/>
    </w:rPr>
  </w:style>
  <w:style w:type="character" w:customStyle="1" w:styleId="29">
    <w:name w:val="日期 Char"/>
    <w:link w:val="13"/>
    <w:qFormat/>
    <w:locked/>
    <w:uiPriority w:val="0"/>
    <w:rPr>
      <w:rFonts w:ascii="Times New Roman" w:hAnsi="Times New Roman" w:eastAsia="宋体"/>
      <w:sz w:val="24"/>
    </w:rPr>
  </w:style>
  <w:style w:type="character" w:customStyle="1" w:styleId="30">
    <w:name w:val="页脚 字符"/>
    <w:basedOn w:val="23"/>
    <w:uiPriority w:val="99"/>
  </w:style>
  <w:style w:type="character" w:customStyle="1" w:styleId="31">
    <w:name w:val="普通(网站) Char"/>
    <w:link w:val="18"/>
    <w:qFormat/>
    <w:locked/>
    <w:uiPriority w:val="0"/>
    <w:rPr>
      <w:rFonts w:ascii="宋体" w:hAnsi="宋体" w:eastAsia="宋体"/>
      <w:sz w:val="24"/>
    </w:rPr>
  </w:style>
  <w:style w:type="character" w:customStyle="1" w:styleId="32">
    <w:name w:val="正文文本 字符1"/>
    <w:semiHidden/>
    <w:qFormat/>
    <w:uiPriority w:val="0"/>
    <w:rPr>
      <w:rFonts w:ascii="Times New Roman" w:hAnsi="Times New Roman" w:eastAsia="宋体"/>
      <w:sz w:val="24"/>
    </w:rPr>
  </w:style>
  <w:style w:type="character" w:customStyle="1" w:styleId="33">
    <w:name w:val="正文文本 Char"/>
    <w:link w:val="10"/>
    <w:qFormat/>
    <w:locked/>
    <w:uiPriority w:val="0"/>
    <w:rPr>
      <w:sz w:val="18"/>
    </w:rPr>
  </w:style>
  <w:style w:type="character" w:customStyle="1" w:styleId="34">
    <w:name w:val="批注文字 Char"/>
    <w:link w:val="9"/>
    <w:qFormat/>
    <w:locked/>
    <w:uiPriority w:val="0"/>
    <w:rPr>
      <w:rFonts w:ascii="Times New Roman" w:hAnsi="Times New Roman" w:eastAsia="宋体"/>
      <w:sz w:val="24"/>
    </w:rPr>
  </w:style>
  <w:style w:type="character" w:customStyle="1" w:styleId="35">
    <w:name w:val="表格 Char"/>
    <w:link w:val="36"/>
    <w:qFormat/>
    <w:locked/>
    <w:uiPriority w:val="0"/>
    <w:rPr>
      <w:rFonts w:ascii="宋体"/>
      <w:sz w:val="21"/>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kern w:val="0"/>
      <w:szCs w:val="20"/>
    </w:rPr>
  </w:style>
  <w:style w:type="character" w:customStyle="1" w:styleId="37">
    <w:name w:val="日期 字符"/>
    <w:semiHidden/>
    <w:uiPriority w:val="0"/>
    <w:rPr>
      <w:rFonts w:ascii="Times New Roman" w:hAnsi="Times New Roman" w:eastAsia="宋体"/>
      <w:sz w:val="24"/>
    </w:rPr>
  </w:style>
  <w:style w:type="character" w:customStyle="1" w:styleId="38">
    <w:name w:val="批注框文本 Char"/>
    <w:link w:val="15"/>
    <w:semiHidden/>
    <w:qFormat/>
    <w:locked/>
    <w:uiPriority w:val="0"/>
    <w:rPr>
      <w:rFonts w:ascii="Times New Roman" w:hAnsi="Times New Roman" w:eastAsia="宋体"/>
      <w:sz w:val="18"/>
    </w:rPr>
  </w:style>
  <w:style w:type="character" w:customStyle="1" w:styleId="39">
    <w:name w:val="批注主题 Char"/>
    <w:link w:val="19"/>
    <w:semiHidden/>
    <w:qFormat/>
    <w:locked/>
    <w:uiPriority w:val="0"/>
    <w:rPr>
      <w:rFonts w:ascii="Times New Roman" w:hAnsi="Times New Roman" w:eastAsia="宋体"/>
      <w:b/>
      <w:kern w:val="2"/>
      <w:sz w:val="24"/>
    </w:rPr>
  </w:style>
  <w:style w:type="character" w:customStyle="1" w:styleId="40">
    <w:name w:val="页眉 Char"/>
    <w:link w:val="17"/>
    <w:qFormat/>
    <w:locked/>
    <w:uiPriority w:val="0"/>
    <w:rPr>
      <w:sz w:val="18"/>
    </w:rPr>
  </w:style>
  <w:style w:type="character" w:customStyle="1" w:styleId="41">
    <w:name w:val="批注文字 字符1"/>
    <w:semiHidden/>
    <w:qFormat/>
    <w:uiPriority w:val="0"/>
    <w:rPr>
      <w:rFonts w:ascii="Times New Roman" w:hAnsi="Times New Roman" w:eastAsia="宋体"/>
      <w:sz w:val="24"/>
    </w:rPr>
  </w:style>
  <w:style w:type="character" w:customStyle="1" w:styleId="42">
    <w:name w:val="正文文本缩进 Char"/>
    <w:link w:val="11"/>
    <w:qFormat/>
    <w:locked/>
    <w:uiPriority w:val="99"/>
    <w:rPr>
      <w:rFonts w:ascii="Times New Roman" w:hAnsi="Times New Roman" w:eastAsia="宋体"/>
      <w:sz w:val="24"/>
    </w:rPr>
  </w:style>
  <w:style w:type="paragraph" w:customStyle="1" w:styleId="43">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5">
    <w:name w:val="表头"/>
    <w:basedOn w:val="1"/>
    <w:next w:val="1"/>
    <w:link w:val="46"/>
    <w:qFormat/>
    <w:uiPriority w:val="0"/>
    <w:pPr>
      <w:spacing w:before="120" w:afterLines="25"/>
      <w:jc w:val="center"/>
    </w:pPr>
    <w:rPr>
      <w:rFonts w:ascii="宋体" w:hAnsi="宋体"/>
      <w:szCs w:val="20"/>
    </w:rPr>
  </w:style>
  <w:style w:type="character" w:customStyle="1" w:styleId="46">
    <w:name w:val="表头 Char"/>
    <w:link w:val="45"/>
    <w:qFormat/>
    <w:uiPriority w:val="0"/>
    <w:rPr>
      <w:rFonts w:ascii="宋体" w:hAnsi="宋体"/>
      <w:kern w:val="2"/>
      <w:sz w:val="21"/>
    </w:rPr>
  </w:style>
  <w:style w:type="paragraph" w:customStyle="1" w:styleId="47">
    <w:name w:val="表格1"/>
    <w:basedOn w:val="1"/>
    <w:link w:val="48"/>
    <w:qFormat/>
    <w:uiPriority w:val="0"/>
    <w:pPr>
      <w:spacing w:line="240" w:lineRule="exact"/>
      <w:jc w:val="center"/>
    </w:pPr>
    <w:rPr>
      <w:bCs/>
      <w:kern w:val="0"/>
      <w:sz w:val="18"/>
      <w:szCs w:val="18"/>
    </w:rPr>
  </w:style>
  <w:style w:type="character" w:customStyle="1" w:styleId="48">
    <w:name w:val="表格1 Char Char"/>
    <w:link w:val="47"/>
    <w:qFormat/>
    <w:uiPriority w:val="0"/>
    <w:rPr>
      <w:bCs/>
      <w:sz w:val="18"/>
      <w:szCs w:val="18"/>
    </w:rPr>
  </w:style>
  <w:style w:type="character" w:customStyle="1" w:styleId="49">
    <w:name w:val="【正文】 Char"/>
    <w:link w:val="50"/>
    <w:qFormat/>
    <w:locked/>
    <w:uiPriority w:val="0"/>
    <w:rPr>
      <w:sz w:val="24"/>
      <w:lang w:eastAsia="en-US"/>
    </w:rPr>
  </w:style>
  <w:style w:type="paragraph" w:customStyle="1" w:styleId="50">
    <w:name w:val="【正文】"/>
    <w:basedOn w:val="1"/>
    <w:link w:val="49"/>
    <w:qFormat/>
    <w:uiPriority w:val="0"/>
    <w:pPr>
      <w:spacing w:line="480" w:lineRule="exact"/>
      <w:ind w:firstLine="200" w:firstLineChars="200"/>
    </w:pPr>
    <w:rPr>
      <w:kern w:val="0"/>
      <w:sz w:val="24"/>
      <w:szCs w:val="20"/>
      <w:lang w:eastAsia="en-US"/>
    </w:rPr>
  </w:style>
  <w:style w:type="character" w:customStyle="1" w:styleId="51">
    <w:name w:val="表内字体111 Char"/>
    <w:link w:val="52"/>
    <w:qFormat/>
    <w:locked/>
    <w:uiPriority w:val="0"/>
    <w:rPr>
      <w:snapToGrid w:val="0"/>
      <w:szCs w:val="24"/>
    </w:rPr>
  </w:style>
  <w:style w:type="paragraph" w:customStyle="1" w:styleId="52">
    <w:name w:val="表内字体111"/>
    <w:basedOn w:val="1"/>
    <w:link w:val="51"/>
    <w:qFormat/>
    <w:uiPriority w:val="0"/>
    <w:pPr>
      <w:adjustRightInd w:val="0"/>
      <w:snapToGrid w:val="0"/>
      <w:jc w:val="center"/>
    </w:pPr>
    <w:rPr>
      <w:snapToGrid w:val="0"/>
      <w:kern w:val="0"/>
      <w:sz w:val="20"/>
    </w:rPr>
  </w:style>
  <w:style w:type="paragraph" w:customStyle="1" w:styleId="53">
    <w:name w:val="表号"/>
    <w:basedOn w:val="1"/>
    <w:next w:val="1"/>
    <w:qFormat/>
    <w:uiPriority w:val="0"/>
    <w:pPr>
      <w:overflowPunct w:val="0"/>
      <w:spacing w:line="460" w:lineRule="exact"/>
      <w:jc w:val="center"/>
      <w:textAlignment w:val="baseline"/>
    </w:pPr>
    <w:rPr>
      <w:szCs w:val="21"/>
    </w:rPr>
  </w:style>
  <w:style w:type="character" w:customStyle="1" w:styleId="54">
    <w:name w:val="正文缩进 Char1"/>
    <w:link w:val="7"/>
    <w:qFormat/>
    <w:uiPriority w:val="0"/>
    <w:rPr>
      <w:bCs/>
      <w:kern w:val="2"/>
      <w:sz w:val="28"/>
      <w:szCs w:val="30"/>
    </w:rPr>
  </w:style>
  <w:style w:type="paragraph" w:customStyle="1" w:styleId="55">
    <w:name w:val="h正文"/>
    <w:basedOn w:val="1"/>
    <w:qFormat/>
    <w:uiPriority w:val="0"/>
    <w:pPr>
      <w:adjustRightInd w:val="0"/>
      <w:snapToGrid w:val="0"/>
      <w:spacing w:line="360" w:lineRule="auto"/>
      <w:ind w:firstLine="200" w:firstLineChars="200"/>
    </w:pPr>
    <w:rPr>
      <w:sz w:val="24"/>
    </w:rPr>
  </w:style>
  <w:style w:type="character" w:customStyle="1" w:styleId="56">
    <w:name w:val="表格文字 Char Char"/>
    <w:link w:val="57"/>
    <w:qFormat/>
    <w:uiPriority w:val="0"/>
    <w:rPr>
      <w:szCs w:val="24"/>
    </w:rPr>
  </w:style>
  <w:style w:type="paragraph" w:customStyle="1" w:styleId="57">
    <w:name w:val="表格文字"/>
    <w:link w:val="56"/>
    <w:qFormat/>
    <w:uiPriority w:val="0"/>
    <w:pPr>
      <w:jc w:val="center"/>
    </w:pPr>
    <w:rPr>
      <w:rFonts w:ascii="Times New Roman" w:hAnsi="Times New Roman" w:eastAsia="宋体" w:cs="Times New Roman"/>
      <w:szCs w:val="24"/>
      <w:lang w:val="en-US" w:eastAsia="zh-CN" w:bidi="ar-SA"/>
    </w:rPr>
  </w:style>
  <w:style w:type="character" w:customStyle="1" w:styleId="58">
    <w:name w:val="纯文本 Char"/>
    <w:link w:val="12"/>
    <w:qFormat/>
    <w:uiPriority w:val="0"/>
    <w:rPr>
      <w:rFonts w:ascii="宋体" w:hAnsi="Courier New"/>
      <w:kern w:val="2"/>
      <w:sz w:val="21"/>
    </w:rPr>
  </w:style>
  <w:style w:type="character" w:customStyle="1" w:styleId="59">
    <w:name w:val="报告书正文 Char"/>
    <w:link w:val="60"/>
    <w:qFormat/>
    <w:uiPriority w:val="0"/>
    <w:rPr>
      <w:color w:val="0000FF"/>
      <w:sz w:val="24"/>
    </w:rPr>
  </w:style>
  <w:style w:type="paragraph" w:customStyle="1" w:styleId="60">
    <w:name w:val="报告书正文"/>
    <w:basedOn w:val="1"/>
    <w:link w:val="59"/>
    <w:qFormat/>
    <w:uiPriority w:val="0"/>
    <w:pPr>
      <w:tabs>
        <w:tab w:val="left" w:pos="6300"/>
      </w:tabs>
      <w:adjustRightInd w:val="0"/>
      <w:snapToGrid w:val="0"/>
      <w:spacing w:line="500" w:lineRule="exact"/>
      <w:ind w:firstLine="480" w:firstLineChars="200"/>
    </w:pPr>
    <w:rPr>
      <w:color w:val="0000FF"/>
      <w:kern w:val="0"/>
      <w:sz w:val="24"/>
      <w:szCs w:val="20"/>
    </w:rPr>
  </w:style>
  <w:style w:type="paragraph" w:styleId="61">
    <w:name w:val="List 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表"/>
    <w:basedOn w:val="1"/>
    <w:qFormat/>
    <w:uiPriority w:val="0"/>
    <w:pPr>
      <w:snapToGrid w:val="0"/>
      <w:spacing w:line="320" w:lineRule="exact"/>
      <w:ind w:left="-6" w:leftChars="-3"/>
      <w:jc w:val="center"/>
    </w:pPr>
    <w:rPr>
      <w:rFonts w:ascii="宋体" w:hAnsi="宋体"/>
      <w:sz w:val="24"/>
    </w:rPr>
  </w:style>
  <w:style w:type="paragraph" w:customStyle="1" w:styleId="63">
    <w:name w:val="样式 小四 居中 行距: 固定值 24 磅"/>
    <w:basedOn w:val="1"/>
    <w:qFormat/>
    <w:uiPriority w:val="0"/>
    <w:pPr>
      <w:spacing w:line="360" w:lineRule="auto"/>
      <w:jc w:val="center"/>
    </w:pPr>
    <w:rPr>
      <w:rFonts w:cs="宋体"/>
      <w:sz w:val="24"/>
      <w:szCs w:val="20"/>
    </w:rPr>
  </w:style>
  <w:style w:type="paragraph" w:customStyle="1" w:styleId="64">
    <w:name w:val="表-正文"/>
    <w:basedOn w:val="1"/>
    <w:qFormat/>
    <w:uiPriority w:val="0"/>
    <w:pPr>
      <w:adjustRightInd w:val="0"/>
      <w:snapToGrid w:val="0"/>
      <w:spacing w:line="360" w:lineRule="auto"/>
      <w:ind w:firstLine="200" w:firstLineChars="200"/>
    </w:pPr>
    <w:rPr>
      <w:rFonts w:cs="宋体"/>
      <w:color w:val="000000"/>
      <w:kern w:val="0"/>
      <w:sz w:val="24"/>
    </w:rPr>
  </w:style>
  <w:style w:type="paragraph" w:customStyle="1" w:styleId="6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纯文本 字符"/>
    <w:qFormat/>
    <w:uiPriority w:val="0"/>
    <w:rPr>
      <w:rFonts w:ascii="宋体" w:hAnsi="Courier New" w:eastAsia="宋体" w:cs="Times New Roman"/>
      <w:szCs w:val="20"/>
    </w:rPr>
  </w:style>
  <w:style w:type="paragraph" w:customStyle="1" w:styleId="67">
    <w:name w:val="正文(小)"/>
    <w:basedOn w:val="1"/>
    <w:qFormat/>
    <w:uiPriority w:val="0"/>
    <w:pPr>
      <w:autoSpaceDE w:val="0"/>
      <w:autoSpaceDN w:val="0"/>
      <w:adjustRightInd w:val="0"/>
      <w:spacing w:line="360" w:lineRule="auto"/>
      <w:ind w:firstLine="420" w:firstLineChars="200"/>
      <w:textAlignment w:val="baseline"/>
    </w:pPr>
    <w:rPr>
      <w:kern w:val="0"/>
      <w:szCs w:val="20"/>
    </w:rPr>
  </w:style>
  <w:style w:type="paragraph" w:customStyle="1" w:styleId="68">
    <w:name w:val="Default"/>
    <w:link w:val="1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9">
    <w:name w:val="表头1 Char"/>
    <w:link w:val="70"/>
    <w:qFormat/>
    <w:uiPriority w:val="0"/>
    <w:rPr>
      <w:b/>
      <w:szCs w:val="24"/>
    </w:rPr>
  </w:style>
  <w:style w:type="paragraph" w:customStyle="1" w:styleId="70">
    <w:name w:val="表头1"/>
    <w:basedOn w:val="1"/>
    <w:link w:val="69"/>
    <w:qFormat/>
    <w:uiPriority w:val="0"/>
    <w:pPr>
      <w:adjustRightInd w:val="0"/>
      <w:snapToGrid w:val="0"/>
      <w:spacing w:line="340" w:lineRule="exact"/>
      <w:jc w:val="center"/>
    </w:pPr>
    <w:rPr>
      <w:b/>
      <w:kern w:val="0"/>
      <w:sz w:val="20"/>
    </w:rPr>
  </w:style>
  <w:style w:type="character" w:customStyle="1" w:styleId="71">
    <w:name w:val="A正文 Char"/>
    <w:link w:val="72"/>
    <w:qFormat/>
    <w:uiPriority w:val="0"/>
    <w:rPr>
      <w:sz w:val="24"/>
      <w:szCs w:val="24"/>
      <w:lang w:val="zh-CN"/>
    </w:rPr>
  </w:style>
  <w:style w:type="paragraph" w:customStyle="1" w:styleId="72">
    <w:name w:val="A正文"/>
    <w:basedOn w:val="1"/>
    <w:link w:val="71"/>
    <w:qFormat/>
    <w:uiPriority w:val="0"/>
    <w:pPr>
      <w:autoSpaceDE w:val="0"/>
      <w:autoSpaceDN w:val="0"/>
      <w:adjustRightInd w:val="0"/>
      <w:spacing w:line="360" w:lineRule="auto"/>
      <w:ind w:firstLine="200" w:firstLineChars="200"/>
    </w:pPr>
    <w:rPr>
      <w:kern w:val="0"/>
      <w:sz w:val="24"/>
      <w:lang w:val="zh-CN"/>
    </w:rPr>
  </w:style>
  <w:style w:type="paragraph" w:customStyle="1" w:styleId="73">
    <w:name w:val="表中的文字"/>
    <w:basedOn w:val="1"/>
    <w:link w:val="74"/>
    <w:qFormat/>
    <w:uiPriority w:val="0"/>
    <w:pPr>
      <w:adjustRightInd w:val="0"/>
      <w:snapToGrid w:val="0"/>
      <w:spacing w:line="360" w:lineRule="exact"/>
      <w:jc w:val="center"/>
    </w:pPr>
    <w:rPr>
      <w:rFonts w:ascii="Calibri" w:hAnsi="Calibri"/>
      <w:kern w:val="0"/>
      <w:sz w:val="20"/>
      <w:szCs w:val="21"/>
    </w:rPr>
  </w:style>
  <w:style w:type="character" w:customStyle="1" w:styleId="74">
    <w:name w:val="表中的文字 Char"/>
    <w:link w:val="73"/>
    <w:qFormat/>
    <w:uiPriority w:val="0"/>
    <w:rPr>
      <w:rFonts w:ascii="Calibri" w:hAnsi="Calibri"/>
      <w:szCs w:val="21"/>
    </w:rPr>
  </w:style>
  <w:style w:type="character" w:customStyle="1" w:styleId="75">
    <w:name w:val="环评正文 Char"/>
    <w:link w:val="76"/>
    <w:qFormat/>
    <w:uiPriority w:val="0"/>
    <w:rPr>
      <w:rFonts w:eastAsia="仿宋_GB2312"/>
      <w:bCs/>
      <w:kern w:val="2"/>
      <w:sz w:val="24"/>
      <w:szCs w:val="24"/>
    </w:rPr>
  </w:style>
  <w:style w:type="paragraph" w:customStyle="1" w:styleId="76">
    <w:name w:val="环评正文"/>
    <w:basedOn w:val="1"/>
    <w:link w:val="75"/>
    <w:qFormat/>
    <w:uiPriority w:val="0"/>
    <w:pPr>
      <w:spacing w:before="60" w:after="60" w:line="400" w:lineRule="exact"/>
      <w:ind w:firstLine="200" w:firstLineChars="200"/>
    </w:pPr>
    <w:rPr>
      <w:rFonts w:eastAsia="仿宋_GB2312"/>
      <w:bCs/>
      <w:sz w:val="24"/>
    </w:rPr>
  </w:style>
  <w:style w:type="paragraph" w:customStyle="1" w:styleId="77">
    <w:name w:val="样式7"/>
    <w:basedOn w:val="1"/>
    <w:link w:val="78"/>
    <w:qFormat/>
    <w:uiPriority w:val="0"/>
    <w:pPr>
      <w:widowControl/>
      <w:spacing w:line="480" w:lineRule="exact"/>
      <w:ind w:firstLine="200" w:firstLineChars="200"/>
      <w:jc w:val="center"/>
    </w:pPr>
    <w:rPr>
      <w:kern w:val="0"/>
      <w:sz w:val="26"/>
      <w:szCs w:val="26"/>
    </w:rPr>
  </w:style>
  <w:style w:type="character" w:customStyle="1" w:styleId="78">
    <w:name w:val="样式7 Char"/>
    <w:link w:val="77"/>
    <w:qFormat/>
    <w:uiPriority w:val="0"/>
    <w:rPr>
      <w:sz w:val="26"/>
      <w:szCs w:val="26"/>
    </w:rPr>
  </w:style>
  <w:style w:type="paragraph" w:customStyle="1" w:styleId="79">
    <w:name w:val="表头图头"/>
    <w:basedOn w:val="1"/>
    <w:link w:val="80"/>
    <w:qFormat/>
    <w:uiPriority w:val="0"/>
    <w:pPr>
      <w:spacing w:line="480" w:lineRule="exact"/>
      <w:jc w:val="center"/>
    </w:pPr>
    <w:rPr>
      <w:b/>
      <w:kern w:val="0"/>
      <w:sz w:val="24"/>
    </w:rPr>
  </w:style>
  <w:style w:type="character" w:customStyle="1" w:styleId="80">
    <w:name w:val="表头图头 字符"/>
    <w:link w:val="79"/>
    <w:qFormat/>
    <w:uiPriority w:val="0"/>
    <w:rPr>
      <w:b/>
      <w:sz w:val="24"/>
      <w:szCs w:val="24"/>
    </w:rPr>
  </w:style>
  <w:style w:type="paragraph" w:customStyle="1" w:styleId="81">
    <w:name w:val="样式 样式 样式 样式 首行缩进:  2 字符 段后: 0.5 行 + 首行缩进:  2 字符 段后: 0.5 行 + 段后: ..."/>
    <w:basedOn w:val="1"/>
    <w:link w:val="82"/>
    <w:uiPriority w:val="0"/>
    <w:pPr>
      <w:spacing w:line="640" w:lineRule="exact"/>
      <w:ind w:firstLine="560" w:firstLineChars="200"/>
    </w:pPr>
    <w:rPr>
      <w:kern w:val="0"/>
      <w:sz w:val="28"/>
      <w:szCs w:val="20"/>
    </w:rPr>
  </w:style>
  <w:style w:type="character" w:customStyle="1" w:styleId="82">
    <w:name w:val="样式 样式 样式 样式 首行缩进:  2 字符 段后: 0.5 行 + 首行缩进:  2 字符 段后: 0.5 行 + 段后: ... Char"/>
    <w:link w:val="81"/>
    <w:qFormat/>
    <w:uiPriority w:val="0"/>
    <w:rPr>
      <w:sz w:val="28"/>
    </w:rPr>
  </w:style>
  <w:style w:type="character" w:customStyle="1" w:styleId="83">
    <w:name w:val="文档结构图 Char"/>
    <w:basedOn w:val="23"/>
    <w:link w:val="8"/>
    <w:qFormat/>
    <w:uiPriority w:val="0"/>
    <w:rPr>
      <w:rFonts w:ascii="宋体"/>
      <w:kern w:val="2"/>
      <w:sz w:val="18"/>
      <w:szCs w:val="18"/>
    </w:rPr>
  </w:style>
  <w:style w:type="character" w:customStyle="1" w:styleId="84">
    <w:name w:val="fontstyle01"/>
    <w:basedOn w:val="23"/>
    <w:qFormat/>
    <w:uiPriority w:val="0"/>
    <w:rPr>
      <w:rFonts w:hint="eastAsia" w:ascii="宋体" w:hAnsi="宋体" w:eastAsia="宋体"/>
      <w:color w:val="000000"/>
      <w:sz w:val="22"/>
      <w:szCs w:val="22"/>
    </w:rPr>
  </w:style>
  <w:style w:type="character" w:customStyle="1" w:styleId="85">
    <w:name w:val="fontstyle21"/>
    <w:basedOn w:val="23"/>
    <w:qFormat/>
    <w:uiPriority w:val="0"/>
    <w:rPr>
      <w:rFonts w:hint="default" w:ascii="Times New Roman" w:hAnsi="Times New Roman" w:cs="Times New Roman"/>
      <w:color w:val="000000"/>
      <w:sz w:val="22"/>
      <w:szCs w:val="22"/>
    </w:rPr>
  </w:style>
  <w:style w:type="paragraph" w:customStyle="1" w:styleId="86">
    <w:name w:val="标准表格"/>
    <w:basedOn w:val="1"/>
    <w:qFormat/>
    <w:uiPriority w:val="0"/>
    <w:pPr>
      <w:tabs>
        <w:tab w:val="left" w:pos="0"/>
      </w:tabs>
      <w:adjustRightInd w:val="0"/>
      <w:spacing w:line="360" w:lineRule="exact"/>
      <w:jc w:val="center"/>
      <w:textAlignment w:val="center"/>
    </w:pPr>
    <w:rPr>
      <w:rFonts w:ascii="宋体" w:hAnsi="宋体"/>
      <w:snapToGrid w:val="0"/>
      <w:kern w:val="0"/>
      <w:szCs w:val="20"/>
    </w:rPr>
  </w:style>
  <w:style w:type="paragraph" w:customStyle="1" w:styleId="87">
    <w:name w:val="表格体"/>
    <w:basedOn w:val="1"/>
    <w:qFormat/>
    <w:uiPriority w:val="0"/>
    <w:pPr>
      <w:jc w:val="center"/>
    </w:pPr>
    <w:rPr>
      <w:szCs w:val="18"/>
    </w:rPr>
  </w:style>
  <w:style w:type="character" w:customStyle="1" w:styleId="88">
    <w:name w:val="fontstyle11"/>
    <w:basedOn w:val="23"/>
    <w:qFormat/>
    <w:uiPriority w:val="0"/>
    <w:rPr>
      <w:rFonts w:hint="default" w:ascii="TimesNewRomanPSMT" w:hAnsi="TimesNewRomanPSMT"/>
      <w:color w:val="000000"/>
      <w:sz w:val="22"/>
      <w:szCs w:val="22"/>
    </w:rPr>
  </w:style>
  <w:style w:type="character" w:customStyle="1" w:styleId="89">
    <w:name w:val="正文文本缩进 2 Char"/>
    <w:basedOn w:val="23"/>
    <w:link w:val="14"/>
    <w:qFormat/>
    <w:uiPriority w:val="0"/>
    <w:rPr>
      <w:kern w:val="2"/>
      <w:sz w:val="21"/>
      <w:szCs w:val="24"/>
    </w:rPr>
  </w:style>
  <w:style w:type="paragraph" w:customStyle="1" w:styleId="90">
    <w:name w:val="表内文字"/>
    <w:basedOn w:val="1"/>
    <w:qFormat/>
    <w:uiPriority w:val="0"/>
    <w:pPr>
      <w:jc w:val="center"/>
    </w:pPr>
    <w:rPr>
      <w:color w:val="000000"/>
    </w:rPr>
  </w:style>
  <w:style w:type="character" w:customStyle="1" w:styleId="91">
    <w:name w:val="表格 Char Char"/>
    <w:qFormat/>
    <w:uiPriority w:val="0"/>
    <w:rPr>
      <w:rFonts w:eastAsia="宋体"/>
      <w:kern w:val="2"/>
      <w:sz w:val="21"/>
      <w:szCs w:val="24"/>
      <w:lang w:val="en-US" w:eastAsia="zh-CN" w:bidi="ar-SA"/>
    </w:rPr>
  </w:style>
  <w:style w:type="table" w:customStyle="1" w:styleId="92">
    <w:name w:val="表格样式"/>
    <w:basedOn w:val="21"/>
    <w:qFormat/>
    <w:uiPriority w:val="99"/>
    <w:pPr>
      <w:jc w:val="center"/>
    </w:pPr>
    <w:rPr>
      <w:sz w:val="21"/>
    </w:rPr>
    <w:tblPr>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bottom w:w="28" w:type="dxa"/>
      </w:tblCellMar>
    </w:tblPr>
    <w:trPr>
      <w:jc w:val="center"/>
    </w:trPr>
    <w:tcPr>
      <w:shd w:val="clear" w:color="auto" w:fill="auto"/>
      <w:vAlign w:val="center"/>
    </w:tcPr>
  </w:style>
  <w:style w:type="paragraph" w:customStyle="1" w:styleId="93">
    <w:name w:val="表格内容"/>
    <w:basedOn w:val="1"/>
    <w:link w:val="94"/>
    <w:qFormat/>
    <w:uiPriority w:val="0"/>
    <w:pPr>
      <w:adjustRightInd w:val="0"/>
      <w:snapToGrid w:val="0"/>
      <w:spacing w:line="240" w:lineRule="exact"/>
      <w:ind w:firstLine="200" w:firstLineChars="200"/>
      <w:jc w:val="center"/>
    </w:pPr>
    <w:rPr>
      <w:rFonts w:eastAsia="仿宋_GB2312"/>
      <w:color w:val="000000"/>
      <w:sz w:val="24"/>
      <w:szCs w:val="20"/>
    </w:rPr>
  </w:style>
  <w:style w:type="character" w:customStyle="1" w:styleId="94">
    <w:name w:val="表格内容 Char"/>
    <w:link w:val="93"/>
    <w:qFormat/>
    <w:uiPriority w:val="0"/>
    <w:rPr>
      <w:rFonts w:eastAsia="仿宋_GB2312"/>
      <w:color w:val="000000"/>
      <w:kern w:val="2"/>
      <w:sz w:val="24"/>
    </w:rPr>
  </w:style>
  <w:style w:type="character" w:customStyle="1" w:styleId="95">
    <w:name w:val="font21"/>
    <w:basedOn w:val="23"/>
    <w:qFormat/>
    <w:uiPriority w:val="0"/>
    <w:rPr>
      <w:rFonts w:hint="eastAsia" w:ascii="宋体" w:hAnsi="宋体" w:eastAsia="宋体"/>
      <w:color w:val="000000"/>
      <w:sz w:val="21"/>
      <w:szCs w:val="21"/>
      <w:u w:val="none"/>
    </w:rPr>
  </w:style>
  <w:style w:type="character" w:customStyle="1" w:styleId="96">
    <w:name w:val="font31"/>
    <w:basedOn w:val="23"/>
    <w:qFormat/>
    <w:uiPriority w:val="0"/>
    <w:rPr>
      <w:rFonts w:hint="default" w:ascii="Times New Roman" w:hAnsi="Times New Roman" w:cs="Times New Roman"/>
      <w:color w:val="000000"/>
      <w:sz w:val="21"/>
      <w:szCs w:val="21"/>
      <w:u w:val="none"/>
    </w:rPr>
  </w:style>
  <w:style w:type="character" w:customStyle="1" w:styleId="97">
    <w:name w:val="font01"/>
    <w:basedOn w:val="23"/>
    <w:qFormat/>
    <w:uiPriority w:val="0"/>
    <w:rPr>
      <w:rFonts w:hint="default" w:ascii="Times New Roman" w:hAnsi="Times New Roman" w:cs="Times New Roman"/>
      <w:color w:val="000000"/>
      <w:sz w:val="21"/>
      <w:szCs w:val="21"/>
      <w:u w:val="none"/>
      <w:vertAlign w:val="superscript"/>
    </w:rPr>
  </w:style>
  <w:style w:type="paragraph" w:customStyle="1" w:styleId="98">
    <w:name w:val="简单回函地址"/>
    <w:basedOn w:val="1"/>
    <w:qFormat/>
    <w:uiPriority w:val="0"/>
  </w:style>
  <w:style w:type="character" w:customStyle="1" w:styleId="99">
    <w:name w:val="font11"/>
    <w:basedOn w:val="23"/>
    <w:qFormat/>
    <w:uiPriority w:val="0"/>
    <w:rPr>
      <w:rFonts w:hint="eastAsia" w:ascii="宋体" w:hAnsi="宋体" w:eastAsia="宋体"/>
      <w:color w:val="000000"/>
      <w:sz w:val="18"/>
      <w:szCs w:val="18"/>
      <w:u w:val="none"/>
    </w:rPr>
  </w:style>
  <w:style w:type="character" w:customStyle="1" w:styleId="100">
    <w:name w:val="表内字 Char Char"/>
    <w:link w:val="101"/>
    <w:qFormat/>
    <w:uiPriority w:val="0"/>
    <w:rPr>
      <w:color w:val="FF0000"/>
      <w:kern w:val="2"/>
      <w:sz w:val="21"/>
      <w:szCs w:val="21"/>
    </w:rPr>
  </w:style>
  <w:style w:type="paragraph" w:customStyle="1" w:styleId="101">
    <w:name w:val="表内字"/>
    <w:basedOn w:val="1"/>
    <w:link w:val="100"/>
    <w:qFormat/>
    <w:uiPriority w:val="0"/>
    <w:pPr>
      <w:jc w:val="center"/>
    </w:pPr>
    <w:rPr>
      <w:color w:val="FF0000"/>
      <w:szCs w:val="21"/>
    </w:rPr>
  </w:style>
  <w:style w:type="paragraph" w:customStyle="1" w:styleId="102">
    <w:name w:val="表格内容1111111111111111"/>
    <w:basedOn w:val="1"/>
    <w:qFormat/>
    <w:uiPriority w:val="0"/>
    <w:pPr>
      <w:widowControl/>
      <w:adjustRightInd w:val="0"/>
      <w:snapToGrid w:val="0"/>
      <w:jc w:val="center"/>
    </w:pPr>
    <w:rPr>
      <w:rFonts w:cs="宋体"/>
      <w:szCs w:val="20"/>
    </w:rPr>
  </w:style>
  <w:style w:type="character" w:customStyle="1" w:styleId="103">
    <w:name w:val="zhh正文 Char"/>
    <w:link w:val="104"/>
    <w:qFormat/>
    <w:locked/>
    <w:uiPriority w:val="0"/>
    <w:rPr>
      <w:color w:val="000000"/>
      <w:sz w:val="24"/>
      <w:szCs w:val="24"/>
    </w:rPr>
  </w:style>
  <w:style w:type="paragraph" w:customStyle="1" w:styleId="104">
    <w:name w:val="zhh正文"/>
    <w:basedOn w:val="1"/>
    <w:link w:val="103"/>
    <w:qFormat/>
    <w:uiPriority w:val="0"/>
    <w:pPr>
      <w:widowControl/>
      <w:spacing w:line="360" w:lineRule="auto"/>
      <w:ind w:firstLine="200" w:firstLineChars="200"/>
    </w:pPr>
    <w:rPr>
      <w:color w:val="000000"/>
      <w:kern w:val="0"/>
      <w:sz w:val="24"/>
    </w:rPr>
  </w:style>
  <w:style w:type="character" w:customStyle="1" w:styleId="105">
    <w:name w:val="表格-HF 字符"/>
    <w:link w:val="106"/>
    <w:qFormat/>
    <w:uiPriority w:val="2"/>
    <w:rPr>
      <w:kern w:val="2"/>
      <w:sz w:val="21"/>
      <w:szCs w:val="21"/>
    </w:rPr>
  </w:style>
  <w:style w:type="paragraph" w:customStyle="1" w:styleId="106">
    <w:name w:val="表格-HF"/>
    <w:basedOn w:val="1"/>
    <w:link w:val="105"/>
    <w:qFormat/>
    <w:uiPriority w:val="2"/>
    <w:pPr>
      <w:jc w:val="center"/>
    </w:pPr>
    <w:rPr>
      <w:szCs w:val="21"/>
    </w:rPr>
  </w:style>
  <w:style w:type="character" w:customStyle="1" w:styleId="107">
    <w:name w:val="font91"/>
    <w:basedOn w:val="23"/>
    <w:qFormat/>
    <w:uiPriority w:val="0"/>
    <w:rPr>
      <w:rFonts w:hint="default" w:ascii="Times New Roman" w:hAnsi="Times New Roman" w:cs="Times New Roman"/>
      <w:color w:val="000000"/>
      <w:sz w:val="18"/>
      <w:szCs w:val="18"/>
      <w:u w:val="none"/>
      <w:vertAlign w:val="superscript"/>
    </w:rPr>
  </w:style>
  <w:style w:type="character" w:customStyle="1" w:styleId="108">
    <w:name w:val="标题 2 Char"/>
    <w:basedOn w:val="23"/>
    <w:link w:val="3"/>
    <w:semiHidden/>
    <w:qFormat/>
    <w:uiPriority w:val="0"/>
    <w:rPr>
      <w:rFonts w:asciiTheme="majorHAnsi" w:hAnsiTheme="majorHAnsi" w:eastAsiaTheme="majorEastAsia" w:cstheme="majorBidi"/>
      <w:b/>
      <w:bCs/>
      <w:kern w:val="2"/>
      <w:sz w:val="32"/>
      <w:szCs w:val="32"/>
    </w:rPr>
  </w:style>
  <w:style w:type="character" w:customStyle="1" w:styleId="109">
    <w:name w:val="font51"/>
    <w:basedOn w:val="23"/>
    <w:qFormat/>
    <w:uiPriority w:val="0"/>
    <w:rPr>
      <w:rFonts w:hint="default" w:ascii="Times New Roman" w:hAnsi="Times New Roman" w:cs="Times New Roman"/>
      <w:color w:val="000000"/>
      <w:sz w:val="18"/>
      <w:szCs w:val="18"/>
      <w:u w:val="none"/>
      <w:vertAlign w:val="subscript"/>
    </w:rPr>
  </w:style>
  <w:style w:type="paragraph" w:customStyle="1" w:styleId="11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11">
    <w:name w:val="批注文字 Char1"/>
    <w:basedOn w:val="23"/>
    <w:qFormat/>
    <w:uiPriority w:val="0"/>
    <w:rPr>
      <w:sz w:val="24"/>
    </w:rPr>
  </w:style>
  <w:style w:type="paragraph" w:customStyle="1" w:styleId="112">
    <w:name w:val="报告表格"/>
    <w:basedOn w:val="1"/>
    <w:qFormat/>
    <w:uiPriority w:val="0"/>
    <w:pPr>
      <w:autoSpaceDE w:val="0"/>
      <w:autoSpaceDN w:val="0"/>
      <w:adjustRightInd w:val="0"/>
      <w:spacing w:before="40" w:after="40"/>
    </w:pPr>
    <w:rPr>
      <w:kern w:val="0"/>
      <w:szCs w:val="20"/>
    </w:rPr>
  </w:style>
  <w:style w:type="character" w:customStyle="1" w:styleId="113">
    <w:name w:val="标题 1 Char"/>
    <w:link w:val="2"/>
    <w:qFormat/>
    <w:uiPriority w:val="0"/>
    <w:rPr>
      <w:rFonts w:eastAsia="黑体"/>
      <w:b/>
      <w:bCs/>
      <w:color w:val="000000"/>
      <w:kern w:val="44"/>
      <w:sz w:val="30"/>
      <w:szCs w:val="30"/>
    </w:rPr>
  </w:style>
  <w:style w:type="character" w:customStyle="1" w:styleId="114">
    <w:name w:val="L表格 Char"/>
    <w:link w:val="115"/>
    <w:qFormat/>
    <w:uiPriority w:val="0"/>
    <w:rPr>
      <w:rFonts w:eastAsia="Times New Roman"/>
      <w:kern w:val="2"/>
      <w:sz w:val="21"/>
      <w:szCs w:val="24"/>
    </w:rPr>
  </w:style>
  <w:style w:type="paragraph" w:customStyle="1" w:styleId="115">
    <w:name w:val="L表格"/>
    <w:basedOn w:val="1"/>
    <w:link w:val="114"/>
    <w:qFormat/>
    <w:uiPriority w:val="0"/>
    <w:pPr>
      <w:adjustRightInd w:val="0"/>
      <w:snapToGrid w:val="0"/>
      <w:spacing w:line="320" w:lineRule="exact"/>
      <w:jc w:val="center"/>
    </w:pPr>
    <w:rPr>
      <w:rFonts w:eastAsia="Times New Roman"/>
    </w:rPr>
  </w:style>
  <w:style w:type="paragraph" w:customStyle="1" w:styleId="116">
    <w:name w:val="L正文"/>
    <w:basedOn w:val="1"/>
    <w:qFormat/>
    <w:uiPriority w:val="0"/>
    <w:pPr>
      <w:adjustRightInd w:val="0"/>
      <w:snapToGrid w:val="0"/>
      <w:spacing w:line="360" w:lineRule="auto"/>
      <w:ind w:firstLine="200" w:firstLineChars="200"/>
    </w:pPr>
    <w:rPr>
      <w:sz w:val="24"/>
    </w:rPr>
  </w:style>
  <w:style w:type="character" w:customStyle="1" w:styleId="117">
    <w:name w:val="表格1 Char"/>
    <w:qFormat/>
    <w:uiPriority w:val="0"/>
    <w:rPr>
      <w:rFonts w:ascii="Times New Roman" w:hAnsi="Times New Roman" w:eastAsia="宋体" w:cs="Times New Roman"/>
      <w:kern w:val="2"/>
      <w:sz w:val="18"/>
      <w:szCs w:val="21"/>
    </w:rPr>
  </w:style>
  <w:style w:type="character" w:customStyle="1" w:styleId="118">
    <w:name w:val="font41"/>
    <w:basedOn w:val="23"/>
    <w:qFormat/>
    <w:uiPriority w:val="0"/>
    <w:rPr>
      <w:rFonts w:hint="eastAsia" w:ascii="宋体" w:hAnsi="宋体" w:eastAsia="宋体"/>
      <w:color w:val="000000"/>
      <w:sz w:val="18"/>
      <w:szCs w:val="18"/>
      <w:u w:val="none"/>
    </w:rPr>
  </w:style>
  <w:style w:type="paragraph" w:customStyle="1" w:styleId="119">
    <w:name w:val="样式1"/>
    <w:basedOn w:val="1"/>
    <w:qFormat/>
    <w:uiPriority w:val="0"/>
    <w:pPr>
      <w:jc w:val="center"/>
    </w:pPr>
    <w:rPr>
      <w:bCs/>
      <w:sz w:val="48"/>
    </w:rPr>
  </w:style>
  <w:style w:type="paragraph" w:customStyle="1" w:styleId="120">
    <w:name w:val="文本"/>
    <w:basedOn w:val="1"/>
    <w:qFormat/>
    <w:uiPriority w:val="0"/>
    <w:pPr>
      <w:spacing w:line="360" w:lineRule="auto"/>
      <w:ind w:firstLine="480" w:firstLineChars="200"/>
    </w:pPr>
    <w:rPr>
      <w:sz w:val="24"/>
      <w:lang w:val="zh-CN"/>
    </w:rPr>
  </w:style>
  <w:style w:type="paragraph" w:customStyle="1" w:styleId="121">
    <w:name w:val="正文缩进两格"/>
    <w:link w:val="122"/>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22">
    <w:name w:val="正文缩进两格 Char"/>
    <w:link w:val="121"/>
    <w:qFormat/>
    <w:uiPriority w:val="0"/>
    <w:rPr>
      <w:kern w:val="2"/>
      <w:sz w:val="21"/>
      <w:szCs w:val="22"/>
    </w:rPr>
  </w:style>
  <w:style w:type="paragraph" w:customStyle="1" w:styleId="123">
    <w:name w:val="标题XX"/>
    <w:basedOn w:val="1"/>
    <w:link w:val="124"/>
    <w:qFormat/>
    <w:uiPriority w:val="0"/>
    <w:pPr>
      <w:spacing w:before="50" w:beforeLines="50" w:after="50" w:afterLines="50"/>
    </w:pPr>
    <w:rPr>
      <w:b/>
    </w:rPr>
  </w:style>
  <w:style w:type="character" w:customStyle="1" w:styleId="124">
    <w:name w:val="标题XX Char"/>
    <w:link w:val="123"/>
    <w:qFormat/>
    <w:uiPriority w:val="0"/>
    <w:rPr>
      <w:b/>
      <w:kern w:val="2"/>
      <w:sz w:val="21"/>
      <w:szCs w:val="24"/>
    </w:rPr>
  </w:style>
  <w:style w:type="paragraph" w:customStyle="1" w:styleId="125">
    <w:name w:val="11正文"/>
    <w:basedOn w:val="1"/>
    <w:uiPriority w:val="0"/>
    <w:pPr>
      <w:spacing w:line="460" w:lineRule="exact"/>
      <w:ind w:firstLine="200" w:firstLineChars="200"/>
    </w:pPr>
    <w:rPr>
      <w:bCs/>
      <w:sz w:val="24"/>
    </w:rPr>
  </w:style>
  <w:style w:type="character" w:customStyle="1" w:styleId="126">
    <w:name w:val="表内字1 Char"/>
    <w:link w:val="127"/>
    <w:qFormat/>
    <w:uiPriority w:val="0"/>
    <w:rPr>
      <w:color w:val="000000"/>
      <w:kern w:val="2"/>
      <w:sz w:val="22"/>
      <w:szCs w:val="21"/>
    </w:rPr>
  </w:style>
  <w:style w:type="paragraph" w:customStyle="1" w:styleId="127">
    <w:name w:val="表内字1"/>
    <w:basedOn w:val="1"/>
    <w:link w:val="126"/>
    <w:qFormat/>
    <w:uiPriority w:val="0"/>
    <w:pPr>
      <w:adjustRightInd w:val="0"/>
      <w:snapToGrid w:val="0"/>
      <w:spacing w:line="300" w:lineRule="exact"/>
      <w:jc w:val="center"/>
    </w:pPr>
    <w:rPr>
      <w:color w:val="000000"/>
      <w:sz w:val="22"/>
      <w:szCs w:val="21"/>
    </w:rPr>
  </w:style>
  <w:style w:type="paragraph" w:customStyle="1" w:styleId="128">
    <w:name w:val="样式 正文缩进正文缩进2正文缩进 Char Char正文缩进 Char Char Char Char正文缩进 Char ..."/>
    <w:basedOn w:val="7"/>
    <w:qFormat/>
    <w:uiPriority w:val="0"/>
    <w:pPr>
      <w:spacing w:line="360" w:lineRule="auto"/>
    </w:pPr>
    <w:rPr>
      <w:rFonts w:cs="宋体"/>
      <w:bCs w:val="0"/>
      <w:sz w:val="24"/>
      <w:szCs w:val="20"/>
    </w:rPr>
  </w:style>
  <w:style w:type="paragraph" w:customStyle="1" w:styleId="129">
    <w:name w:val="罗英样式"/>
    <w:basedOn w:val="1"/>
    <w:qFormat/>
    <w:uiPriority w:val="0"/>
    <w:pPr>
      <w:spacing w:line="500" w:lineRule="exact"/>
      <w:ind w:firstLine="200" w:firstLineChars="200"/>
    </w:pPr>
    <w:rPr>
      <w:rFonts w:ascii="宋体" w:hAnsi="宋体"/>
      <w:sz w:val="24"/>
    </w:rPr>
  </w:style>
  <w:style w:type="paragraph" w:customStyle="1" w:styleId="130">
    <w:name w:val="列出段落1"/>
    <w:basedOn w:val="1"/>
    <w:qFormat/>
    <w:uiPriority w:val="0"/>
    <w:pPr>
      <w:ind w:firstLine="420" w:firstLineChars="200"/>
    </w:pPr>
  </w:style>
  <w:style w:type="character" w:customStyle="1" w:styleId="131">
    <w:name w:val="15"/>
    <w:qFormat/>
    <w:uiPriority w:val="0"/>
    <w:rPr>
      <w:rFonts w:hint="eastAsia" w:ascii="微软雅黑" w:hAnsi="微软雅黑" w:eastAsia="微软雅黑"/>
      <w:sz w:val="21"/>
      <w:szCs w:val="21"/>
    </w:rPr>
  </w:style>
  <w:style w:type="character" w:customStyle="1" w:styleId="132">
    <w:name w:val="Default Char"/>
    <w:link w:val="68"/>
    <w:qFormat/>
    <w:locked/>
    <w:uiPriority w:val="0"/>
    <w:rPr>
      <w:rFonts w:ascii="宋体" w:cs="宋体"/>
      <w:color w:val="000000"/>
      <w:sz w:val="24"/>
      <w:szCs w:val="24"/>
    </w:rPr>
  </w:style>
  <w:style w:type="paragraph" w:customStyle="1" w:styleId="133">
    <w:name w:val="正文min"/>
    <w:basedOn w:val="1"/>
    <w:link w:val="134"/>
    <w:qFormat/>
    <w:uiPriority w:val="0"/>
    <w:pPr>
      <w:spacing w:line="360" w:lineRule="auto"/>
      <w:ind w:firstLine="480" w:firstLineChars="200"/>
    </w:pPr>
    <w:rPr>
      <w:rFonts w:ascii="Calibri" w:hAnsi="Calibri" w:eastAsia="Times New Roman"/>
      <w:kern w:val="0"/>
      <w:sz w:val="24"/>
      <w:szCs w:val="20"/>
    </w:rPr>
  </w:style>
  <w:style w:type="character" w:customStyle="1" w:styleId="134">
    <w:name w:val="正文min Char"/>
    <w:link w:val="133"/>
    <w:qFormat/>
    <w:locked/>
    <w:uiPriority w:val="0"/>
    <w:rPr>
      <w:rFonts w:ascii="Calibri" w:hAnsi="Calibri" w:eastAsia="Times New Roman"/>
      <w:sz w:val="24"/>
    </w:rPr>
  </w:style>
  <w:style w:type="character" w:customStyle="1" w:styleId="135">
    <w:name w:val="标题 8 Char"/>
    <w:basedOn w:val="23"/>
    <w:link w:val="6"/>
    <w:qFormat/>
    <w:uiPriority w:val="0"/>
    <w:rPr>
      <w:rFonts w:ascii="Arial" w:hAnsi="Arial" w:eastAsia="黑体"/>
      <w:kern w:val="2"/>
      <w:sz w:val="24"/>
      <w:szCs w:val="24"/>
    </w:rPr>
  </w:style>
  <w:style w:type="character" w:customStyle="1" w:styleId="136">
    <w:name w:val="正文首行缩进 2 Char"/>
    <w:basedOn w:val="42"/>
    <w:link w:val="20"/>
    <w:semiHidden/>
    <w:qFormat/>
    <w:uiPriority w:val="0"/>
    <w:rPr>
      <w:rFonts w:ascii="Times New Roman" w:hAnsi="Times New Roman" w:eastAsia="宋体"/>
      <w:kern w:val="2"/>
      <w:sz w:val="21"/>
      <w:szCs w:val="24"/>
    </w:rPr>
  </w:style>
  <w:style w:type="paragraph" w:customStyle="1" w:styleId="137">
    <w:name w:val="Body Text 22"/>
    <w:basedOn w:val="1"/>
    <w:qFormat/>
    <w:uiPriority w:val="0"/>
    <w:pPr>
      <w:adjustRightInd w:val="0"/>
      <w:spacing w:line="440" w:lineRule="atLeast"/>
      <w:ind w:firstLine="480"/>
      <w:textAlignment w:val="baseline"/>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png"/><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png"/><Relationship Id="rId17" Type="http://schemas.openxmlformats.org/officeDocument/2006/relationships/image" Target="media/image6.emf"/><Relationship Id="rId16" Type="http://schemas.openxmlformats.org/officeDocument/2006/relationships/oleObject" Target="embeddings/oleObject4.bin"/><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png"/><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D83F1-7997-45DA-AE2E-AC5A61D60023}">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109</Pages>
  <Words>14023</Words>
  <Characters>79932</Characters>
  <Lines>666</Lines>
  <Paragraphs>187</Paragraphs>
  <TotalTime>20232</TotalTime>
  <ScaleCrop>false</ScaleCrop>
  <LinksUpToDate>false</LinksUpToDate>
  <CharactersWithSpaces>93768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2021-09-18T03:55:00Z</dcterms:created>
  <dc:creator>lhj</dc:creator>
  <cp:lastModifiedBy>╰つ花雨黯 岚风殇 红颜殆</cp:lastModifiedBy>
  <cp:lastPrinted>2020-12-29T02:43:00Z</cp:lastPrinted>
  <dcterms:modified xsi:type="dcterms:W3CDTF">2023-03-02T08:48:34Z</dcterms:modified>
  <dc:title>附件2</dc:title>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D98AA6E9A3A547B9A51FEA5288790633</vt:lpwstr>
  </property>
</Properties>
</file>